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3900" w:right="1060" w:hanging="3784"/>
        <w:spacing w:after="0" w:line="266" w:lineRule="auto"/>
        <w:tabs>
          <w:tab w:leader="none" w:pos="140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2022</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jc w:val="center"/>
        <w:ind w:left="4360" w:right="1060" w:hanging="4244"/>
        <w:spacing w:after="0" w:line="290"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tbl>
      <w:tblPr>
        <w:tblLayout w:type="fixed"/>
        <w:tblInd w:w="2600" w:type="dxa"/>
        <w:tblCellMar>
          <w:top w:w="0" w:type="dxa"/>
          <w:left w:w="0" w:type="dxa"/>
          <w:bottom w:w="0" w:type="dxa"/>
          <w:right w:w="0" w:type="dxa"/>
        </w:tblCellMar>
      </w:tblP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2"/>
        </w:trPr>
        <w:tc>
          <w:tcPr>
            <w:tcW w:w="3120" w:type="dxa"/>
            <w:vAlign w:val="bottom"/>
          </w:tcPr>
          <w:p>
            <w:pPr>
              <w:jc w:val="center"/>
              <w:ind w:right="1168"/>
              <w:spacing w:after="0" w:line="152"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2" w:lineRule="exact"/>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-64770</wp:posOffset>
            </wp:positionV>
            <wp:extent cx="416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0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77"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August 1, 2022, there were 56,116,243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PART I.</w:t>
              </w:r>
            </w:hyperlink>
          </w:p>
        </w:tc>
        <w:tc>
          <w:tcPr>
            <w:tcW w:w="740" w:type="dxa"/>
            <w:vAlign w:val="bottom"/>
            <w:gridSpan w:val="4"/>
          </w:tcPr>
          <w:p>
            <w:pPr>
              <w:spacing w:after="0"/>
              <w:rPr>
                <w:sz w:val="24"/>
                <w:szCs w:val="24"/>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Item 1.</w:t>
              </w:r>
            </w:hyperlink>
          </w:p>
        </w:tc>
        <w:tc>
          <w:tcPr>
            <w:tcW w:w="6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Balance Sheets</w:t>
              </w:r>
            </w:hyperlink>
          </w:p>
        </w:tc>
        <w:tc>
          <w:tcPr>
            <w:tcW w:w="5380" w:type="dxa"/>
            <w:vAlign w:val="bottom"/>
            <w:gridSpan w:val="5"/>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Operations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Cash Flows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Statements of Stockholders' Equity</w:t>
              </w:r>
            </w:hyperlink>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0"/>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w:t>
              </w:r>
            </w:hyperlink>
          </w:p>
        </w:tc>
        <w:tc>
          <w:tcPr>
            <w:tcW w:w="3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Item 2.</w:t>
              </w:r>
            </w:hyperlink>
          </w:p>
        </w:tc>
        <w:tc>
          <w:tcPr>
            <w:tcW w:w="8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2"/>
          </w:tcPr>
          <w:p>
            <w:pP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Management’s Discussion and Analysis of Financial Condition and Results of Operations</w:t>
              </w:r>
            </w:hyperlink>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3.</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Quantitative and Qualitative Disclosures about Market Risk</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4.</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PART II.</w:t>
              </w:r>
            </w:hyperlink>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1A.</w:t>
              </w:r>
            </w:hyperlink>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Item 6.</w:t>
              </w:r>
            </w:hyperlink>
          </w:p>
        </w:tc>
        <w:tc>
          <w:tcPr>
            <w:tcW w:w="12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periods;</w:t>
      </w:r>
    </w:p>
    <w:p>
      <w:pPr>
        <w:spacing w:after="0" w:line="10" w:lineRule="exact"/>
        <w:rPr>
          <w:rFonts w:ascii="Arial" w:cs="Arial" w:eastAsia="Arial" w:hAnsi="Arial"/>
          <w:sz w:val="22"/>
          <w:szCs w:val="22"/>
          <w:color w:val="auto"/>
        </w:rPr>
      </w:pPr>
    </w:p>
    <w:p>
      <w:pPr>
        <w:ind w:left="660" w:hanging="328"/>
        <w:spacing w:after="0" w:line="22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strategy and ongoing development programs;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clinical trials, including status, costs, goals, timing and other expectations related thereto;</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belief as to the potential of its lead compound, SP-2577;</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strategic collaborations and license agreements, and intellectual property;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seclidemstat to target the epigenetic dysregulation underlying Ewing sarcoma and advanced solid tumors;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timing and results of clinical studies;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Company’s product candidates to demonstrate drug activity;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strategy and focus of the Company;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and commercial potential of any product candidates;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and plan to regain and maintain compliance with Nasdaq's continued listing standards;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as to revenue, cash flow, and expenses;</w:t>
      </w:r>
    </w:p>
    <w:p>
      <w:pPr>
        <w:ind w:left="660" w:right="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Company’s business, operations, cash flow and ability to obtain additional financing;</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liquidity position, the expected sufficiency of such position for anticipated operating and capital requirements;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capital requirements, and need for, and ability to secure, additional financing;</w:t>
      </w:r>
    </w:p>
    <w:p>
      <w:pPr>
        <w:ind w:left="660" w:right="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access additional financing under the Grant Contract with Cancer Prevention and Research Institute of Texas;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operating losses and ability to continue as a going concern; and</w:t>
      </w:r>
    </w:p>
    <w:p>
      <w:pPr>
        <w:ind w:left="66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decision to engage in any new collaborations or selectively partnering its technology to improve the Company's ability to continue as a going concern.</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 “target”, “potential,” “evaluate,” “proceeding.”</w:t>
      </w:r>
    </w:p>
    <w:p>
      <w:pPr>
        <w:spacing w:after="0" w:line="211"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34" w:lineRule="exact"/>
        <w:rPr>
          <w:sz w:val="20"/>
          <w:szCs w:val="20"/>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extent to which the COVID-19 pandemic impacts our business, our customers’ businesses, the medical community and the global economy;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effectiveness and timeliness of our preclinical studies and clinical trials, and the usefulness of the data;</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expectations regarding the timing and clinical development of our product candidates;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achieve profitable operations and access to needed capital;</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fluctuations in our operating results;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success of current and future license and collaboration agreements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dependence on contract research organizations, vendors and investigators;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effects of competition and other developments affecting development of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market acceptance of our product candidates;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protection of intellectual property and avoiding intellectual property infringement;</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product liability;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other factors described in our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2021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6/30/2022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12/31/2021</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22,647,005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368,161</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949,215</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23,015,166</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30,163,595</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1,610,490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1,610,490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193,874</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33,653,984</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1,874,749</w:t>
            </w:r>
          </w:p>
        </w:tc>
        <w:tc>
          <w:tcPr>
            <w:tcW w:w="2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1,543,096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895,106</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567,787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2,769,855</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2,110,883</w:t>
            </w: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56,116,243 and</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45,241,808 shares issued and outstanding at June 30, 2022 and December 31, 2021,</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73,903,273</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70,915,653</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(43,024,755)</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(32,197,192)</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30,884,129</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38,722,985</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33,653,984</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31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2,921,572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7,361,047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3,836,957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1,836,395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3,514,149</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2,924,674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4,757,967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10,875,196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6,761,631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(4,757,967)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(3,116,820)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(10,875,196)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(4,921,415)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35,398</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(4,718,338)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(10,827,563)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(4,926,265)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(4,718,338)</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(3,074,369)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(10,827,563)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(4,926,265)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Weighted-average number of common shares</w:t>
            </w:r>
          </w:p>
        </w:tc>
        <w:tc>
          <w:tcPr>
            <w:tcW w:w="3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53,522,468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44,756,201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49,908,914</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37,654,521</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outstanding — basic and diluted</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Six Months Ended</w:t>
      </w:r>
    </w:p>
    <w:p>
      <w:pPr>
        <w:ind w:left="920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(10,827,563)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(4,926,265)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513,431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282,835</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 technology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(938,923)</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417,662</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245,959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(577,877)</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(7,140,445)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(5,897,570)</w:t>
            </w:r>
          </w:p>
        </w:tc>
      </w:tr>
      <w:tr>
        <w:trPr>
          <w:trHeight w:val="148"/>
        </w:trPr>
        <w:tc>
          <w:tcPr>
            <w:tcW w:w="7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in-process research and development technology</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26,850,022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1,485,351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2,073,070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27,858,345</w:t>
            </w:r>
          </w:p>
        </w:tc>
      </w:tr>
      <w:tr>
        <w:trPr>
          <w:trHeight w:val="108"/>
        </w:trPr>
        <w:tc>
          <w:tcPr>
            <w:tcW w:w="78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(6,567,375)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21,960,775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22,647,005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33,079,389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2"/>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issued for in-process research and development technology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85,694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1300" w:right="140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07"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40" w:type="dxa"/>
            <w:vAlign w:val="bottom"/>
            <w:gridSpan w:val="3"/>
            <w:vMerge w:val="restart"/>
          </w:tcPr>
          <w:p>
            <w:pPr>
              <w:jc w:val="right"/>
              <w:ind w:right="331"/>
              <w:spacing w:after="0"/>
              <w:rPr>
                <w:sz w:val="20"/>
                <w:szCs w:val="20"/>
                <w:color w:val="auto"/>
              </w:rPr>
            </w:pPr>
            <w:r>
              <w:rPr>
                <w:rFonts w:ascii="Arial" w:cs="Arial" w:eastAsia="Arial" w:hAnsi="Arial"/>
                <w:sz w:val="16"/>
                <w:szCs w:val="16"/>
                <w:b w:val="1"/>
                <w:bCs w:val="1"/>
                <w:color w:val="auto"/>
              </w:rPr>
              <w:t>Common Stock</w:t>
            </w:r>
          </w:p>
        </w:tc>
        <w:tc>
          <w:tcPr>
            <w:tcW w:w="16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5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Additional</w:t>
            </w:r>
          </w:p>
        </w:tc>
        <w:tc>
          <w:tcPr>
            <w:tcW w:w="138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9"/>
                <w:szCs w:val="9"/>
                <w:color w:val="auto"/>
              </w:rPr>
            </w:pPr>
          </w:p>
        </w:tc>
        <w:tc>
          <w:tcPr>
            <w:tcW w:w="1200" w:type="dxa"/>
            <w:vAlign w:val="bottom"/>
            <w:vMerge w:val="restart"/>
          </w:tcPr>
          <w:p>
            <w:pPr>
              <w:jc w:val="center"/>
              <w:ind w:right="51"/>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23,808,546</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$ 2,381</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$ 41,585,761</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$(19,428,954)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19,627,215</w:t>
            </w:r>
          </w:p>
        </w:tc>
        <w:tc>
          <w:tcPr>
            <w:tcW w:w="80" w:type="dxa"/>
            <w:vAlign w:val="bottom"/>
          </w:tcPr>
          <w:p>
            <w:pPr>
              <w:spacing w:after="0"/>
              <w:rPr>
                <w:sz w:val="19"/>
                <w:szCs w:val="19"/>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26,848,058</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26,850,021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 cash</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1,298,567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1,485,222</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1,485,351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135,379</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135,379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(1,851,896)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44,734,328</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$ 4,473</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$ 70,054,420</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$(21,280,850)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48,778,043</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shd w:val="clear" w:color="auto" w:fill="CCEEFF"/>
          </w:tcPr>
          <w:p>
            <w:pPr>
              <w:ind w:left="20"/>
              <w:spacing w:after="0" w:line="166" w:lineRule="exact"/>
              <w:rPr>
                <w:sz w:val="20"/>
                <w:szCs w:val="20"/>
                <w:color w:val="auto"/>
              </w:rPr>
            </w:pPr>
            <w:r>
              <w:rPr>
                <w:rFonts w:ascii="Arial" w:cs="Arial" w:eastAsia="Arial" w:hAnsi="Arial"/>
                <w:sz w:val="19"/>
                <w:szCs w:val="19"/>
                <w:color w:val="auto"/>
              </w:rPr>
              <w:t>Equity-based compensation</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147,452</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line="199" w:lineRule="exact"/>
              <w:rPr>
                <w:sz w:val="20"/>
                <w:szCs w:val="20"/>
                <w:color w:val="auto"/>
              </w:rPr>
            </w:pPr>
            <w:r>
              <w:rPr>
                <w:rFonts w:ascii="Arial" w:cs="Arial" w:eastAsia="Arial" w:hAnsi="Arial"/>
                <w:sz w:val="20"/>
                <w:szCs w:val="20"/>
                <w:color w:val="auto"/>
              </w:rPr>
              <w:t>Issuance of equity securities for</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20"/>
                <w:szCs w:val="20"/>
                <w:color w:val="auto"/>
              </w:rPr>
              <w:t>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6,188</w:t>
            </w:r>
          </w:p>
        </w:tc>
        <w:tc>
          <w:tcPr>
            <w:tcW w:w="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44,778,794</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$ 4,477</w:t>
            </w:r>
          </w:p>
        </w:tc>
        <w:tc>
          <w:tcPr>
            <w:tcW w:w="160" w:type="dxa"/>
            <w:vAlign w:val="bottom"/>
          </w:tcPr>
          <w:p>
            <w:pPr>
              <w:spacing w:after="0"/>
              <w:rPr>
                <w:sz w:val="19"/>
                <w:szCs w:val="19"/>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$ 70,201,872</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$(24,355,219)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45,851,130</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45,241,808</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$ 4,524</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$ 70,915,653</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$(32,197,192)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38,722,985</w:t>
            </w:r>
          </w:p>
        </w:tc>
        <w:tc>
          <w:tcPr>
            <w:tcW w:w="0" w:type="dxa"/>
            <w:vAlign w:val="bottom"/>
          </w:tcPr>
          <w:p>
            <w:pPr>
              <w:spacing w:after="0"/>
              <w:rPr>
                <w:sz w:val="1"/>
                <w:szCs w:val="1"/>
                <w:color w:val="auto"/>
              </w:rPr>
            </w:pPr>
          </w:p>
        </w:tc>
      </w:tr>
      <w:tr>
        <w:trPr>
          <w:trHeight w:val="168"/>
        </w:trPr>
        <w:tc>
          <w:tcPr>
            <w:tcW w:w="31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Common stock issued for in-process</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technology</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487,800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487,900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455,386</w:t>
            </w:r>
          </w:p>
        </w:tc>
        <w:tc>
          <w:tcPr>
            <w:tcW w:w="80" w:type="dxa"/>
            <w:vAlign w:val="bottom"/>
          </w:tcPr>
          <w:p>
            <w:pPr>
              <w:spacing w:after="0"/>
              <w:rPr>
                <w:sz w:val="19"/>
                <w:szCs w:val="19"/>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313,858</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313,903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(6,109,225)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(6,109,225)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46,697,194</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$ 4,669</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$ 71,717,311</w:t>
            </w: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$(38,306,417)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33,415,563</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9,339,436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1,986,442</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1,987,376</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0260"/>
          </w:cols>
          <w:pgMar w:left="320" w:top="290" w:right="1319" w:bottom="1440" w:gutter="0" w:footer="0" w:header="0"/>
        </w:sectPr>
      </w:pPr>
    </w:p>
    <w:p>
      <w:pPr>
        <w:ind w:left="1020"/>
        <w:spacing w:after="0"/>
        <w:rPr>
          <w:sz w:val="20"/>
          <w:szCs w:val="20"/>
          <w:color w:val="auto"/>
        </w:rPr>
      </w:pPr>
      <w:r>
        <w:rPr>
          <w:rFonts w:ascii="Arial" w:cs="Arial" w:eastAsia="Arial" w:hAnsi="Arial"/>
          <w:sz w:val="17"/>
          <w:szCs w:val="17"/>
          <w:color w:val="auto"/>
        </w:rPr>
        <w:t>Equity-based compensation expense</w:t>
      </w:r>
    </w:p>
    <w:p>
      <w:pPr>
        <w:spacing w:after="0" w:line="34" w:lineRule="exact"/>
        <w:rPr>
          <w:sz w:val="20"/>
          <w:szCs w:val="20"/>
          <w:color w:val="auto"/>
        </w:rPr>
      </w:pPr>
    </w:p>
    <w:p>
      <w:pPr>
        <w:ind w:left="1020" w:right="420"/>
        <w:spacing w:after="0" w:line="227" w:lineRule="auto"/>
        <w:rPr>
          <w:sz w:val="20"/>
          <w:szCs w:val="20"/>
          <w:color w:val="auto"/>
        </w:rPr>
      </w:pPr>
      <w:r>
        <w:rPr>
          <w:rFonts w:ascii="Arial" w:cs="Arial" w:eastAsia="Arial" w:hAnsi="Arial"/>
          <w:sz w:val="18"/>
          <w:szCs w:val="18"/>
          <w:color w:val="auto"/>
        </w:rPr>
        <w:t>Issuance of equity securities for services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Net loss</w:t>
      </w:r>
    </w:p>
    <w:p>
      <w:pPr>
        <w:spacing w:after="0" w:line="4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jc w:val="right"/>
              <w:spacing w:after="0"/>
              <w:rPr>
                <w:sz w:val="20"/>
                <w:szCs w:val="20"/>
                <w:color w:val="auto"/>
              </w:rPr>
            </w:pPr>
            <w:r>
              <w:rPr>
                <w:rFonts w:ascii="Arial" w:cs="Arial" w:eastAsia="Arial" w:hAnsi="Arial"/>
                <w:sz w:val="18"/>
                <w:szCs w:val="18"/>
                <w:color w:val="auto"/>
              </w:rPr>
              <w:t>79,613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174,520</w:t>
            </w:r>
          </w:p>
        </w:tc>
        <w:tc>
          <w:tcPr>
            <w:tcW w:w="8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174,528</w:t>
            </w:r>
          </w:p>
        </w:tc>
      </w:tr>
      <w:tr>
        <w:trPr>
          <w:trHeight w:val="405"/>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1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(4,718,338)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(4,718,338)</w:t>
            </w:r>
          </w:p>
        </w:tc>
      </w:tr>
      <w:tr>
        <w:trPr>
          <w:trHeight w:val="223"/>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56,116,243</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$ 5,611</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$ 73,903,273</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(43,024,755)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30,884,129</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-591185</wp:posOffset>
            </wp:positionV>
            <wp:extent cx="588073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5717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-187960</wp:posOffset>
            </wp:positionV>
            <wp:extent cx="58807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160"/>
            <w:col w:w="6140"/>
          </w:cols>
          <w:pgMar w:left="320" w:top="290" w:right="1319" w:bottom="1440" w:gutter="0" w:footer="0" w:header="0"/>
          <w:type w:val="continuous"/>
        </w:sectPr>
      </w:pPr>
    </w:p>
    <w:p>
      <w:pPr>
        <w:spacing w:after="0" w:line="110"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290" w:right="131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8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epigenetic inhibitors and targeted protein degraders. The Company's technologies have the potential to work in both liquid and solid tumors. The Company's current pipeline consists of two small molecule drugs: 1) seclidemstat (SP-2577), a targeted protein inhibitor and 2) SP-3164, a targeted protein degrader. The Company is located in Houston, Texas.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Based on Salarius’ expected cash requirements, Salarius believes that there is substantial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2021 included elsewhere in the Company's Annual Report on Form 10-K filed with the SEC on March 25, 2022. In the opinion of management, the unaudited interim financial statements reflect all the adjustments (consisting of normal</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recurring adjustments) necessary to state fairly the Company’s financial position as of June 30, 2022 and the results of operations for the three and six months ended June 30, 2022 and 2021. The interim results of operations are not necessarily indicative of the results that may occur for the full fiscal year. The December 31, 2021 balance sheet included herein was derived from the audited financial statements, but does not include all disclosures, including notes, required by GAAP for complete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six months ended June 30, 2022 and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6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spacing w:after="0" w:line="21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Many of the events and circumstances evaluated in determining whether it is more likely than not that goodwill is impaired are outside of the Company’s control and could change in future periods. There was no impairment of goodwill during the three and six months ended June 30, 2022 or June 30,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3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Costs incurred in obtaining in-process research and development technology ("IPRD") that has no alternative future use are charged to research and development expense as acquired, and presented as investing activity cash outflows on the Statement of Cash Flow.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17,807,776 and 9,520,698 shares as of June 30, 2022 and 2021,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2022 and December 31, 2021,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 RECEIVABLE FROM CPRIT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are $1.6 million at both June 30, 2022 and December 31, 2021.</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934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 at June 30, 2022 and December 31, 2021 consisted of the following:</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7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2021</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678,672</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172,986</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949,215</w:t>
            </w: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 is mainly comprised of prepaid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Company entered into a Cancer Research Grant Contract with CPRIT.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issued in connection with the Company's merger with Flex Pharma in 2019 ("Flex Warrants"), which are measured at fair value on a recurring basis for the six months ended June 30, 2022:</w:t>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7"/>
                <w:szCs w:val="17"/>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2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Balance at June 30, 2022</w:t>
            </w:r>
          </w:p>
        </w:tc>
        <w:tc>
          <w:tcPr>
            <w:tcW w:w="0" w:type="dxa"/>
            <w:vAlign w:val="bottom"/>
          </w:tcPr>
          <w:p>
            <w:pPr>
              <w:spacing w:after="0"/>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12,235</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January 12, 2022, the Company, entered into an Acquisition and Strategic Collaboration Agreement (the “ASCA”), with DeuteRx, LLC, a Delaware limited liability company (the “DeuteRx”), pursuant to which DeuteRx agreed to sell, and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$2.0 million consisting of $1.5 million cash payment and the delivery of 1 million shares of the Company's common stock, valued at $0.5 million. In addition, the Company agreed to pay to Seller potential future milestone payments upon the occurrence of an applicable Milestone Event (as defined in the ASCA) and potential future royalty payments. A member of the Company’s Board of Directors also serves as a consultant to the Seller and is employed by an affiliate of the Seller.</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22, 2022, the Company entered into a securities purchase agreement with certain institutional and accredited investors for the sale by the Company of 9,339,436 shares of the Company’s common stock, par value $0.0001 per share (the “Common Stock”) at a purchase price of $ 0.25 per share. Concurrently, the Company also sold unregistered warrants exercisable for an aggregate of 7,004,578 shares of Common Stock, which represents 75% of the shares of Common Stock sold, with an exercise price of $0.3399 per share. The transaction closed on April 26, 2022 with gross proceeds of $2.3 million before deducting certain fees due to the placement agent and other estimated transaction expenses.</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 February 5, 2021, the Company entered into an At the Market Offering Agreement (the “Sales Agreement”) with Ladenburg Thalmann &amp; Co. Inc. (“Ladenburg”). Under the Sales Agreement the Company was able to issue and sell, from time to time, shares of its common stock having an aggregate offering price of up to $6.3 million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No shares were issued under the Sales Agreement during the six months ended June 30, 2022. During the six months ended June 30, 2021, the Company issued 2,820,493 shares under the Sales Agreement for gross proceeds of $6.3 million.</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the Company.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five-year warrants outstanding that were issued in February 2020 and subsequently modified in December 2020 in connection with the issuance of additional inducement warrants. The warrants are exercisable at a price per share of $1.15. The inducement warrants expire on June 11, 2026 and are exercisable at a price per share of $1.182. The Company has 5.5 year warrants outstanding that were issued in April 2022, with an exercise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price of $0.3399 per share. The warrants will be exercisable six months following the issuance date and will expire five and one-half years from the issuance date.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six months ended June 30, 2022, no warrants were exercised. During the six months ended June 30, 2021, the Company issued 1,298,567 common shares as a result of warrant exercises, and received cash proceeds of approximately $1.5 million. As of June 30, 2022, 14,752,165 warrants remain outstanding, excluding Flex Warrants and Wedbush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3, 2019, Flex Pharma, Private Salarius and Merger Sub entered into the Merger Agreement. In connection with the Merger Agreement, the Company issued warrants that are exercisable in the aggregate into 142,711 shares of the Company's common stock with a 5-year term from January 20, 2020, at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 which is included in Accrued expenses and other current liabilities on the consolidated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56"/>
        </w:trPr>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June 30, 2022</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2021</w:t>
            </w:r>
          </w:p>
        </w:tc>
      </w:tr>
      <w:tr>
        <w:trPr>
          <w:trHeight w:val="223"/>
        </w:trPr>
        <w:tc>
          <w:tcPr>
            <w:tcW w:w="142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0.97%</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2.56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3.06 years</w:t>
            </w:r>
          </w:p>
        </w:tc>
      </w:tr>
      <w:tr>
        <w:trPr>
          <w:trHeight w:val="230"/>
        </w:trPr>
        <w:tc>
          <w:tcPr>
            <w:tcW w:w="14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126.46%</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125.58%</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5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Wedbush Warrant</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that have an exercise price of $18.90 and a 5-year term. As of June 30, 2022, all warrants issued to Wedbush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2022, there were 1,108,976 shares remaining available for the grant of option awards under the 2015 Plan.</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six-month periods ended June 30, 2022 and 2021, the Company awarded 1,284,000 and 68,500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value of the option grants awarded during each of the six months periods ended June 30, 2022 and 2021 was $0.5 million and $0.1 million, respectively, which has been estimated with the following assumptions on the grant date.</w:t>
      </w:r>
    </w:p>
    <w:p>
      <w:pPr>
        <w:spacing w:after="0" w:line="158" w:lineRule="exact"/>
        <w:rPr>
          <w:sz w:val="20"/>
          <w:szCs w:val="20"/>
          <w:color w:val="auto"/>
        </w:rPr>
      </w:pPr>
    </w:p>
    <w:tbl>
      <w:tblPr>
        <w:tblLayout w:type="fixed"/>
        <w:tblInd w:w="2520" w:type="dxa"/>
        <w:tblCellMar>
          <w:top w:w="0" w:type="dxa"/>
          <w:left w:w="0" w:type="dxa"/>
          <w:bottom w:w="0" w:type="dxa"/>
          <w:right w:w="0" w:type="dxa"/>
        </w:tblCellMar>
      </w:tblPr>
      <w:tr>
        <w:trPr>
          <w:trHeight w:val="229"/>
        </w:trPr>
        <w:tc>
          <w:tcPr>
            <w:tcW w:w="288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28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1.62%-1.70%</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1.09% - 1%</w:t>
            </w:r>
          </w:p>
        </w:tc>
      </w:tr>
      <w:tr>
        <w:trPr>
          <w:trHeight w:val="188"/>
        </w:trPr>
        <w:tc>
          <w:tcPr>
            <w:tcW w:w="28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131.06%</w:t>
            </w:r>
          </w:p>
        </w:tc>
      </w:tr>
      <w:tr>
        <w:trPr>
          <w:trHeight w:val="21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125.19% 126.42%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133.35%</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5.00-6.00</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6.00</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six months ended June 30, 2022 and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4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 (in years)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1,563,972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7"/>
              </w:rPr>
              <w:t>$2.78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9.47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$175,770</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center"/>
              <w:spacing w:after="0"/>
              <w:rPr>
                <w:sz w:val="20"/>
                <w:szCs w:val="20"/>
                <w:color w:val="auto"/>
              </w:rPr>
            </w:pPr>
            <w:r>
              <w:rPr>
                <w:rFonts w:ascii="Arial" w:cs="Arial" w:eastAsia="Arial" w:hAnsi="Arial"/>
                <w:sz w:val="18"/>
                <w:szCs w:val="18"/>
                <w:color w:val="auto"/>
              </w:rPr>
              <w:t>68,500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9"/>
              </w:rPr>
              <w:t>$1.13-$1.49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center"/>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1,587,472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7"/>
              </w:rPr>
              <w:t>$2.77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8.99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$307,100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156,519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1,597,972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7"/>
              </w:rPr>
              <w:t>$2.75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8.50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1,284,000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center"/>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2,869,972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7"/>
              </w:rPr>
              <w:t>$1.74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8.70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856,891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7"/>
              </w:rPr>
              <w:t>$4.13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2022 and 2021, there was approximately $1.2 million and $1.1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2.6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2021, filed with the SEC on March 25,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a clinical-stage biopharmaceutical company focused on developing treatments for cancers with high, unmet medical need</w:t>
      </w:r>
      <w:r>
        <w:rPr>
          <w:rFonts w:ascii="Arial" w:cs="Arial" w:eastAsia="Arial" w:hAnsi="Arial"/>
          <w:sz w:val="21"/>
          <w:szCs w:val="21"/>
          <w:color w:val="auto"/>
        </w:rPr>
        <w:t>.</w:t>
      </w:r>
      <w:r>
        <w:rPr>
          <w:rFonts w:ascii="Arial" w:cs="Arial" w:eastAsia="Arial" w:hAnsi="Arial"/>
          <w:sz w:val="18"/>
          <w:szCs w:val="18"/>
          <w:color w:val="auto"/>
        </w:rPr>
        <w:t xml:space="preserve"> Specifically, we are developing treatments for cancers caused by dysregulated gene expression, i.e., genes which are incorrectly turned on or off. We are developing two classes of drugs that address gene dysregulation: epigenetic inhibitors and targeted protein degraders. Our technologies have the potential to work in both liquid and solid tumors. Our current pipeline consists of: 1) seclidemstat (SP-2577), a targeted LSD1 protein inhibitor, 2) SP-3164, a targeted protein degrader, and 3) a second generation LSD1 inhibitor program in drug discovery.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$43.0 million as of June 30, 2022. Substantially all of our operating losses resulted from expenses incurred in connection with our research and development programs and from general and administrative costs associated with our operations. As of June 30, 2022, we had cash and cash equivalents of $22.6 million.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Seclidemstat - Targeted Protein Inhibition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cyclophosphamide. Based on SP-2577’s proposed mechanism of action, preclinical data, and clinical data from our earlier Advanced Solid Tumor trial, we expanded the Ewing sarcoma dose expansion trial to include a cohort of Ewing-related sarcomas (also referred to as FET-translocated sarcomas). Ewing sarcoma and FET-translocated sarcomas are rare cancers that may provide a speed-to-market development approach. In addition, as part of our market expansion strategy, in 2021 we initiated an Investigator Initiated Trial with the MD Anderson Cancer Center that is studying SP-2577 in combination with azacitidine for the treatment of patients with myelodysplastic syndromes (MDS) or chronic myelomonocytic leukemia (CMML). MDS and CMML can progress into Acute Myeloid Leukemia (AML), which the American Cancer Society estimates there were almost 20,000 new cases of AML in the US alone in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 Targeted Protein Degradation</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IKZF1 and IKZF3, along with other</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proteins, resulting in both direct anti-cancer activity and immune-modulating properties. SP-3164 has potential to treat both hematologic and solid tumors and is currently in IND-enabling studies.</w:t>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goal is to develop SP-2577 and SP-3164 for treatment of cancers while attempting to maximize return for investors. To achieve this goal, our strategy consists of a two-pronged approach: 1) speed-to-market by developing SP-2577 and SP-3164 in high unmet need indications and 2) expansion of the market by developing SP-2577 and SP-3164 in larger market indications.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4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ongoing COVID-19 coronavirus pandemic (the “Pandemic”) has had a significant effect on the United States, global economies, and business worldwide. While we have thus far experienced minimal disruptions from the Pandemic, the duration and full extent to which the Pandemic impacts our business and financial condition depends on future developments that are highly uncertain, subject to change and are difficult to predict, including new information that may emerge concerning the Pandemic, and may cause intermittent or prolonged periods of interruptions to our clinical operations. We are continuously monitoring the Pandemic and its potential effect on our financial position, results of operations and cash flows. This uncertainty could have an impact in future periods on certain estimates used in the preparation of our periodic financial results. Uncertainty around the extent and length of time of the Pandemic, and any future related financial impact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p>
      <w:pPr>
        <w:spacing w:after="0" w:line="2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June 30, 2022 compared to June 30, 2021.</w:t>
      </w:r>
    </w:p>
    <w:p>
      <w:pPr>
        <w:spacing w:after="0" w:line="200" w:lineRule="exact"/>
        <w:rPr>
          <w:sz w:val="20"/>
          <w:szCs w:val="20"/>
          <w:color w:val="auto"/>
        </w:rPr>
      </w:pPr>
    </w:p>
    <w:p>
      <w:pPr>
        <w:spacing w:after="0" w:line="367"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0"/>
        </w:trPr>
        <w:tc>
          <w:tcPr>
            <w:tcW w:w="3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Grant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571,387</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(571,387)</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2,921,572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2,096,302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825,270</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1,836,395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1,591,905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244,490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6,427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(35,759)</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32,937</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(4,718,338)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(3,074,369)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(1,643,969)</w:t>
            </w:r>
          </w:p>
        </w:tc>
      </w:tr>
      <w:tr>
        <w:trPr>
          <w:trHeight w:val="21"/>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was $0 for three months ended June 30, 2022 resulting from the completion of CPRIT available funding under the grant during the second quarter of 2021. We have reached the maximum amount of the eligible spending that can be reimbursed from CPRIT.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continue to expect to receive $1.6 million from the grant.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increased during the three months ended June 30, 2022 compared to the same periods in 2021 primarily due to spending on SP-3164, which was acquired in January 2022. Overall costs associated with SP-2577 were essentially unchanged from the same period in the prior year as shown in the table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7"/>
              </w:rPr>
              <w:t>SP-2577</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SP-3164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 candidates and by</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8"/>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categories: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1,380,125</w:t>
            </w:r>
          </w:p>
        </w:tc>
        <w:tc>
          <w:tcPr>
            <w:tcW w:w="2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1,186,888</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341,626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Employee-related costs</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532,017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403,177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44,707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189,875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506,237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433,222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In process research and development costs</w:t>
            </w:r>
          </w:p>
        </w:tc>
        <w:tc>
          <w:tcPr>
            <w:tcW w:w="30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2,102,017</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2,096,302</w:t>
            </w:r>
          </w:p>
        </w:tc>
        <w:tc>
          <w:tcPr>
            <w:tcW w:w="2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819,555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increased to $1.8 million during the three months ended June 30, 2022 from $1.6 million for the three months ended June 30, 2021 due to higher personnel costs and proxy solicitation services cost related to the annual meeting of stockholders.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the Six Months Ended June 30, 2021</w:t>
      </w:r>
    </w:p>
    <w:p>
      <w:pPr>
        <w:spacing w:after="0" w:line="23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six months ended June 30, 2022 compared to June 30, 2021.</w:t>
      </w:r>
    </w:p>
    <w:p>
      <w:pPr>
        <w:spacing w:after="0" w:line="200" w:lineRule="exact"/>
        <w:rPr>
          <w:sz w:val="20"/>
          <w:szCs w:val="20"/>
          <w:color w:val="auto"/>
        </w:rPr>
      </w:pPr>
    </w:p>
    <w:p>
      <w:pPr>
        <w:spacing w:after="0" w:line="381"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0"/>
        </w:trPr>
        <w:tc>
          <w:tcPr>
            <w:tcW w:w="37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Grant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1,840,216</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(1,840,216)</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7,361,047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3,836,957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3,524,090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3,514,149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2,924,674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589,475</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12,235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16,103</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35,398</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36,380</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(10,827,563)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(4,926,265)</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(5,901,298)</w:t>
            </w:r>
          </w:p>
        </w:tc>
      </w:tr>
      <w:tr>
        <w:trPr>
          <w:trHeight w:val="20"/>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was $0 for six months ended June 30, 2022 resulting from the completion of CPRIT available funding under the grant during the second quarter of 2021. We have reached the maximum amount of the eligible spending that can be reimbursed from CPRIT.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increased during the six months ended June 30, 2022 compared to the same periods in 2021 resulting primarily from the purchase of SP-3164 as an in-process research and development technology and continued spending on SP-3164 drug development. Cost associated with SP-2577 is slightly higher compared to the prior year, mainly driven by higher outsourced research and development costs, personnel costs and clinical trial costs, offset by lower manufacturing cost.</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SP-2577</w:t>
            </w:r>
          </w:p>
        </w:tc>
        <w:tc>
          <w:tcPr>
            <w:tcW w:w="11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SP-3164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 candidates and by</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8"/>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5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restart"/>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categories: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2,650,433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2,097,401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459,229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1,137,836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718,638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88,766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580,294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1,020,918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456,589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In process research and development costs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1,987,900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4,368,563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3,836,957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2,992,484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increased to $ 3.5 million during the six months ended June 30, 2022 from $2.9 million for the six months ended June 30, 2021 due to higher personnel costs and public company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June 30, 2022, we had $20.2 million of working capital and our cash and cash equivalents totaled $22.6 million, which were held in bank deposit accounts and a money market account. Our cash and cash equivalents balance decreased during the six months ended June 30, 2022, primarily due to cash used in operating and investing activities, offsetting by the cash received from financing activities.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 our product candidate. At the same time, 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discontinue the development or commercialization of our product candidate. Furthermore, we may be unable to complete a collaboration, or if we do, we may be forced to relinquish valuable future product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2021</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(7,140,445)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(5,897,570)</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9"/>
                <w:szCs w:val="19"/>
                <w:color w:val="auto"/>
              </w:rPr>
            </w:pPr>
          </w:p>
        </w:tc>
        <w:tc>
          <w:tcPr>
            <w:tcW w:w="1720" w:type="dxa"/>
            <w:vAlign w:val="bottom"/>
          </w:tcPr>
          <w:p>
            <w:pPr>
              <w:jc w:val="center"/>
              <w:ind w:left="670"/>
              <w:spacing w:after="0"/>
              <w:rPr>
                <w:sz w:val="20"/>
                <w:szCs w:val="20"/>
                <w:color w:val="auto"/>
              </w:rPr>
            </w:pPr>
            <w:r>
              <w:rPr>
                <w:rFonts w:ascii="Arial" w:cs="Arial" w:eastAsia="Arial" w:hAnsi="Arial"/>
                <w:sz w:val="18"/>
                <w:szCs w:val="18"/>
                <w:color w:val="auto"/>
                <w:w w:val="99"/>
              </w:rPr>
              <w:t>(1,500,000)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9"/>
              </w:rPr>
              <w:t>2,073,070</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27,858,345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(6,567,375)</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21,960,775</w:t>
            </w:r>
          </w:p>
        </w:tc>
      </w:tr>
      <w:tr>
        <w:trPr>
          <w:trHeight w:val="21"/>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Net cash used in operating activities was $7.1 million in the current period, an increase of approximately $1.2 million from the same period a year ago. The increase is primarily due to higher research and development cost incurred in current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investing activities was $1.5 million in the current period for the cash portion of the purchase price for the acquisition of in-process research and development technology SP-3164. There was no such transaction during the same period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for the six months ended June 30, 2022 was $2.1 million, compared to $27.9 million for the same period of the year 2021. This is due to the Company's completion of common stock sales during the six-months ended June 30, 2021 with total net proceeds of approximately $27.0 million, and the receipt of approximately $1.5 million from the exercise of warrants during the six - months ended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are reflected in our condensed consolidated financial statements prospectively from the date of the change in estimate.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25, 2022.</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Readers should refer to our Annual Report on Form10-K filed with SEC on March 25, 2022, Note 2, Basis of Presentation and Significant Accounting Policies to the accompanying financial statements for descriptions of these policies and estimates.</w:t>
      </w:r>
    </w:p>
    <w:p>
      <w:pPr>
        <w:spacing w:after="0" w:line="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43"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June 30, 2022.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principal executive officer and principal financial officer concluded that, as of such date, our disclosure controls and procedures were effective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June 30, 2022,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4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2021, filed with the SEC on March 25, 2022, as well as the risk factors set forth below. The risk factors below are in addition to and supplement (and with respect to certain matters, update) the risk factors discussed in our Annual Report on Form 10-K. Other than as set forth below, there have been no material changes to the risk factors included in our Annual Report on Form 10-K filed with the SEC on March 25, 2022.</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$12.8 million for the year ended December 31, 2021, and we have incurred a net loss of $4.7 million and $10.8 million for the three months ended June 30, 2022 and six months ended June 30, 2022,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and funding our operations have been funded through sales of equity and funds received from CPRIT. The amount and timing of our future funding requirements will depend on many factors, including but not limited to the pace and results of our clinical development efforts, as well as our ability to access the funding remaining available under the CPRIT grant. Further, the global economic downturn may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impair our ability to obtain additional financing through other means, such as debt financing. There can be no assurance we will be able to</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funding from CPRIT and failure to receive additional funds may harm our business.</w:t>
      </w:r>
    </w:p>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During the course of the development of our product candidate, we have been funded through the sale of equity and the funding we received from the CPRIT grant. The CPRIT agreement was awarded in June 2016 and originally provided for a three-year grant award of up to $18.7 million, further modified to $16.1 million, to fund the development of the LSD-1 inhibitor. We have received $ 14.5 million since inception of the grant. The term of the CPRIT agreement was extended through November 30, 2022. We currently have a $1.6 million receivable due from CPRIT on our June 30, 2022 balance sheet. If CPRIT terminates our agreement prior to the expiration due to an event of default or if we terminate the agreement, CPRIT may require us to repay some or all of the disbursed grant. Although we may apply for government contracts and grants in the future, we may not be successful in obtaining additional grants for any product candidates or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If we fail to comply with the continued listing standards of Nasdaq, our common stock may be delisted from Nasdaq. This in turn could result in significantly reduced trading liquidity, reduced trading volumes, and loss of research analyst coverage, among other consequences. These in turn could result in a further decline in the market price of common stock and would have a material adverse effect on our company.</w:t>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November 16, 2021, we received a notice from Nasdaq, or the Notice, that on November 15, 2021, the average closing price of our common stock over the prior 30 consecutive trading days had fallen below $1.00 per share, which is the minimum average closing price required to maintain listing on Nasdaq under Nasdaq Listing Rule 5450(a)(1), or the Minimum Bid Requirement. The Notice indicated that, to regain compliance, the closing bid price of our common stock must be at least $1.00 per share for a minimum of ten consecutive business days before May 16, 2022.</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May 17, 2022, we received a letter from Nasdaq notifying us that we have been granted an additional 180-day period, or until November 14, 2022, to regain compliance with the Minimum Bid Price Requirement. The new compliance period is an extension of the initial compliance period provided for in the Notice. Nasdaq’s determination was based on our meeting the continued listing requirement for market value of publicly held shares and all other applicable requirements for initial listing on the Nasdaq Capital Market, with the exception of the Minimum Bid Price Requirement, and our written notice of our intention to cure the deficiency during the second compliance period by effecting a reverse stock split, if necessary.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intend to actively monitor the closing bid price of our common stock and will evaluate available options to regain compliance with the Minimum Bid Requirement, such as implementing a reverse stock split. At our 2022 Annual Meeting of Stockholders, our stockholders approved an amendment to our Certificate of Incorporation to effect a reverse stock split of all of our outstanding shares of common stock by one of several fixed ratios between 1-for-5 and 1-for-30, with the final decision of whether to proceed with the reverse stock split, the effective time of the reverse stock split, and the exact ratio of the reverse stock split to be determined by our board of directors, in its sole discretion and without further action by our stockholders. In the event a reverse stock split is implemented, there is no assurance that the reverse stock split will not cause an actual decline in the value of our outstanding common stock. The liquidity of the shares of our common stock may be affected adversely by the reverse stock split given the reduced number of shares that will be outstanding following the reverse stock split, especially if the market price of our common stock does not increase as a result of the reverse stock split. In addition, the reverse stock split may increase the number of stockholders who own odd lots (less than 100 shares) of our common stock, creating the potential for such stockholders to experience an increase in the cost of selling their shares and greater difficulty effecting such sales.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the extent that we are unable to resolve any listing deficiency, including if a reverse stock split it is unsuccessful in sufficiently raising the market price of our common stock, there is a risk that our common stock may be delisted from Nasdaq, which would adversely impact liquidity of our common stock and potentially result in even lower bid prices for our common stock and potentially result in even lower bid prices for our common stock. If for any reasons, Nasdaq should delist our common stock, and if our common stock is not then eligible for quotation on another market or exchange, trading of shares of our common stock could be conducted in the over-the-counter markets. In such event, a reduction in some or all of the following may occur, each of which could materially and adversely affect our stockholders:</w:t>
      </w:r>
    </w:p>
    <w:p>
      <w:pPr>
        <w:spacing w:after="0" w:line="17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liquidity of our common stock;</w:t>
      </w:r>
    </w:p>
    <w:p>
      <w:pPr>
        <w:ind w:left="640" w:hanging="308"/>
        <w:spacing w:after="0" w:line="21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ind w:left="640" w:hanging="308"/>
        <w:spacing w:after="0" w:line="21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ind w:left="640" w:hanging="308"/>
        <w:spacing w:after="0" w:line="21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institutional and general investors that will consider investing in our common stock;</w:t>
      </w:r>
    </w:p>
    <w:p>
      <w:pPr>
        <w:ind w:left="640" w:hanging="308"/>
        <w:spacing w:after="0" w:line="21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ind w:left="640" w:hanging="308"/>
        <w:spacing w:after="0" w:line="21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occurrence of any of these events could result in a further decline in the market price of common stock and could have a material adverse effect on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80" w:type="dxa"/>
            <w:vAlign w:val="bottom"/>
            <w:gridSpan w:val="4"/>
            <w:vMerge w:val="restart"/>
          </w:tcPr>
          <w:p>
            <w:pPr>
              <w:ind w:left="3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9"/>
        </w:trPr>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Certification of the Principal Executive Officer pursuant to Rule 13a-14(a) or 15d-14(a) of the Securities Exchange Act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7">
              <w:r>
                <w:rPr>
                  <w:rFonts w:ascii="Arial" w:cs="Arial" w:eastAsia="Arial" w:hAnsi="Arial"/>
                  <w:sz w:val="18"/>
                  <w:szCs w:val="18"/>
                  <w:color w:val="0000FF"/>
                  <w:w w:val="93"/>
                </w:rPr>
                <w:t>1934.</w:t>
              </w:r>
            </w:hyperlink>
          </w:p>
        </w:tc>
        <w:tc>
          <w:tcPr>
            <w:tcW w:w="3000" w:type="dxa"/>
            <w:vAlign w:val="bottom"/>
            <w:tcBorders>
              <w:top w:val="single" w:sz="8" w:color="0000FF"/>
            </w:tcBorders>
          </w:tcPr>
          <w:p>
            <w:pPr>
              <w:spacing w:after="0"/>
              <w:rPr>
                <w:sz w:val="13"/>
                <w:szCs w:val="13"/>
                <w:color w:val="auto"/>
              </w:rPr>
            </w:pPr>
          </w:p>
        </w:tc>
        <w:tc>
          <w:tcPr>
            <w:tcW w:w="6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the Principal Financial Officer pursuant to Rule 13a-14(a) or 15d-14(a) of the Securities Exchange Act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8">
              <w:r>
                <w:rPr>
                  <w:rFonts w:ascii="Arial" w:cs="Arial" w:eastAsia="Arial" w:hAnsi="Arial"/>
                  <w:sz w:val="18"/>
                  <w:szCs w:val="18"/>
                  <w:color w:val="0000FF"/>
                  <w:w w:val="93"/>
                </w:rPr>
                <w:t>1934.</w:t>
              </w:r>
            </w:hyperlink>
          </w:p>
        </w:tc>
        <w:tc>
          <w:tcPr>
            <w:tcW w:w="3000" w:type="dxa"/>
            <w:vAlign w:val="bottom"/>
            <w:tcBorders>
              <w:top w:val="single" w:sz="8" w:color="0000FF"/>
            </w:tcBorders>
          </w:tcPr>
          <w:p>
            <w:pPr>
              <w:spacing w:after="0"/>
              <w:rPr>
                <w:sz w:val="13"/>
                <w:szCs w:val="13"/>
                <w:color w:val="auto"/>
              </w:rPr>
            </w:pPr>
          </w:p>
        </w:tc>
        <w:tc>
          <w:tcPr>
            <w:tcW w:w="6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Principal Executive Officer and Principal Financial Officer pursuant to Rule 13a-14(b) or 15d-14(b) of the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29">
              <w:r>
                <w:rPr>
                  <w:rFonts w:ascii="Arial" w:cs="Arial" w:eastAsia="Arial" w:hAnsi="Arial"/>
                  <w:sz w:val="18"/>
                  <w:szCs w:val="18"/>
                  <w:color w:val="0000FF"/>
                  <w:w w:val="99"/>
                </w:rPr>
                <w:t>Exchange Act and 18 U.S.C. Section 1350.</w:t>
              </w:r>
            </w:hyperlink>
          </w:p>
        </w:tc>
        <w:tc>
          <w:tcPr>
            <w:tcW w:w="6040" w:type="dxa"/>
            <w:vAlign w:val="bottom"/>
            <w:tcBorders>
              <w:top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6"/>
          </w:tcPr>
          <w:p>
            <w:pPr>
              <w:spacing w:after="0" w:line="176" w:lineRule="exact"/>
              <w:rPr>
                <w:sz w:val="20"/>
                <w:szCs w:val="20"/>
                <w:color w:val="auto"/>
              </w:rPr>
            </w:pPr>
            <w:r>
              <w:rPr>
                <w:rFonts w:ascii="Arial" w:cs="Arial" w:eastAsia="Arial" w:hAnsi="Arial"/>
                <w:sz w:val="18"/>
                <w:szCs w:val="18"/>
                <w:color w:val="auto"/>
              </w:rPr>
              <w:t>June 30, 2022, formatted in XBRL (eXtensible Business Reporting Language):(i) Unaudited Condensed Consolidated</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6"/>
          </w:tcPr>
          <w:p>
            <w:pPr>
              <w:spacing w:after="0" w:line="176" w:lineRule="exact"/>
              <w:rPr>
                <w:sz w:val="20"/>
                <w:szCs w:val="20"/>
                <w:color w:val="auto"/>
              </w:rPr>
            </w:pPr>
            <w:r>
              <w:rPr>
                <w:rFonts w:ascii="Arial" w:cs="Arial" w:eastAsia="Arial" w:hAnsi="Arial"/>
                <w:sz w:val="18"/>
                <w:szCs w:val="18"/>
                <w:color w:val="auto"/>
              </w:rPr>
              <w:t>Balance Sheets, (ii) Unaudited Condensed Consolidated Statements of Operations (iii) Unaudited Condensed</w:t>
            </w:r>
          </w:p>
        </w:tc>
        <w:tc>
          <w:tcPr>
            <w:tcW w:w="0" w:type="dxa"/>
            <w:vAlign w:val="bottom"/>
          </w:tcPr>
          <w:p>
            <w:pPr>
              <w:spacing w:after="0"/>
              <w:rPr>
                <w:sz w:val="1"/>
                <w:szCs w:val="1"/>
                <w:color w:val="auto"/>
              </w:rPr>
            </w:pPr>
          </w:p>
        </w:tc>
      </w:tr>
    </w:tbl>
    <w:p>
      <w:pPr>
        <w:ind w:left="1620" w:right="140"/>
        <w:spacing w:after="0" w:line="227" w:lineRule="auto"/>
        <w:rPr>
          <w:sz w:val="20"/>
          <w:szCs w:val="20"/>
          <w:color w:val="auto"/>
        </w:rPr>
      </w:pPr>
      <w:r>
        <w:rPr>
          <w:rFonts w:ascii="Arial" w:cs="Arial" w:eastAsia="Arial" w:hAnsi="Arial"/>
          <w:sz w:val="18"/>
          <w:szCs w:val="18"/>
          <w:color w:val="auto"/>
        </w:rPr>
        <w:t>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2734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right="120" w:hanging="172"/>
        <w:spacing w:after="0" w:line="249" w:lineRule="auto"/>
        <w:tabs>
          <w:tab w:leader="none" w:pos="11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8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9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1"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Mark J. Rosenblum</w:t>
      </w:r>
    </w:p>
    <w:p>
      <w:pPr>
        <w:ind w:left="594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290"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10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0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188"/>
        </w:trPr>
        <w:tc>
          <w:tcPr>
            <w:tcW w:w="402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August 5, 2022</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210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0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02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August 5, 2022</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June 30,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29" w:lineRule="exact"/>
        <w:rPr>
          <w:sz w:val="20"/>
          <w:szCs w:val="20"/>
          <w:color w:val="auto"/>
        </w:rPr>
      </w:pPr>
    </w:p>
    <w:p>
      <w:pPr>
        <w:ind w:left="660" w:right="22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96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5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August 5, 2022</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337"/>
        </w:trPr>
        <w:tc>
          <w:tcPr>
            <w:tcW w:w="450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5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50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500" w:type="dxa"/>
            <w:vAlign w:val="bottom"/>
          </w:tcPr>
          <w:p>
            <w:pPr>
              <w:spacing w:after="0"/>
              <w:rPr>
                <w:sz w:val="20"/>
                <w:szCs w:val="20"/>
                <w:color w:val="auto"/>
              </w:rPr>
            </w:pPr>
            <w:r>
              <w:rPr>
                <w:rFonts w:ascii="Arial" w:cs="Arial" w:eastAsia="Arial" w:hAnsi="Arial"/>
                <w:sz w:val="18"/>
                <w:szCs w:val="18"/>
                <w:color w:val="auto"/>
              </w:rPr>
              <w:t>August 5, 2022</w:t>
            </w: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2022-08-05T15:10:42Z</dcterms:created>
  <dcterms:modified xsi:type="dcterms:W3CDTF">2022-08-05T15:10:42Z</dcterms:modified>
</cp:coreProperties>
</file>