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940" w:right="2300" w:hanging="3891"/>
        <w:spacing w:after="0" w:line="310" w:lineRule="auto"/>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2018</w:t>
      </w:r>
    </w:p>
    <w:p>
      <w:pPr>
        <w:jc w:val="center"/>
        <w:ind w:right="-39"/>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80"/>
          </w:cols>
          <w:pgMar w:left="240" w:top="384" w:right="27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20"/>
          </w:cols>
          <w:pgMar w:left="240" w:top="38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384" w:right="27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2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20"/>
          </w:cols>
          <w:pgMar w:left="240" w:top="384" w:right="27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02199</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2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26" w:lineRule="exact"/>
        <w:rPr>
          <w:sz w:val="24"/>
          <w:szCs w:val="24"/>
          <w:color w:val="auto"/>
        </w:rPr>
      </w:pPr>
    </w:p>
    <w:p>
      <w:pPr>
        <w:ind w:left="340"/>
        <w:spacing w:after="0" w:line="161" w:lineRule="exact"/>
        <w:tabs>
          <w:tab w:leader="none" w:pos="2840" w:val="left"/>
          <w:tab w:leader="none" w:pos="4940" w:val="left"/>
          <w:tab w:leader="none" w:pos="694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(Do not check if</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 smaller reporting company)</w:t>
      </w:r>
    </w:p>
    <w:p>
      <w:pPr>
        <w:spacing w:after="0" w:line="190" w:lineRule="exact"/>
        <w:rPr>
          <w:sz w:val="24"/>
          <w:szCs w:val="24"/>
          <w:color w:val="auto"/>
        </w:rPr>
      </w:pPr>
    </w:p>
    <w:p>
      <w:pPr>
        <w:ind w:right="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April 27, 2018, there were 18,013,532 shares of common stock outstanding.</w:t>
      </w:r>
    </w:p>
    <w:p>
      <w:pPr>
        <w:sectPr>
          <w:pgSz w:w="11900" w:h="16838" w:orient="portrait"/>
          <w:cols w:equalWidth="0" w:num="1">
            <w:col w:w="11380"/>
          </w:cols>
          <w:pgMar w:left="240" w:top="384"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52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0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7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6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3"/>
          </w:tcPr>
          <w:p>
            <w:pPr>
              <w:spacing w:after="0"/>
              <w:rPr>
                <w:sz w:val="21"/>
                <w:szCs w:val="21"/>
                <w:color w:val="auto"/>
              </w:rPr>
            </w:pPr>
          </w:p>
        </w:tc>
        <w:tc>
          <w:tcPr>
            <w:tcW w:w="39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40" w:type="dxa"/>
            <w:vAlign w:val="bottom"/>
            <w:gridSpan w:val="12"/>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Notes to Condensed Consolidated Financial Statements</w:t>
              </w:r>
            </w:hyperlink>
          </w:p>
        </w:tc>
        <w:tc>
          <w:tcPr>
            <w:tcW w:w="44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884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91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1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10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910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910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development of our drug product candidates, including the timing of our planned and ongoing clinical trials, and expectations regarding the commercial prospects of our consumer product, the expected timing for the reporting of data from our ongoing and future studies, prospects, plans and objectives of management, are forward 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status, timing, costs, results and interpretation of our clinical trials; the uncertainties inherent in conducting clinical trials; results from our ongoing and planned pre-clinical development; expectations of our ability to make regulatory filings and obtain and maintain regulatory approvals; our ability to develop and commercialize our consumer product; anticipated attributes of our consumer product; results of early clinical studies as indicative of the results of future trials; availability of funding sufficient for our foreseeable and unforeseeable operating expenses and capital expenditure requirements; other matters that could affect the availability or commercial potential of our consumer or drug product candidates; the inherent uncertainties associated with intellectual property; and other factors discussed in this Quarterly Report on Form 10-Q, our Annual Report on Form 10-K for the year ended December 31, 2017 and other filings with the Securities and Exchange Commission, or SEC.</w:t>
      </w:r>
    </w:p>
    <w:p>
      <w:pPr>
        <w:spacing w:after="0" w:line="21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6380" w:type="dxa"/>
            <w:vAlign w:val="bottom"/>
          </w:tcPr>
          <w:p>
            <w:pPr>
              <w:ind w:left="304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FLEX PHARMA, INC.</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6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21,948,395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19,186,036</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Marketable securities</w:t>
            </w:r>
          </w:p>
        </w:tc>
        <w:tc>
          <w:tcPr>
            <w:tcW w:w="34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1,999,399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14,129,723</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12,631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10,385</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6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418,196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431,891</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1,261,232</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777,102</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25,639,853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34,535,137</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266,647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331,040</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w:t>
            </w:r>
          </w:p>
        </w:tc>
        <w:tc>
          <w:tcPr>
            <w:tcW w:w="6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126,595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6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26,033,095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6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2,241,402</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2,004,440</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1,820,292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3,712,221</w:t>
            </w:r>
          </w:p>
        </w:tc>
        <w:tc>
          <w:tcPr>
            <w:tcW w:w="0" w:type="dxa"/>
            <w:vAlign w:val="bottom"/>
          </w:tcPr>
          <w:p>
            <w:pPr>
              <w:spacing w:after="0"/>
              <w:rPr>
                <w:sz w:val="1"/>
                <w:szCs w:val="1"/>
                <w:color w:val="auto"/>
              </w:rPr>
            </w:pPr>
          </w:p>
        </w:tc>
      </w:tr>
      <w:tr>
        <w:trPr>
          <w:trHeight w:val="264"/>
        </w:trPr>
        <w:tc>
          <w:tcPr>
            <w:tcW w:w="754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72,188</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rent, current portion</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58,821</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58,821</w:t>
            </w:r>
          </w:p>
        </w:tc>
        <w:tc>
          <w:tcPr>
            <w:tcW w:w="0" w:type="dxa"/>
            <w:vAlign w:val="bottom"/>
          </w:tcPr>
          <w:p>
            <w:pPr>
              <w:spacing w:after="0"/>
              <w:rPr>
                <w:sz w:val="1"/>
                <w:szCs w:val="1"/>
                <w:color w:val="auto"/>
              </w:rPr>
            </w:pPr>
          </w:p>
        </w:tc>
      </w:tr>
      <w:tr>
        <w:trPr>
          <w:trHeight w:val="250"/>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4,120,515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5,847,670</w:t>
            </w:r>
          </w:p>
        </w:tc>
        <w:tc>
          <w:tcPr>
            <w:tcW w:w="0" w:type="dxa"/>
            <w:vAlign w:val="bottom"/>
          </w:tcPr>
          <w:p>
            <w:pPr>
              <w:spacing w:after="0"/>
              <w:rPr>
                <w:sz w:val="1"/>
                <w:szCs w:val="1"/>
                <w:color w:val="auto"/>
              </w:rPr>
            </w:pP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rent, net of current portion</w:t>
            </w:r>
          </w:p>
        </w:tc>
        <w:tc>
          <w:tcPr>
            <w:tcW w:w="3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24,509</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39,214</w:t>
            </w: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6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4,145,024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5,886,884</w:t>
            </w:r>
          </w:p>
        </w:tc>
        <w:tc>
          <w:tcPr>
            <w:tcW w:w="0" w:type="dxa"/>
            <w:vAlign w:val="bottom"/>
          </w:tcPr>
          <w:p>
            <w:pPr>
              <w:spacing w:after="0"/>
              <w:rPr>
                <w:sz w:val="1"/>
                <w:szCs w:val="1"/>
                <w:color w:val="auto"/>
              </w:rPr>
            </w:pPr>
          </w:p>
        </w:tc>
      </w:tr>
      <w:tr>
        <w:trPr>
          <w:trHeight w:val="276"/>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Preferred stock, $0.0001 par value; 10,000,000 shares authorized at March 31, 2018 and December 31, 2017; none</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540" w:type="dxa"/>
            <w:vAlign w:val="bottom"/>
            <w:gridSpan w:val="2"/>
          </w:tcPr>
          <w:p>
            <w:pPr>
              <w:ind w:left="120"/>
              <w:spacing w:after="0"/>
              <w:rPr>
                <w:sz w:val="20"/>
                <w:szCs w:val="20"/>
                <w:color w:val="auto"/>
              </w:rPr>
            </w:pPr>
            <w:r>
              <w:rPr>
                <w:rFonts w:ascii="Arial" w:cs="Arial" w:eastAsia="Arial" w:hAnsi="Arial"/>
                <w:sz w:val="14"/>
                <w:szCs w:val="14"/>
                <w:color w:val="auto"/>
              </w:rPr>
              <w:t>issued or outstanding at March 31, 2018 and December 31, 2017</w:t>
            </w:r>
          </w:p>
        </w:tc>
        <w:tc>
          <w:tcPr>
            <w:tcW w:w="340" w:type="dxa"/>
            <w:vAlign w:val="bottom"/>
          </w:tcPr>
          <w:p>
            <w:pPr>
              <w:spacing w:after="0"/>
              <w:rPr>
                <w:sz w:val="15"/>
                <w:szCs w:val="15"/>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 $0.0001 par value; 100,000,000 shares authorized at March 31, 2018 and December 31, 2017;</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17,984,811 and 17,972,166 shares issued at March 31, 2018 and December 31, 2017, and 17,980,852 and</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17,797,178 shares outstanding at March 31, 2018 and December 31, 2017, respectively</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1,798</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64"/>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141,148,465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140,184,630</w:t>
            </w:r>
          </w:p>
        </w:tc>
        <w:tc>
          <w:tcPr>
            <w:tcW w:w="0" w:type="dxa"/>
            <w:vAlign w:val="bottom"/>
          </w:tcPr>
          <w:p>
            <w:pPr>
              <w:spacing w:after="0"/>
              <w:rPr>
                <w:sz w:val="1"/>
                <w:szCs w:val="1"/>
                <w:color w:val="auto"/>
              </w:rPr>
            </w:pPr>
          </w:p>
        </w:tc>
      </w:tr>
      <w:tr>
        <w:trPr>
          <w:trHeight w:val="291"/>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shd w:val="clear" w:color="auto" w:fill="CCEEFF"/>
          </w:tcPr>
          <w:p>
            <w:pPr>
              <w:spacing w:after="0"/>
              <w:rPr>
                <w:sz w:val="24"/>
                <w:szCs w:val="24"/>
                <w:color w:val="auto"/>
              </w:rPr>
            </w:pPr>
          </w:p>
        </w:tc>
        <w:tc>
          <w:tcPr>
            <w:tcW w:w="15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93"/>
        </w:trPr>
        <w:tc>
          <w:tcPr>
            <w:tcW w:w="1160" w:type="dxa"/>
            <w:vAlign w:val="bottom"/>
            <w:shd w:val="clear" w:color="auto" w:fill="CCEEFF"/>
          </w:tcPr>
          <w:p>
            <w:pPr>
              <w:spacing w:after="0"/>
              <w:rPr>
                <w:sz w:val="8"/>
                <w:szCs w:val="8"/>
                <w:color w:val="auto"/>
              </w:rPr>
            </w:pPr>
          </w:p>
        </w:tc>
        <w:tc>
          <w:tcPr>
            <w:tcW w:w="63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(119,262,285)</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(111,079,275)</w:t>
            </w:r>
          </w:p>
        </w:tc>
        <w:tc>
          <w:tcPr>
            <w:tcW w:w="0" w:type="dxa"/>
            <w:vAlign w:val="bottom"/>
          </w:tcPr>
          <w:p>
            <w:pPr>
              <w:spacing w:after="0"/>
              <w:rPr>
                <w:sz w:val="1"/>
                <w:szCs w:val="1"/>
                <w:color w:val="auto"/>
              </w:rPr>
            </w:pPr>
          </w:p>
        </w:tc>
      </w:tr>
      <w:tr>
        <w:trPr>
          <w:trHeight w:val="25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21,888,071</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29,105,888</w:t>
            </w:r>
          </w:p>
        </w:tc>
        <w:tc>
          <w:tcPr>
            <w:tcW w:w="0" w:type="dxa"/>
            <w:vAlign w:val="bottom"/>
          </w:tcPr>
          <w:p>
            <w:pPr>
              <w:spacing w:after="0"/>
              <w:rPr>
                <w:sz w:val="1"/>
                <w:szCs w:val="1"/>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26,033,095</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34,992,772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6"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2017</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240,292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178,582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242,547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79,106</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4,680,181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3,914,974</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3,697,287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4,594,716</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8,461,402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8,588,796</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(8,282,820)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(8,346,249)</w:t>
            </w:r>
          </w:p>
        </w:tc>
      </w:tr>
      <w:tr>
        <w:trPr>
          <w:trHeight w:val="25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77,854</w:t>
            </w: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(8,268,395)</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(8,223,227)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(8,268,395)</w:t>
            </w:r>
          </w:p>
        </w:tc>
      </w:tr>
      <w:tr>
        <w:trPr>
          <w:trHeight w:val="21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 basic and diluted</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17,893,912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16,873,512</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0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2017</w:t>
            </w:r>
          </w:p>
        </w:tc>
      </w:tr>
      <w:tr>
        <w:trPr>
          <w:trHeight w:val="25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220" w:type="dxa"/>
            <w:vAlign w:val="bottom"/>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(8,268,395)</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1,340</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(10,739)</w:t>
            </w:r>
          </w:p>
        </w:tc>
      </w:tr>
      <w:tr>
        <w:trPr>
          <w:trHeight w:val="243"/>
        </w:trPr>
        <w:tc>
          <w:tcPr>
            <w:tcW w:w="800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(8,221,887)</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(8,279,134)</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3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2017</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(8,223,227)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(8,268,395)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64,066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91,367</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908,940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1,188,752</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12,231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2,454</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39,810</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(499,023)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(659,732)</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236,962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(366,289)</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(1,895,468)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(276,168)</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(7,707)</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rent</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37,197</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operating activities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(9,412,487)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(8,225,592)</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marketable securities</w:t>
            </w:r>
          </w:p>
        </w:tc>
        <w:tc>
          <w:tcPr>
            <w:tcW w:w="200" w:type="dxa"/>
            <w:vAlign w:val="bottom"/>
          </w:tcPr>
          <w:p>
            <w:pPr>
              <w:spacing w:after="0"/>
              <w:rPr>
                <w:sz w:val="22"/>
                <w:szCs w:val="22"/>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(1,997,751)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(9,607,422)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14,117,184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16,510,076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(22,150)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732</w:t>
            </w:r>
          </w:p>
        </w:tc>
      </w:tr>
      <w:tr>
        <w:trPr>
          <w:trHeight w:val="25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12,119,933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6,881,236</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54,913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Pr>
          <w:p>
            <w:pPr>
              <w:spacing w:after="0"/>
              <w:rPr>
                <w:sz w:val="21"/>
                <w:szCs w:val="21"/>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2,762,359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(1,344,356)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19,312,631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22,542,635</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22,074,990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21,198,279</w:t>
            </w: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4"/>
                <w:szCs w:val="14"/>
                <w:color w:val="auto"/>
              </w:rPr>
              <w:t>Property and equipment purchases included in accounts payable and accrued expenses at December 31, 2016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7,100</w:t>
            </w:r>
          </w:p>
        </w:tc>
      </w:tr>
      <w:tr>
        <w:trPr>
          <w:trHeight w:val="20"/>
        </w:trPr>
        <w:tc>
          <w:tcPr>
            <w:tcW w:w="8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Flex Pharma, Inc. (the "Company") is a biotechnology company that is developing innovative and proprietary treatments for muscle cramps, spasms and spasticity associated with severe neurological conditions such as multiple sclerosis (MS), amyotrophic lateral sclerosis (ALS) and Charcot-Marie-Tooth (CMT). The Company's lead drug product candidate, FLX-787, is currently being studied in two Phase 2 clinical trials in the United States. One Phase 2 clinical trial in the United States is in patients with motor neuron disease, primarily with ALS, who suffer from muscle cramps. FLX-787 is being developed for ALS under fast track designation which was granted by the United States Food and Drug Administration in July 2017. The other Phase 2 clinical trial in the United States is in patients with CMT who suffer from muscle cramps. In 2016, the Company launched its consumer product, HOTSHOT®, to prevent and treat exercise-associated muscle cramps.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12 for additional discussion and information on the reportable segments.</w:t>
      </w:r>
    </w:p>
    <w:p>
      <w:pPr>
        <w:spacing w:after="0" w:line="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is subject to risks common to companies in the biotechnology and consumer products industries, including, but not limited to, risks of failure of pre-clinical studies and clinical trials, the need to obtain marketing approval for its drug product candidates, the need to successfully commercialize and gain market acceptance of its drug product candidates and its consumer products, dependence on key personnel, protection of proprietary technology, compliance with government regulations and development by competitors of alternative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has incurred an accumulated deficit of $ 119,262,285 since inception and will require substantial additional capital to fund its research and development and expenses related to its consumer brand and HOTSHOT. The Company had unrestricted cash, cash equivalents and marketable securities of $23,947,794 at March 31, 2018. The Company's operating plan assumes: (1) the efforts of the Company's Drug Development segment are focused on the support and completion of current clinical trials; (2) reduced spending compared to the prior year by the Consumer Operations segment, including reduced marketing spend; and (3) limited headcount additions and corporate expenditures. Based on the Company's implemented operating plan, the Company believes that its existing cash, cash equivalents and marketable securities will be sufficient to allow the Company to fund its current operating plan for at least 12 months from the date the financial statements are issued. Management expects the Company to incur a loss for the foreseeable future. The Company's ability to achieve profitability in the future is dependent upon the successful development, approval and commercialization of its drug product candidates, and achieving a level of revenues adequate to support the Company's cost structure. The Company may never achieve profitability, and unless and until it does, the Company will continue to need to raise additional capital. Management intends to fund future operations through additional private or public debt or equity offerings, and may seek additional capital through arrangements with collaborators or from other sources. There can be no assurances, however, that additional funding will be available on terms acceptable to the Company, or at all. If the Company is unable to raise additional capital in sufficient amounts or on acceptable terms, the Company may have to significantly delay, scale back or discontinue the development or commercialization of one or more of its drug product candidates or sell or license assets in the Drug Development and Consumer Operations segments.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March 31, 2018, the Company’s significant accounting policies, which are detailed in the Company’s Annual Report on Form 10-K for the fiscal year ended December 31, 2017 (the “2017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collection is</w:t>
      </w:r>
    </w:p>
    <w:p>
      <w:pPr>
        <w:sectPr>
          <w:pgSz w:w="11900" w:h="16838" w:orient="portrait"/>
          <w:cols w:equalWidth="0" w:num="1">
            <w:col w:w="11400"/>
          </w:cols>
          <w:pgMar w:left="240" w:top="276" w:right="2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6" w:right="25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probable based on the customer's intent and ability to pay. Receivables are evaluated for collection probability on a regular basis and an allowance for doubtful accounts is recorded, if necessary. No allowance for doubtful accounts was deemed necessary at March 31, 2018 or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0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has restricted cash in the form of a letter of credit it maintains as a security deposit on the lease of its office space in Boston, Massachusetts.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$508,000 for the three months ended March 31, 2018 and approximately $665,000 for the three months ended March 31,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are capitalized as inventory and expensed as cost of product revenue when revenue is recognized. Shipping and handling costs to move finished goods from the Company's third-party warehousing and fulfillment partners to customer locations are included in selling, general and administrative expenses in the condensed consolidated statement of operations, and were approximately $25,000 for the three months ended March 31, 2018, and approximately $34,000 for the three months ended March 31,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2017 10-K.</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condensed consolidated financial statements as of March 31, 2018, for the three months ended March 31, 2018 and 2017,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March 31, 2018, and the statements of operations, comprehensive loss and cash flows for the three month periods ended March 31, 2018 and 2017. The results for the three months ended March 31, 2018 are not necessarily indicative of results to be expected for the year ending December 31, 2018, or any other future annual or interim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6"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xml:space="preserve">. ASC 606 supersedes the revenue recognition requirements in ASC Topic 605, </w:t>
      </w:r>
      <w:r>
        <w:rPr>
          <w:rFonts w:ascii="Arial" w:cs="Arial" w:eastAsia="Arial" w:hAnsi="Arial"/>
          <w:sz w:val="18"/>
          <w:szCs w:val="18"/>
          <w:i w:val="1"/>
          <w:iCs w:val="1"/>
          <w:color w:val="auto"/>
        </w:rPr>
        <w:t>Revenue Recognition ("ASC 605")</w:t>
      </w:r>
      <w:r>
        <w:rPr>
          <w:rFonts w:ascii="Arial" w:cs="Arial" w:eastAsia="Arial" w:hAnsi="Arial"/>
          <w:sz w:val="18"/>
          <w:szCs w:val="18"/>
          <w:color w:val="auto"/>
        </w:rPr>
        <w:t xml:space="preserve"> and requires entities to recognize revenue when control of the promised goods or services is transferred to customers at an amount that reflects the consideration to which the entity expects to be entitled to in exchange for those goods or services. The Company adopted ASC 606 as of January 1, 2018 using the modified retrospective transition method. See Note 3 for further details.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lessees to recognize the assets and liabilities on their balance sheet for the rights and obligations created by most leases and continue to recognize expenses on their income statements over the lease term. It will also require disclosures designed to give financial statement users information on the amount, timing and uncertainty of cash flows arising from leases. The guidance is effective for annual reporting periods beginning after December 15, 2018, and interim periods within those years. Early adoption is permitted. While the Company is currently evaluating the effect this standard will have on its consolidated financial statements, the Company expects that upon adoption, it will recognize right-of-use assets and lease liabilities and those amounts could be material.</w:t>
      </w:r>
    </w:p>
    <w:p>
      <w:pPr>
        <w:spacing w:after="0" w:line="18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The update amends the guidance in ASU Topic 230 and clarifies how entities should classify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the statement of cash flows with the objective of reducing the existing diversity in practice related to eight specific cash flow issues. The Company adopted ASU 2016-15 in the first quarter of 2018, retrospectively. The adoption of ASU 2016-15 did not have a significant impact on the consolidated financial statements.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amends ASU Topic 230. This update requires entities to show the changes in the total of cash, cash equivalents, restricted cash and restricted cash equivalents in the statement of cash flows. As a result, entities are no longer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The Company adopted ASU 2016-18 in the first quarter of 2018, retrospectively, resulting in a change to the presentation of restricted cash on the condensed consolidated statement of cash flows.</w:t>
      </w:r>
    </w:p>
    <w:p>
      <w:pPr>
        <w:spacing w:after="0" w:line="2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21,948,395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19,186,036</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126,595</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22,074,990</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19,312,631</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Stock Compensation (Topic 718): Scope of Modification Accounting</w:t>
      </w:r>
      <w:r>
        <w:rPr>
          <w:rFonts w:ascii="Arial" w:cs="Arial" w:eastAsia="Arial" w:hAnsi="Arial"/>
          <w:sz w:val="18"/>
          <w:szCs w:val="18"/>
          <w:color w:val="auto"/>
        </w:rPr>
        <w:t>, to provide clarity and reduce diversity in practice, cost and complexity when applying the guidance of Topic 718. The guidance is effective for fiscal years beginning after December 15, 2017 and interim periods within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6"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those years. Early adoption is permitted and the guidance should be applied prospectively. The Company adopted this guidance in the first quarter of 2018, which did not impact the Company's condensed consolidated financial statements or disclosures.</w:t>
      </w:r>
    </w:p>
    <w:p>
      <w:pPr>
        <w:spacing w:after="0" w:line="196"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the Company adopted ASC 606 using the modified retrospective method applied to contracts not yet completed as</w:t>
      </w:r>
    </w:p>
    <w:p>
      <w:pPr>
        <w:spacing w:after="0" w:line="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ASC 606, while prior period amounts are not adjusted and are reported in accordance with the Company's historical accounting under ASC 605.</w:t>
      </w:r>
    </w:p>
    <w:p>
      <w:pPr>
        <w:spacing w:after="0" w:line="14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primary impact of the adoption of ASC 606 relates to the timing of revenue recognized for e-commerce sales, due to e-commerce refund rights. Under ASC 606, the Company recognizes revenue when control of the promised good is transferred to the customer, and reflects the consideration to which the Company expects to be entitled to receive in exchange for the good. This has resulted in accelerated revenue recognition for e-commerce sales, as under ASC 605, all revenue and related costs were deferred and recognized once the refund period lapsed.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cumulative effect of applying the new guidance to all contracts that were not completed as of January 1, 2018 was recorded as an adjustment to accumulated deficit of approximately $40,000 as of the adoption date, which was primarily the result of reducing deferred revenue of approximately $70,000 and deferred cost of product revenue and selling fees of approximately $30,000, that were recorded on the consolidated balance sheet at December 31, 2017. The Company would have recognized approximately $18,000 of additional total revenue during the first quarter of 2018 if the Company had continued to recognize revenue under ASC 605.</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adoption of ASC 606 did not impact income taxes, as the Company fully reserves its net deferred tax assets. Therefore, the change to the Company's net deferred tax asset position due to adoption was offset by a corresponding change to the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collegiate teams. Revenue also consists of payments made by customers for expedited shipping and handling.</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practical expedient.</w:t>
      </w:r>
    </w:p>
    <w:p>
      <w:pPr>
        <w:spacing w:after="0" w:line="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1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 of the goods is separately identifiable from other promises in the contract. The Company has concluded the sale of bottled finished goods and related shipping and handling are accounted for as the single performance obligation.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6"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The Company issues refunds to e-commerce customers, upon request, within 30 days of delivery. The Company estimates the amount of potential refunds at each reporting period using a portfolio approach of historical data, adjusted for changes in expected customer experience, including seasonality and changes in economic factors. For specialty retailers and sports teams, the Company does not offer a right of return or refund and revenue is recognized at the time products are delivered to customers.</w:t>
      </w:r>
    </w:p>
    <w:p>
      <w:pPr>
        <w:spacing w:after="0" w:line="97"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$8,000 and $46,000 for the three months ended March 31, 2018 and 2017,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obligations</w:t>
      </w:r>
    </w:p>
    <w:p>
      <w:pPr>
        <w:spacing w:after="0" w:line="10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Revenue is recognized when control of the bottled finish goods are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three months ended March 31, 2018 or the three months ended March 31, 2017. The vast majority of revenue was generated from sales within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records cash equivalents and marketable securities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following tables summarize the cash equivalents and marketable securities measured at fair value on a recurring basis as of March 31, 2018 and December 31, 2017:</w:t>
      </w: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jc w:val="right"/>
              <w:ind w:right="657"/>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March 31, 2018</w:t>
            </w: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11,243,193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11,243,193</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1,999,399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1,999,399</w:t>
            </w:r>
          </w:p>
        </w:tc>
      </w:tr>
      <w:tr>
        <w:trPr>
          <w:trHeight w:val="250"/>
        </w:trPr>
        <w:tc>
          <w:tcPr>
            <w:tcW w:w="39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11,243,193</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1,999,399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7"/>
              <w:spacing w:after="0"/>
              <w:rPr>
                <w:sz w:val="20"/>
                <w:szCs w:val="20"/>
                <w:color w:val="auto"/>
              </w:rPr>
            </w:pPr>
            <w:r>
              <w:rPr>
                <w:rFonts w:ascii="Arial" w:cs="Arial" w:eastAsia="Arial" w:hAnsi="Arial"/>
                <w:sz w:val="18"/>
                <w:szCs w:val="18"/>
                <w:color w:val="auto"/>
              </w:rPr>
              <w:t>13,242,592</w:t>
            </w:r>
          </w:p>
        </w:tc>
      </w:tr>
      <w:tr>
        <w:trPr>
          <w:trHeight w:val="20"/>
        </w:trPr>
        <w:tc>
          <w:tcPr>
            <w:tcW w:w="3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6"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jc w:val="right"/>
              <w:ind w:right="655"/>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5,046,205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5,046,205</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8,986,259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8,986,259</w:t>
            </w:r>
          </w:p>
        </w:tc>
      </w:tr>
      <w:tr>
        <w:trPr>
          <w:trHeight w:val="263"/>
        </w:trPr>
        <w:tc>
          <w:tcPr>
            <w:tcW w:w="39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4,440,689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4,440,689</w:t>
            </w: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702,775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702,775</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5,046,205</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14,129,723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19,175,928</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equivalents and marketable securities have been initially valued at the transaction price and subsequently valued, at the end of each reporting period, utilizing third-party pricing services or other market observable data. The pricing services utilize industry standard valuation models, including both income and market based approaches and observable market inputs to determine value. The majority of the Company's cash equivalents consist of money market funds that are valued based on publicly available quoted market prices for identical securities as of March 31, 2018. After completing its validation procedures, the Company did not adjust or override any fair value carrying amounts as of March 31, 2018.</w:t>
      </w:r>
    </w:p>
    <w:p>
      <w:pPr>
        <w:spacing w:after="0" w:line="7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March 31, 2018 and December 31, 2017, due to their short-term nature.</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three months ended March 31, 2018 or the year ended December 31, 2017. The Company had no financial assets or liabilities that were classified as Level 3 at any time during the three months ended March 31, 2018 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and marketable securities</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March 31, 2018 and December 31, 2017 consisted of money market funds.</w:t>
      </w:r>
    </w:p>
    <w:p>
      <w:pPr>
        <w:spacing w:after="0" w:line="14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Marketable securities as of March 31, 2018 consisted of U.S. government agency securities. Marketable securities as of December 31, 2017 consisted of U.S. government agency securities, commercial paper and corporate debt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Marketable securities are recorded at fair value, with unrealized gains and losses included as a component of accumulated other comprehensive income (loss) in stockholders’ equity and a component of total comprehensive income (loss) in the condensed consolidated statement of comprehensive income (loss), until realized. Realized gains and losses are included in investment income on a specific-identification basis. There were no realized gains on marketable securities during the three months ended March 31, 2018, or during the three months ended March 31, 2017.</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at March 31, 2018 and December 31, 2017 consisted of the following:</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6"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2018</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1,999,306</w:t>
            </w:r>
          </w:p>
        </w:tc>
        <w:tc>
          <w:tcPr>
            <w:tcW w:w="2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1,999,399</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1,999,306</w:t>
            </w:r>
          </w:p>
        </w:tc>
        <w:tc>
          <w:tcPr>
            <w:tcW w:w="220" w:type="dxa"/>
            <w:vAlign w:val="bottom"/>
          </w:tcPr>
          <w:p>
            <w:pPr>
              <w:spacing w:after="0"/>
              <w:rPr>
                <w:sz w:val="22"/>
                <w:szCs w:val="22"/>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2"/>
                <w:szCs w:val="22"/>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1,999,399</w:t>
            </w:r>
          </w:p>
        </w:tc>
      </w:tr>
      <w:tr>
        <w:trPr>
          <w:trHeight w:val="20"/>
        </w:trPr>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Unrealized Gains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24"/>
                <w:szCs w:val="24"/>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Current (due within 1 year):</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8,987,254</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8,986,259</w:t>
            </w:r>
          </w:p>
        </w:tc>
      </w:tr>
      <w:tr>
        <w:trPr>
          <w:trHeight w:val="263"/>
        </w:trPr>
        <w:tc>
          <w:tcPr>
            <w:tcW w:w="5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4,440,689</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4,440,689</w:t>
            </w: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703,027</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702,775</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14,130,970</w:t>
            </w:r>
          </w:p>
        </w:tc>
        <w:tc>
          <w:tcPr>
            <w:tcW w:w="2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14,129,723</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held zero and six debt securities that were in an unrealized loss position at March 31, 2018 and December 31, 2017, respectively, all of which have been in a continuous loss position for less than 12 months. The aggregate fair value of debt securities in an unrealized loss position was $0 and $8,191,315 at March 31, 2018 and December 31, 2017, respectively. There were no individual securities that were in a significant unrealized loss position as of March 31, 2018 or December 31, 2017. The Company evaluated its securities for other-than-temporary impairment and no marketable securities were considered to be other-than-temporarily impaired as of March 31, 2018.</w:t>
      </w:r>
    </w:p>
    <w:p>
      <w:pPr>
        <w:spacing w:after="0" w:line="1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March 31, 2018 and December 31, 2017,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3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Inventory has been recorded at cost as of March 31, 2018 and December 31, 2017. Costs capitalized at March 31, 2018 and December 31, 2017 relate to HOTSHOT finished goods, as well as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17,411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360,567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414,480</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418,196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431,891</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inventory write-offs during the three months ended March 31, 2018 or March 31, 2017.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6"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985,763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2,502,400</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Payroll and employee-related costs</w:t>
            </w:r>
          </w:p>
        </w:tc>
        <w:tc>
          <w:tcPr>
            <w:tcW w:w="300" w:type="dxa"/>
            <w:vAlign w:val="bottom"/>
          </w:tcPr>
          <w:p>
            <w:pPr>
              <w:spacing w:after="0"/>
              <w:rPr>
                <w:sz w:val="22"/>
                <w:szCs w:val="22"/>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351,823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874,246</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351,192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227,980</w:t>
            </w:r>
          </w:p>
        </w:tc>
      </w:tr>
      <w:tr>
        <w:trPr>
          <w:trHeight w:val="264"/>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Consumer product-related costs</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131,514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107,595</w:t>
            </w: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1,820,292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3,712,221</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3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March 31, 2018,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founders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2014, the Company sold 4,553,415 shares of restricted common stock to the founders of the Company ("recipients"), for $0.0004 per share, for total proceeds of $1,950. In April 2014, based upon anti-dilution provisions granted to the founders, an additional 867,314 shares of restricted common stock were sold to the same founders, after which the anti-dilution provisions were terminated. The restricted common stock vested 25% upon issuance, and the remaining 75% vested ratably over four years, during which time the Company had the right to repurchase the unvested shares held by a recipient if the relationship between such recipient and the Company ceased. Such shares were not accounted for as outstanding until they vested. Unvested restricted common stock awards to non-employees were re-measured at each vest date and each financial reporting date. All restricted common stock sold to founders had vested as of March 31, 2018, and is no longer subject to re-valuation or eligible for repurchase.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834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83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169,654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March 31, 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2016, the Company issued 18,194 shares of restricted common stock to non-employee consultants and advisors. Such shares are not accounted for as outstanding until they vest. There were 14,235 shares of restricted common stock issued to consultants outstanding as of March 31, 2018. Unvested restricted common stock awards to non-employees are re-measured at each vest date and each financial reporting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2018</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26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January 2015, the Company's board of directors adopted, and the Company's stockholders approved, the 2015 Equity Incentive Plan (the "2015 Plan"), which became effective immediately prior to the closing of the Company's initial public offering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2018, there were 1,017,543 shares remaining available for the grant of stock awards under the 2015 Plan.</w:t>
      </w:r>
    </w:p>
    <w:p>
      <w:pPr>
        <w:spacing w:after="0" w:line="2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Unvested awards to non-employees are re-measured at each vest date and at each financial reporting date. The following table summarizes stock option activity for employees and non-employees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244475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6"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2,580,491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803,600</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813,000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(216,350)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3,128,519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38"/>
              <w:spacing w:after="0"/>
              <w:rPr>
                <w:sz w:val="20"/>
                <w:szCs w:val="20"/>
                <w:color w:val="auto"/>
              </w:rPr>
            </w:pPr>
            <w:r>
              <w:rPr>
                <w:rFonts w:ascii="Arial" w:cs="Arial" w:eastAsia="Arial" w:hAnsi="Arial"/>
                <w:sz w:val="18"/>
                <w:szCs w:val="18"/>
                <w:color w:val="auto"/>
              </w:rPr>
              <w:t>3,017,213</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1,518,128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1,507,813</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Vested or expected to vest at March 31, 2018</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3,128,519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3,017,213</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71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31, 2017</w:t>
            </w:r>
          </w:p>
        </w:tc>
      </w:tr>
      <w:tr>
        <w:trPr>
          <w:trHeight w:val="256"/>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386,537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394,417</w:t>
            </w:r>
          </w:p>
        </w:tc>
      </w:tr>
      <w:tr>
        <w:trPr>
          <w:trHeight w:val="264"/>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522,403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794,335</w:t>
            </w: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908,940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1,188,752</w:t>
            </w: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31, 2018, there was approximately $5,011,000 of total unrecognized compensation cost related to unvested equity awards. Total unrecognized compensation cost will be adjusted for the re-measurement of non-employee awards as well as future changes in employee and non-employee forfeitures, if any. The Company expects to recognize that cost over a remaining weighted-average period of 2.95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2015, the Company's board of directors adopted, and the Company's stockholders approved, the 2015 Employee Stock Purchase Plan (the "ESPP"). As of March 31, 2018, no shares of common stock have been purchased under the ESPP.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three months ended March 31, 2018 or 2017.</w:t>
      </w:r>
    </w:p>
    <w:p>
      <w:pPr>
        <w:spacing w:after="0" w:line="19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(Topic 740),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Bulletin No. 118</w:t>
      </w:r>
      <w:r>
        <w:rPr>
          <w:rFonts w:ascii="Arial" w:cs="Arial" w:eastAsia="Arial" w:hAnsi="Arial"/>
          <w:sz w:val="18"/>
          <w:szCs w:val="18"/>
          <w:color w:val="auto"/>
        </w:rPr>
        <w:t>. The ASU adds various Securities and Exchange Commission (“SEC”) paragraphs pursuant to the issuance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2017 SEC Staff Accounting Bulletin No. 118, Income Tax Accounting Implications of the Tax Cuts and Jobs Act (SAB 118), which was effective immediately. The SEC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6"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issued SAB 118 to address concerns about a reporting entity's ability to timely comply with the accounting requirements to recognize all of the effects of the Tax Cuts and Jobs Act in the period of enactment. SAB 118 allows disclosure that timely determination of some or all of the income tax effects from the Tax Cuts and Jobs Act are incomplete by the due date of the financial statements and, if possible, to provide a reasonable estimate. The Company's accounting for certain income tax effects is incomplete, but it has determined reasonable estimates for those effects and has included provisional amounts in its condensed consolidated financial statements as of March 31, 2018 and December 31, 2017.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2018</w:t>
            </w:r>
          </w:p>
        </w:tc>
        <w:tc>
          <w:tcPr>
            <w:tcW w:w="180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3,128,519</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2,672,069</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941,341</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3,132,478</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3,613,410</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to treat muscle cramps, spasms and spasticity associated with severe neurological conditions.</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discloses information about its reportable segments based on the way that the Company's Chief Operating Decision Maker, who the Company has identified as the Chief Executive Officer, and management, organize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to the audited consolidated financial statements in the 2017 Form 10-K.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March 31, 2018 and 2017 are as follows: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Three Months Ended March 31, 2018</w:t>
            </w: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178,582</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178,582</w:t>
            </w:r>
          </w:p>
        </w:tc>
      </w:tr>
      <w:tr>
        <w:trPr>
          <w:trHeight w:val="250"/>
        </w:trPr>
        <w:tc>
          <w:tcPr>
            <w:tcW w:w="304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59,593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59,593</w:t>
            </w: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1,257,306</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4,664,077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2,361,437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8,282,820</w:t>
            </w:r>
          </w:p>
        </w:tc>
      </w:tr>
      <w:tr>
        <w:trPr>
          <w:trHeight w:val="615"/>
        </w:trPr>
        <w:tc>
          <w:tcPr>
            <w:tcW w:w="3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Three Months Ended March 31, 2017</w:t>
            </w: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242,547</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242,547</w:t>
            </w:r>
          </w:p>
        </w:tc>
      </w:tr>
      <w:tr>
        <w:trPr>
          <w:trHeight w:val="250"/>
        </w:trPr>
        <w:tc>
          <w:tcPr>
            <w:tcW w:w="304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77,854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77,854</w:t>
            </w: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1,987,810</w:t>
            </w:r>
          </w:p>
        </w:tc>
        <w:tc>
          <w:tcPr>
            <w:tcW w:w="2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3,828,281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2,530,158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8,346,249</w:t>
            </w:r>
          </w:p>
        </w:tc>
      </w:tr>
    </w:tbl>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2017.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Annual Report on Form 10-K for the year ended December 31, 2017,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months ended March 31, 2018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w:t>
      </w:r>
    </w:p>
    <w:p>
      <w:pPr>
        <w:spacing w:after="0" w:line="21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 biotechnology company that is developing innovative and proprietary treatments for muscle cramps, spasms and spasticity associated with severe neurological conditions such as multiple sclerosis, or MS, amyotrophic lateral sclerosis, or ALS, and Charcot-Marie-Tooth, or CMT. Our lead drug product candidate, FLX-787, is currently being studied in two Phase 2 clinical trials in the United States. One Phase 2 clinical trial in the United States is in patients with motor neuron disease, or MND, primarily with ALS, who suffer from muscle cramps. FLX-787 is being developed for ALS under fast track designation which was granted by the United States Food and Drug Administration, or FDA, in July 2017. The other Phase 2 clinical trial in the United States is in patients with CMT who suffer from muscle cramps. In 2016, we launched our consumer product, HOTSHOT®, to prevent and treat exercise-associated muscle cramps, or EAMCs.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Muscle cramps and spasms are involuntary, often painful, contractions that can last several minutes and, in many instances, result in prolonged soreness. Muscle cramps and spasms are thought to result from hyperexcitable</w:t>
      </w:r>
    </w:p>
    <w:p>
      <w:pPr>
        <w:sectPr>
          <w:pgSz w:w="11900" w:h="16838" w:orient="portrait"/>
          <w:cols w:equalWidth="0" w:num="1">
            <w:col w:w="11420"/>
          </w:cols>
          <w:pgMar w:left="240" w:top="276" w:right="23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76"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alpha-motor neurons. Spasticity is characterized by the combination of weakness and velocity-dependent resistance to stretch, in the same muscle. This reflex hyperexcitability may be due to lost inhibition in spinal cord circuits. FLX-787, HOTSHOT and our other drug product candidates are based on a mechanism of action we describe as chemical neurostimulation. We believe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Specifically, our product candidates activate certain receptors known as transient receptor potential, or TRP, ion channels in primary sensory neurons producing a signal believed to inhibit neuronal circuits and thereby reduce hyperexcitability in the neurons that fire muscles. Reduced alpha-motor neuron hyperexcitability in spinal cord circuits is thought to suppress repetitive firing of alpha-motor neurons, thereby preventing or reducing muscle cramps and spasms, and potentially reducing reflex hyperexcitability and therefore spasticity.</w:t>
      </w:r>
    </w:p>
    <w:p>
      <w:pPr>
        <w:spacing w:after="0" w:line="15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HOTSHOT is our consumer beverage containing a proprietary formulation of TRP activators. Historically, we have marketed HOTSHOT to endurance athletes who drink it before, during and after exercise to prevent and treat EAMCs. We recently expanded our efforts to address a larger target market of both endurance and non-endurance athletes through the promotion of the added benefits of reduced muscle soreness and muscle pain.</w:t>
      </w:r>
    </w:p>
    <w:p>
      <w:pPr>
        <w:spacing w:after="0" w:line="1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Concurrent with our efforts to grow HOTSHOT, on January 22, 2018, we disclosed that we engaged an investment banking firm to assist with the consideration of strategic alternatives for our consumer business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operate as the following two reportable segments:</w:t>
      </w:r>
    </w:p>
    <w:p>
      <w:pPr>
        <w:spacing w:after="0" w:line="171" w:lineRule="exact"/>
        <w:rPr>
          <w:sz w:val="20"/>
          <w:szCs w:val="20"/>
          <w:color w:val="auto"/>
        </w:rPr>
      </w:pPr>
    </w:p>
    <w:p>
      <w:pPr>
        <w:ind w:left="660" w:right="7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our efforts to develop innovative and proprietary drug products to treat muscle cramps, spasms and spasticity associated with severe neurological conditions.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See Note 12 to our condensed consolidated financial statements for certain financial information related to our reportable segments.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at least the next several years. Our net loss was $8.2 million and $8.3 million for the three months ended March 31, 2018 and March 31, 2017, respectively. Our accumulated deficit was $119.3 million as of March 31, 2018. To date, we have financed our operations with net proceeds from the private placement of our preferred stock and our initial public offering. We expect to continue incurring significant research and development expenses related to the development of our drug product candidates and significant selling, general and administrative expenses as we support our research and development efforts, operate as a public company and continue to commercialize HOTSHOT. As a result, we will need additional capital to fund our future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Updates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March 2018, we announced topline data from our exploratory Phase 2 clinical trial of FLEX-787 in MS patients with frequent muscle cramps/spasms and spasticity. FLX-787 at a dose of 19 mg, taken orally twice daily, in a liquid formulation was evaluated in an exploratory Phase 2 randomized, double-blinded, placebo-controlled, cross over trial in 57 MS patients. In the evaluation of FLX-787 for its impact on MS patients' cramps/spasms and spasticity, pre-specified analyses of the parallel portion of the study showed the following:</w:t>
      </w:r>
    </w:p>
    <w:p>
      <w:pPr>
        <w:spacing w:after="0" w:line="2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statistically significant 27.3% reduction in the frequency of cramps/spasms compared to with control (p=0.001);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1.4 day increase in cramp/spasm-free days per 14 day period compared with control (p=0.046);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Clinician rated improvement in spasticity with FLX-787 treatment significantly better than control (p=0.010); and</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Treating physicians reported that 7 of 28 (25%) patients on FLX-787 had "Much Improved" or "Very Much Improved" spasticity versus 0 of 26 (0%) on control based on the Clinical Global Impression of Change in Spasticity.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6"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evaluation of FLX-787 from data that included both cross-over periods in the intent-to-treat population, the pre-specified analysis of Clinical Global Impression of Change in the patient's spasticity showed statistically significant greater improvement with FLX-787 relative to control (p=0.043), while no statistically significant improvement was seen in cramp/spasm frequency, NRS or clinical spasticity scales.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we initiated our Phase 2 clinical trial in patients with MND, referred to as the COMMEND trial, and expect topline data from this clinical trial by early 2019. In 2017, we also initiated the COMMIT trial, our Phase 2 clinical trial in patients with CMT, and expect topline data from this clinical trial in early 2019, although enrollment rates will need to increase in the COMMIT trial to meet this timeframe.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on January 1, 2018 using the modified retrospective method. The primary impact of the adoption of ASC 606 relates to the timing of revenue recognized for e-commerce sales, due to e-commerce refund rights. Under ASC 606, we recognize revenue when control of the promised good is transferred to the customer, and it reflects the consideration to which we expect to be entitled to receive in exchange for the good. This has resulted in accelerated revenue recognition for e-commerce sales, as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or ASC 605, all revenue and related costs were deferred and recognized once the refund period lapsed. Please refer to Note 3 in the accompanying financial statements for a discussion of the impact of adoption of ASC 606 on our condensed consolidated financial statements.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collegiate teams. Revenue also consists of payments made by customers for expedited shipping and handling. Revenue is recognized when control of the promised goods is transferred to the customer. Control of the promised goods is transferred upon delivery to the customer. We offer refunds to e-commerce customers, upon request, within 30 days of delivery. We do not offer a right of return or refund to specialty retailers or sports teams. Discounts provided to customers are accounted for as a reduction of product revenue. Total revenue is presented net of any taxes collected from customers and remitted to governmental authorities.</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 purchasing via our branded website, customers may purchase HOTSHOT in packs of 3, 6, 12 bottles or 24 bottles, and starting in 2018, are offered a first-time purchase discount for a 3 pack. Previously, we offered a first-time purchase discount for a 6 pack.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future, we may generate revenue from a combination of consumer product sales, drug product sales, government or other third-party funding, marketing and distribution arrangements and other collaborations, strategic alliances and licensing arrangements, or a combination of these sources. To the extent any of our drug products are successfully commercialized, we expect that any revenue we generate will fluctuate from quarter to quarter as a result of the amount and timing of payments that we receive from the sale of our drug products, the timing and amount of license fees, milestone and other payments. If we fail to complete the development of our drug product candidates in a timely manner, obtain regulatory approval for them, or fail to successfully commercialize these drug products, our results of operations and financial position would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6" w:right="2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1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research and development expenses to date include the costs incurred related to the development and testing of our extract formulation and expenses related to the testing and development of our drug product candidates, including FLX-787. Research and development costs include salaries and other compensation-related costs, such as stock-based compensation for research and development employees, costs of clinical studies of our extract formulation and drug product candidates, drug substance production costs, formulation and production costs of clinical supply, including FLX-787, to support clinical studies, costs for consultants who we utilize to supplement our personnel, fees paid to third parties, facilities and overhead expenses, cost of laboratory supplies and other outside expenses.</w:t>
      </w:r>
    </w:p>
    <w:p>
      <w:pPr>
        <w:spacing w:after="0" w:line="20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Research and development activities are central to our business model. Drug product candidates in later stages of clinical development generally have higher development costs than those in earlier stages of clinical development, primarily due to the increased size and duration of later-stage clinical trials. We expect to continue incurring significant research and development expenses related to the development of our drug product candidates. It is difficult to determine, with certainty, the duration and completion costs of our current or future pre-clinical programs and clinical trials of our drug product candidates.</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product safety and efficacy, patent protection, manufacturing capability and commercial viability. We will determine which programs to pursue and how much to fund each program in response to the scientific and clinical success of our drug product candidates, as well as an assessment of each product candidate's commercial potential.</w:t>
      </w:r>
    </w:p>
    <w:p>
      <w:pPr>
        <w:spacing w:after="0" w:line="20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Research and development expenses also include costs incurred related to our Consumer Operations segment for HOTSHOT, including athlete-based efficacy studies, product formulation work, stability studies and other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our product is in salable condition.</w:t>
      </w:r>
    </w:p>
    <w:p>
      <w:pPr>
        <w:spacing w:after="0" w:line="20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selling, general and administrative expenses may increase as we support our research and development efforts, operate as a public company and continue to commercialize HOTSHOT.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the Three Months Ended March 31,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6"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three months ended March 31, 2018 compared to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2017</w:t>
            </w:r>
          </w:p>
        </w:tc>
        <w:tc>
          <w:tcPr>
            <w:tcW w:w="380" w:type="dxa"/>
            <w:vAlign w:val="bottom"/>
          </w:tcPr>
          <w:p>
            <w:pPr>
              <w:spacing w:after="0"/>
              <w:rPr>
                <w:sz w:val="17"/>
                <w:szCs w:val="17"/>
                <w:color w:val="auto"/>
              </w:rPr>
            </w:pPr>
          </w:p>
        </w:tc>
        <w:tc>
          <w:tcPr>
            <w:tcW w:w="1700" w:type="dxa"/>
            <w:vAlign w:val="bottom"/>
          </w:tcPr>
          <w:p>
            <w:pPr>
              <w:jc w:val="right"/>
              <w:ind w:right="1233"/>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176,255</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240,292</w:t>
            </w:r>
          </w:p>
        </w:tc>
        <w:tc>
          <w:tcPr>
            <w:tcW w:w="120" w:type="dxa"/>
            <w:vAlign w:val="bottom"/>
          </w:tcPr>
          <w:p>
            <w:pPr>
              <w:spacing w:after="0"/>
              <w:rPr>
                <w:sz w:val="22"/>
                <w:szCs w:val="22"/>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rPr>
              <w:t>(64,037)</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rPr>
              <w:t>72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178,582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242,547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jc w:val="right"/>
              <w:ind w:right="573"/>
              <w:spacing w:after="0"/>
              <w:rPr>
                <w:sz w:val="20"/>
                <w:szCs w:val="20"/>
                <w:color w:val="auto"/>
              </w:rPr>
            </w:pPr>
            <w:r>
              <w:rPr>
                <w:rFonts w:ascii="Arial" w:cs="Arial" w:eastAsia="Arial" w:hAnsi="Arial"/>
                <w:sz w:val="18"/>
                <w:szCs w:val="18"/>
                <w:color w:val="auto"/>
              </w:rPr>
              <w:t>(63,965)</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83,934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79,106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jc w:val="right"/>
              <w:ind w:right="633"/>
              <w:spacing w:after="0"/>
              <w:rPr>
                <w:sz w:val="20"/>
                <w:szCs w:val="20"/>
                <w:color w:val="auto"/>
              </w:rPr>
            </w:pPr>
            <w:r>
              <w:rPr>
                <w:rFonts w:ascii="Arial" w:cs="Arial" w:eastAsia="Arial" w:hAnsi="Arial"/>
                <w:sz w:val="18"/>
                <w:szCs w:val="18"/>
                <w:color w:val="auto"/>
              </w:rPr>
              <w:t>4,828</w:t>
            </w: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4,680,181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3,914,974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765,207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3,697,287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4,594,716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(897,429)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8,461,402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8,588,796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(127,394)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(8,282,820)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(8,346,249)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jc w:val="right"/>
              <w:ind w:right="633"/>
              <w:spacing w:after="0"/>
              <w:rPr>
                <w:sz w:val="20"/>
                <w:szCs w:val="20"/>
                <w:color w:val="auto"/>
              </w:rPr>
            </w:pPr>
            <w:r>
              <w:rPr>
                <w:rFonts w:ascii="Arial" w:cs="Arial" w:eastAsia="Arial" w:hAnsi="Arial"/>
                <w:sz w:val="18"/>
                <w:szCs w:val="18"/>
                <w:color w:val="auto"/>
              </w:rPr>
              <w:t>63,429</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59,593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77,854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(18,261)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(8,223,227)</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(8,268,395)</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rPr>
              <w:t>45,168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Consumer Operations segment generated all of our revenue during the three months ended March 31, 2018, totaling $0.2 million, as compared to $0.2 million for the three months ended March 31, 2017 through sales of HOTSHOT and expedited shipping and handling purchases. Revenue was driven by our HOTSHOT marketing, sales and promotional efforts, including our print and digital media campaigns, public relations efforts, field marketing efforts and other sales and promotional activities.</w:t>
      </w:r>
    </w:p>
    <w:p>
      <w:pPr>
        <w:spacing w:after="0" w:line="20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Sales via e-commerce represented approximately 87% of our total revenue for both the three months ended March 31, 2018 and March 31, 2017.</w:t>
      </w:r>
    </w:p>
    <w:p>
      <w:pPr>
        <w:spacing w:after="0" w:line="1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three months ended March 31, 2018, we sold approximately 39,000 bottles of HOTSHOT at an average total revenue per bottle of $4.58, compared to 52,000 bottles at an average total revenue per bottle of $4.66 during the three months ended March 31, 2017. The decrease in average total revenue per bottle is primarily due to the price promotion we began offering in 2018 on the new 3 pack configuration to attract new customers. The decrease in the number of bottles sold primarily relates to our adoption of ASC 606, as revenue we deferred in the fourth quarter of 2016 was recognized during the first quarter of 2017 under ASC 605, as well a decrease in demand.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$0.1 million for the three months ended March 31, 2018 compared to $0.1 million for the three months ended March 31, 2017. Cost of product revenue during the three months ended March 31, 2018 includes the cost of HOTSHOT sold, royalty expense and depreciation expense of approximately $35,000 related to manufacturing equipment used to support production. There were no write-offs of inventory during the three months ended March 31, 2018. Cost of product revenue during the three months ended March 31, 2017 included the cost of HOTSHOT sold, royalty expense and depreciation expense of approximately $35,000. There were no write-offs of inventory during the three months ended March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$4.7 million for the three months ended March 31, 2018 compared to $3.9 million for the three months ended March 31, 2017. The 20% increase of $0.8 million was primarily related 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6"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right="540" w:hanging="644"/>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 million increase in clinical activities and related work, primarily related to clinical trial costs for our FLX-787 Phase 2 clinical trials in the United States, which commenced during the first quarter of 2017 with start-up activities and began increasing in activity in mid-2017;</w:t>
      </w:r>
    </w:p>
    <w:p>
      <w:pPr>
        <w:spacing w:after="0" w:line="201" w:lineRule="exact"/>
        <w:rPr>
          <w:rFonts w:ascii="Arial" w:cs="Arial" w:eastAsia="Arial" w:hAnsi="Arial"/>
          <w:sz w:val="18"/>
          <w:szCs w:val="18"/>
          <w:color w:val="auto"/>
        </w:rPr>
      </w:pPr>
    </w:p>
    <w:p>
      <w:pPr>
        <w:ind w:left="1300" w:right="30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$0.3 million decrease in consulting expenses as we increased the use of consultants in the prior year to assist with our IND filing and other research activities in 2017; and</w:t>
      </w:r>
    </w:p>
    <w:p>
      <w:pPr>
        <w:spacing w:after="0" w:line="196" w:lineRule="exact"/>
        <w:rPr>
          <w:rFonts w:ascii="Arial" w:cs="Arial" w:eastAsia="Arial" w:hAnsi="Arial"/>
          <w:sz w:val="18"/>
          <w:szCs w:val="18"/>
          <w:color w:val="auto"/>
        </w:rPr>
      </w:pPr>
    </w:p>
    <w:p>
      <w:pPr>
        <w:ind w:left="1300" w:right="38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related to salaries and benefits, specifically employer taxes, as we elected to utilize a qualified small business federal research and development tax credit to offset our payroll tax liability.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$3.7 million for the three months ended March 31, 2018 compared to $4.6 million for the three months ended March 31, 2017. The 20% decrease of $0.9 million was primarily related to:</w:t>
      </w:r>
    </w:p>
    <w:p>
      <w:pPr>
        <w:spacing w:after="0" w:line="231" w:lineRule="exact"/>
        <w:rPr>
          <w:sz w:val="20"/>
          <w:szCs w:val="20"/>
          <w:color w:val="auto"/>
        </w:rPr>
      </w:pPr>
    </w:p>
    <w:p>
      <w:pPr>
        <w:ind w:left="1300" w:right="1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$0.7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$0.3 million decrease in stock-based compensation expense, related primarily to the valuation of employee options at lower valuations than the prior year due to decreased stock price as well as decrease in headcount compared to the prior year;</w:t>
      </w:r>
    </w:p>
    <w:p>
      <w:pPr>
        <w:spacing w:after="0" w:line="196" w:lineRule="exact"/>
        <w:rPr>
          <w:rFonts w:ascii="Arial" w:cs="Arial" w:eastAsia="Arial" w:hAnsi="Arial"/>
          <w:sz w:val="18"/>
          <w:szCs w:val="18"/>
          <w:color w:val="auto"/>
        </w:rPr>
      </w:pPr>
    </w:p>
    <w:p>
      <w:pPr>
        <w:ind w:left="1300" w:right="28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 million of decreased marketing costs within our Consumer Operations segment for HOTSHOT, offset by an increase in external consulting costs to supplement our Consumer segment personnel;</w:t>
      </w:r>
    </w:p>
    <w:p>
      <w:pPr>
        <w:spacing w:after="0" w:line="196" w:lineRule="exact"/>
        <w:rPr>
          <w:rFonts w:ascii="Arial" w:cs="Arial" w:eastAsia="Arial" w:hAnsi="Arial"/>
          <w:sz w:val="18"/>
          <w:szCs w:val="18"/>
          <w:color w:val="auto"/>
        </w:rPr>
      </w:pPr>
    </w:p>
    <w:p>
      <w:pPr>
        <w:ind w:left="1300" w:right="54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 million decrease in employee travel and recruiting costs, related to decreased Consumer Operations and corporate headcount from prior year;</w:t>
      </w:r>
    </w:p>
    <w:p>
      <w:pPr>
        <w:spacing w:after="0" w:line="196" w:lineRule="exact"/>
        <w:rPr>
          <w:rFonts w:ascii="Arial" w:cs="Arial" w:eastAsia="Arial" w:hAnsi="Arial"/>
          <w:sz w:val="18"/>
          <w:szCs w:val="18"/>
          <w:color w:val="auto"/>
        </w:rPr>
      </w:pPr>
    </w:p>
    <w:p>
      <w:pPr>
        <w:ind w:left="1300" w:right="32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 million decrease in rent, office and other expenses due to the termination of our lease agreement for our office in New York, NY in the third quarter of 2017;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$0.4 million increase in consulting, legal and professional expenses to supplement our corporate personnel.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loss from operations for the three months ended March 31, 2018 totaled $8.3 million. Of this total, $1.3 million of the operating loss was incurred by our Consumer Operations segment, $4.7 million was incurred by our Drug Development segment and the remaining $2.4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three months ended March 31, 2018. The operating loss incurred by the Drug Development segment relates to costs incurred for FLX-787 formulation, production and clinical study costs, other clinical study activities and personnel-related expenses, including stock-based compensation, as well as consulting costs.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Interest income, net, decreased by $18,261 in the three months ended March 31, 2018 compared to the three months ended March 31, 2017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at least the next several years. To date, we have generated limited revenue from sales of HOTSHOT, and have generated no revenue from any of our drug product candidates. We may not be successful in generating significant revenue from HOTSHOT. We expect to continue incurring significant research and development expenses related to the development of our drug product candidates as well as selling, general and administrative expenses related to supporting our research and development efforts, operating as a public company and supporting our HOTSHOT commercial efforts. As a result, we will need additional capital to fund our operations, which we may raise through a</w:t>
      </w:r>
    </w:p>
    <w:p>
      <w:pPr>
        <w:sectPr>
          <w:pgSz w:w="11900" w:h="16838" w:orient="portrait"/>
          <w:cols w:equalWidth="0" w:num="1">
            <w:col w:w="11380"/>
          </w:cols>
          <w:pgMar w:left="240" w:top="276" w:right="279" w:bottom="1440" w:gutter="0" w:footer="0" w:header="0"/>
        </w:sect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276" w:right="27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combination of equity offerings, debt financings, other third-party funding, marketing and distribution arrangements and other collaborations, strategic alliances and licensing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At March 31, 2018, we had $21.5 million of working capital and our cash, cash equivalents and marketable securities totaled $23.9 million, which were held in bank deposit accounts, money market funds and U.S. government agency securities. Our cash, cash equivalents and marketable securities balance decreased during the three months ended March 31, 2018, due primarily to our net loss incurred.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w:t>
            </w:r>
          </w:p>
        </w:tc>
        <w:tc>
          <w:tcPr>
            <w:tcW w:w="140" w:type="dxa"/>
            <w:vAlign w:val="bottom"/>
          </w:tcPr>
          <w:p>
            <w:pPr>
              <w:spacing w:after="0"/>
              <w:rPr>
                <w:sz w:val="14"/>
                <w:szCs w:val="14"/>
                <w:color w:val="auto"/>
              </w:rPr>
            </w:pPr>
          </w:p>
        </w:tc>
        <w:tc>
          <w:tcPr>
            <w:tcW w:w="2040" w:type="dxa"/>
            <w:vAlign w:val="bottom"/>
          </w:tcPr>
          <w:p>
            <w:pPr>
              <w:jc w:val="right"/>
              <w:ind w:right="56"/>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6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31, 2018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31, 2017</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(9,412,487)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(8,225,592)</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12,119,933</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6,881,236</w:t>
            </w:r>
          </w:p>
        </w:tc>
      </w:tr>
      <w:tr>
        <w:trPr>
          <w:trHeight w:val="26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54,913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2,762,359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(1,344,356)</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2018 was $9.4 million, an increase of $ 1.2 million compared to the same period in the prior year. The use of cash for the three months ended March 31, 2018 was primarily related to our net loss for the period of $8.2 million, offset by non-cash charges consisting of stock-based compensation expense of $0.9 million, as well as depreciation, amortization and accretion on investments and other non-cash items, which totaled $0.1 million. Cash used in operations also included a cash outflow of $2.2 million from changes in operating assets and liabilities.</w:t>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$2.2 million cash outflow from changes in operating assets and liabilities was driven primarily by outflows from an increase in prepaid expenses and other current assets of $0.5 million and a decrease in accrued expenses and other current liabilities of $1.9 million. The increase in prepaid expenses and other current assets relates to the timing of payments for our insurance policies. The decrease in accrued expenses and other current liabilities relates primarily to delayed billings of 2017 invoices, primarily related to clinical trial activities for our FLX-787 Phase 2 clinical trials in the United States and a decrease in accrued bonus as the 2017 employee bonuses were paid in the first quarter of 2018. These outflows were offset by inflows, primarily from an increase in accounts payable of $0.2 million. The increase in accounts payable related to the timing of payments at March 31, 2018 compared to December 31,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Net cash provided by investing activities for the three months ended March 31, 2018 compared to the three months ended March 31, 2017 increased $5.2 million, related to a $5.2 million increase in net purchases and sales of marketable securities. This included a $7.6 million decrease in purchases of marketable securities and a $2.4 million decrease in proceeds from maturities and sales of marketable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provided by financing activities for the three months ended March 31, 2018 did not change significantly compared to the three months ended March 31, 2017. Cash provided by financing activities during the three months ended March 31, 2018 was $54,913, and related to proceeds from exercises of common stock. There was no cash used in or provided by financing activities during the three months ended March 31,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no long-term debt.</w:t>
      </w:r>
    </w:p>
    <w:p>
      <w:pPr>
        <w:spacing w:after="0" w:line="27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 other than leases.</w:t>
      </w:r>
    </w:p>
    <w:p>
      <w:pPr>
        <w:sectPr>
          <w:pgSz w:w="11900" w:h="16838" w:orient="portrait"/>
          <w:cols w:equalWidth="0" w:num="1">
            <w:col w:w="11420"/>
          </w:cols>
          <w:pgMar w:left="240" w:top="276"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6"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that we will require additional funding to develop and commercialize our drug product candidates. In addition, if we receive regulatory approval for any of our drug product candidates, and if we choose not to grant rights to commercialize our drug products to partners, we expect to incur significant commercialization expenses related to product manufacturing, sales, marketing and distribution activities. We also expect to incur additional costs to support our operations as well as the costs associated with operating as a public company.</w:t>
      </w: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or sell or license some of our assets.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5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costs, third-party research and development costs, legal and other regulatory expenses, marketing, promotion and selling costs related to our consumer brand and products, external consulting costs and general administrative and overhead costs. Our future funding requirements will be heavily reliant upon the resources required to support our drug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successful development of any drug product candidate is highly uncertain. As such, at this time, we cannot reasonably estimate or know the nature, timing and costs of the efforts that will be necessary to complete the development of our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17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our drug product candidate, FLX-787, is in the early stage of development and the outcome of these efforts is uncertain, we cannot estimate the actual amounts necessary to successfully complete the development and commercialization of FLX-787.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1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Concurrent with our efforts to grow HOTSHOT, on January 22, 2018, we disclosed that we engaged an investment banking firm to assist with the consideration of strategic alternatives for our consumer business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ectPr>
          <w:pgSz w:w="11900" w:h="16838" w:orient="portrait"/>
          <w:cols w:equalWidth="0" w:num="1">
            <w:col w:w="11400"/>
          </w:cols>
          <w:pgMar w:left="240" w:top="276" w:right="2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276" w:right="25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on our research and development plans, our consumer brand and HOTSHOT expenditure plans and our expectations of timing related to the progress of our clinical programs, we expect that our existing cash resources and marketable securities will enable us to fund our costs and expenses, working capital and capital expenditure requirements to mid-2019. We have based this estimate on assumptions that may prove to be wrong, however, and we could use our capital resources sooner than we expect. Additionally, the process of testing drug product candidates in clinical trials is costly, and the timing of progress of these efforts is uncertain.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2017, except that we have updated our revenue recognition policies in conjunction with our adoption of ASC 606 as further described in Note 2 and Note 3 to the accompanying unaudited condensed consolidated financial statements. Readers should refer to our 2017 Form 10-K under “Management’s Discussion and Analysis of Financial Condition and Results of Operation—Critical Accounting Policies and Use of Estimates” and Note 2 to the accompanying financial statements for descriptions of these policies and estimates.</w:t>
      </w: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March 31, 2018, we had cash, cash equivalents and marketable securities of $23.9 million. We invest our cash in a variety of financial instruments, principally money market funds, U.S. government securities, investment-grade corporate notes and commercial paper. Our primary exposure to market risk is interest rate sensitivity, which is affected by changes in the general level of U.S. interest rates. Available-for-sale securities that we invest in are subject to interest rate risk and may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2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w:t>
      </w:r>
    </w:p>
    <w:p>
      <w:pPr>
        <w:sectPr>
          <w:pgSz w:w="11900" w:h="16838" w:orient="portrait"/>
          <w:cols w:equalWidth="0" w:num="1">
            <w:col w:w="11420"/>
          </w:cols>
          <w:pgMar w:left="240" w:top="276" w:right="2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6"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information is accumulated and communicated to our management, including our chief executive officer and our chief financial officer, as appropriate, to allow timely decisions regarding required disclosure.</w:t>
      </w:r>
    </w:p>
    <w:p>
      <w:pPr>
        <w:spacing w:after="0" w:line="2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As of March 31, 2018,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During the three months ended March 31, 2018, there was no significant change in our internal control over financial reporting that has materially affected, or is reasonably likely to materially affect, our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35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December 31, 2017.</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2017, except as follows:</w:t>
      </w:r>
    </w:p>
    <w:p>
      <w:pPr>
        <w:spacing w:after="0" w:line="2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spacing w:after="0" w:line="20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6"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but not limited to personal information regarding our patients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While we have implemented security measures intended to protect our information technology systems and infrastructure, there can be no assurance that such measures will successfully prevent service interruptions or security incidents.</w:t>
      </w: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repurchases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$79.9 million, after deducting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or to any other persons.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There has been no material change in the use of proceeds from our initial public offering as described in our final prospectus filed with the SEC pursuant to Rule 424(b)(4) on January 28, 2015.</w:t>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6"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276" w:right="1440"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00" w:type="dxa"/>
            <w:vAlign w:val="bottom"/>
          </w:tcPr>
          <w:p>
            <w:pPr>
              <w:spacing w:after="0"/>
              <w:rPr>
                <w:sz w:val="20"/>
                <w:szCs w:val="20"/>
                <w:color w:val="auto"/>
              </w:rPr>
            </w:pPr>
          </w:p>
        </w:tc>
        <w:tc>
          <w:tcPr>
            <w:tcW w:w="998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4"/>
          </w:tcPr>
          <w:p>
            <w:pPr>
              <w:spacing w:after="0"/>
              <w:rPr>
                <w:rFonts w:ascii="Arial" w:cs="Arial" w:eastAsia="Arial" w:hAnsi="Arial"/>
                <w:sz w:val="16"/>
                <w:szCs w:val="16"/>
                <w:color w:val="0000FF"/>
              </w:rPr>
            </w:pPr>
            <w:hyperlink r:id="rId29">
              <w:r>
                <w:rPr>
                  <w:rFonts w:ascii="Arial" w:cs="Arial" w:eastAsia="Arial" w:hAnsi="Arial"/>
                  <w:sz w:val="16"/>
                  <w:szCs w:val="16"/>
                  <w:color w:val="0000FF"/>
                </w:rPr>
                <w:t>Amended and Restated Certificate of Incorporation of the Registrant.</w:t>
              </w:r>
            </w:hyperlink>
          </w:p>
        </w:tc>
        <w:tc>
          <w:tcPr>
            <w:tcW w:w="4880" w:type="dxa"/>
            <w:vAlign w:val="bottom"/>
            <w:gridSpan w:val="5"/>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r:id="rId30">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3"/>
          </w:tcPr>
          <w:p>
            <w:pPr>
              <w:spacing w:after="0"/>
              <w:rPr>
                <w:rFonts w:ascii="Arial" w:cs="Arial" w:eastAsia="Arial" w:hAnsi="Arial"/>
                <w:sz w:val="16"/>
                <w:szCs w:val="16"/>
                <w:color w:val="0000FF"/>
              </w:rPr>
            </w:pPr>
            <w:hyperlink r:id="rId31">
              <w:r>
                <w:rPr>
                  <w:rFonts w:ascii="Arial" w:cs="Arial" w:eastAsia="Arial" w:hAnsi="Arial"/>
                  <w:sz w:val="16"/>
                  <w:szCs w:val="16"/>
                  <w:color w:val="0000FF"/>
                </w:rPr>
                <w:t>Form of Common Stock Certificate of the Registrant.</w:t>
              </w:r>
            </w:hyperlink>
          </w:p>
        </w:tc>
        <w:tc>
          <w:tcPr>
            <w:tcW w:w="6040" w:type="dxa"/>
            <w:vAlign w:val="bottom"/>
            <w:gridSpan w:val="6"/>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r:id="rId32">
              <w:r>
                <w:rPr>
                  <w:rFonts w:ascii="Arial" w:cs="Arial" w:eastAsia="Arial" w:hAnsi="Arial"/>
                  <w:sz w:val="16"/>
                  <w:szCs w:val="16"/>
                  <w:color w:val="0000FF"/>
                </w:rPr>
                <w:t>Amended and Restated Investors' Rights Agreement, dated July 23, 2014, by and among the Company and certain of its stockholders.</w:t>
              </w:r>
            </w:hyperlink>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8"/>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Certification of the Principal Executive Officer pursuant to Rule 13a-14(a) or 15d-14(a) of the Securities Exchange Act of 1934.</w:t>
              </w:r>
            </w:hyperlink>
          </w:p>
        </w:tc>
        <w:tc>
          <w:tcPr>
            <w:tcW w:w="180" w:type="dxa"/>
            <w:vAlign w:val="bottom"/>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3"/>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9"/>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w:anchor="page35">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6"/>
          </w:tcPr>
          <w:p>
            <w:pPr>
              <w:spacing w:after="0"/>
              <w:rPr>
                <w:sz w:val="14"/>
                <w:szCs w:val="14"/>
                <w:color w:val="auto"/>
              </w:rPr>
            </w:pPr>
          </w:p>
        </w:tc>
        <w:tc>
          <w:tcPr>
            <w:tcW w:w="240" w:type="dxa"/>
            <w:vAlign w:val="bottom"/>
            <w:gridSpan w:val="2"/>
          </w:tcPr>
          <w:p>
            <w:pPr>
              <w:spacing w:after="0"/>
              <w:rPr>
                <w:sz w:val="14"/>
                <w:szCs w:val="14"/>
                <w:color w:val="auto"/>
              </w:rPr>
            </w:pPr>
          </w:p>
        </w:tc>
      </w:tr>
    </w:tbl>
    <w:p>
      <w:pPr>
        <w:spacing w:after="0" w:line="204" w:lineRule="exact"/>
        <w:rPr>
          <w:sz w:val="20"/>
          <w:szCs w:val="20"/>
          <w:color w:val="auto"/>
        </w:rPr>
      </w:pPr>
    </w:p>
    <w:p>
      <w:pPr>
        <w:ind w:left="1380" w:right="320" w:hanging="859"/>
        <w:spacing w:after="0" w:line="251" w:lineRule="auto"/>
        <w:tabs>
          <w:tab w:leader="none" w:pos="13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March 31, 2018,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2769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276" w:right="4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6"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May 2,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May 2,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March 31, 2018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May 2, 2018</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446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4460" w:type="dxa"/>
            <w:vAlign w:val="bottom"/>
            <w:vMerge w:val="restart"/>
          </w:tcPr>
          <w:p>
            <w:pPr>
              <w:spacing w:after="0"/>
              <w:rPr>
                <w:sz w:val="20"/>
                <w:szCs w:val="20"/>
                <w:color w:val="auto"/>
              </w:rPr>
            </w:pPr>
            <w:r>
              <w:rPr>
                <w:rFonts w:ascii="Arial" w:cs="Arial" w:eastAsia="Arial" w:hAnsi="Arial"/>
                <w:sz w:val="18"/>
                <w:szCs w:val="18"/>
                <w:color w:val="auto"/>
              </w:rPr>
              <w:t>May 2, 2018</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446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lvl w:ilvl="1">
      <w:lvlJc w:val="left"/>
      <w:lvlText w:val="%2"/>
      <w:numFmt w:val="decimal"/>
      <w:start w:val="101"/>
    </w:lvl>
  </w:abstractNum>
  <w:abstractNum w:abstractNumId="9">
    <w:nsid w:val="140E0F76"/>
    <w:multiLevelType w:val="hybridMultilevel"/>
    <w:lvl w:ilvl="0">
      <w:lvlJc w:val="left"/>
      <w:lvlText w:val="(%1)"/>
      <w:numFmt w:val="decimal"/>
      <w:start w:val="1"/>
    </w:lvl>
    <w:lvl w:ilvl="1">
      <w:lvlJc w:val="left"/>
      <w:lvlText w:val="%2"/>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29" Type="http://schemas.openxmlformats.org/officeDocument/2006/relationships/hyperlink" Target="http://www.sec.gov/Archives/edgar/data/1615219/000110465915007801/a15-4061_1ex3d1.htm" TargetMode="External"/><Relationship Id="rId30" Type="http://schemas.openxmlformats.org/officeDocument/2006/relationships/hyperlink" Target="http://www.sec.gov/Archives/edgar/data/1615219/000110465915007801/a15-4061_1ex3d2.htm" TargetMode="External"/><Relationship Id="rId31" Type="http://schemas.openxmlformats.org/officeDocument/2006/relationships/hyperlink" Target="http://www.sec.gov/Archives/edgar/data/1615219/000104746915000197/a2222689zex-4_1.htm" TargetMode="External"/><Relationship Id="rId32" Type="http://schemas.openxmlformats.org/officeDocument/2006/relationships/hyperlink" Target="http://www.sec.gov/Archives/edgar/data/1615219/000104746914010116/a2222457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2019-12-28T22:37:26Z</dcterms:created>
  <dcterms:modified xsi:type="dcterms:W3CDTF">2019-12-28T22:37:26Z</dcterms:modified>
</cp:coreProperties>
</file>