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354965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ind w:left="360" w:hanging="321"/>
        <w:spacing w:after="0" w:line="184" w:lineRule="auto"/>
        <w:tabs>
          <w:tab w:leader="none" w:pos="36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b w:val="1"/>
          <w:bCs w:val="1"/>
          <w:color w:val="auto"/>
        </w:rPr>
        <w:t>ANNUAL REPORT PURSUANT TO SECTION 13 OR 15(d) OF THE SECURITIES EXCHANGE ACT OF 1934</w:t>
      </w:r>
    </w:p>
    <w:p>
      <w:pPr>
        <w:spacing w:after="0" w:line="16" w:lineRule="exact"/>
        <w:rPr>
          <w:rFonts w:ascii="Arial" w:cs="Arial" w:eastAsia="Arial" w:hAnsi="Arial"/>
          <w:sz w:val="28"/>
          <w:szCs w:val="28"/>
          <w:color w:val="auto"/>
          <w:vertAlign w:val="superscript"/>
        </w:rPr>
      </w:pPr>
    </w:p>
    <w:p>
      <w:pPr>
        <w:ind w:left="3920"/>
        <w:spacing w:after="0"/>
        <w:rPr>
          <w:rFonts w:ascii="Arial" w:cs="Arial" w:eastAsia="Arial" w:hAnsi="Arial"/>
          <w:sz w:val="28"/>
          <w:szCs w:val="28"/>
          <w:color w:val="auto"/>
          <w:vertAlign w:val="superscript"/>
        </w:rPr>
      </w:pPr>
      <w:r>
        <w:rPr>
          <w:rFonts w:ascii="Arial" w:cs="Arial" w:eastAsia="Arial" w:hAnsi="Arial"/>
          <w:sz w:val="16"/>
          <w:szCs w:val="16"/>
          <w:b w:val="1"/>
          <w:bCs w:val="1"/>
          <w:color w:val="auto"/>
        </w:rPr>
        <w:t>For the fiscal year ended December 31, 2024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360" w:hanging="321"/>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5" w:lineRule="exact"/>
        <w:rPr>
          <w:sz w:val="24"/>
          <w:szCs w:val="24"/>
          <w:color w:val="auto"/>
        </w:rPr>
      </w:pPr>
    </w:p>
    <w:p>
      <w:pPr>
        <w:ind w:left="3620"/>
        <w:spacing w:after="0"/>
        <w:tabs>
          <w:tab w:leader="none" w:pos="74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36" w:lineRule="exact"/>
        <w:rPr>
          <w:sz w:val="24"/>
          <w:szCs w:val="24"/>
          <w:color w:val="auto"/>
        </w:rPr>
      </w:pPr>
    </w:p>
    <w:tbl>
      <w:tblPr>
        <w:tblLayout w:type="fixed"/>
        <w:tblInd w:w="2580" w:type="dxa"/>
        <w:tblCellMar>
          <w:top w:w="0" w:type="dxa"/>
          <w:left w:w="0" w:type="dxa"/>
          <w:bottom w:w="0" w:type="dxa"/>
          <w:right w:w="0" w:type="dxa"/>
        </w:tblCellMar>
      </w:tblPr>
      <w:tr>
        <w:trPr>
          <w:trHeight w:val="221"/>
        </w:trPr>
        <w:tc>
          <w:tcPr>
            <w:tcW w:w="3220" w:type="dxa"/>
            <w:vAlign w:val="bottom"/>
          </w:tcPr>
          <w:p>
            <w:pPr>
              <w:jc w:val="center"/>
              <w:ind w:right="1225"/>
              <w:spacing w:after="0"/>
              <w:rPr>
                <w:sz w:val="20"/>
                <w:szCs w:val="20"/>
                <w:color w:val="auto"/>
              </w:rPr>
            </w:pPr>
            <w:r>
              <w:rPr>
                <w:rFonts w:ascii="Arial" w:cs="Arial" w:eastAsia="Arial" w:hAnsi="Arial"/>
                <w:sz w:val="16"/>
                <w:szCs w:val="16"/>
                <w:b w:val="1"/>
                <w:bCs w:val="1"/>
                <w:color w:val="auto"/>
              </w:rPr>
              <w:t>Delaware</w:t>
            </w:r>
          </w:p>
        </w:tc>
        <w:tc>
          <w:tcPr>
            <w:tcW w:w="2440" w:type="dxa"/>
            <w:vAlign w:val="bottom"/>
          </w:tcPr>
          <w:p>
            <w:pPr>
              <w:jc w:val="center"/>
              <w:ind w:left="1248"/>
              <w:spacing w:after="0"/>
              <w:rPr>
                <w:sz w:val="20"/>
                <w:szCs w:val="20"/>
                <w:color w:val="auto"/>
              </w:rPr>
            </w:pPr>
            <w:r>
              <w:rPr>
                <w:rFonts w:ascii="Arial" w:cs="Arial" w:eastAsia="Arial" w:hAnsi="Arial"/>
                <w:sz w:val="14"/>
                <w:szCs w:val="14"/>
                <w:b w:val="1"/>
                <w:bCs w:val="1"/>
                <w:color w:val="auto"/>
              </w:rPr>
              <w:t>46-5087339</w:t>
            </w:r>
          </w:p>
        </w:tc>
      </w:tr>
      <w:tr>
        <w:trPr>
          <w:trHeight w:val="148"/>
        </w:trPr>
        <w:tc>
          <w:tcPr>
            <w:tcW w:w="3220" w:type="dxa"/>
            <w:vAlign w:val="bottom"/>
          </w:tcPr>
          <w:p>
            <w:pPr>
              <w:jc w:val="center"/>
              <w:ind w:right="1225"/>
              <w:spacing w:after="0" w:line="149" w:lineRule="exact"/>
              <w:rPr>
                <w:sz w:val="20"/>
                <w:szCs w:val="20"/>
                <w:color w:val="auto"/>
              </w:rPr>
            </w:pPr>
            <w:r>
              <w:rPr>
                <w:rFonts w:ascii="Arial" w:cs="Arial" w:eastAsia="Arial" w:hAnsi="Arial"/>
                <w:sz w:val="14"/>
                <w:szCs w:val="14"/>
                <w:color w:val="auto"/>
              </w:rPr>
              <w:t>(State or Other Jurisdiction of</w:t>
            </w:r>
          </w:p>
        </w:tc>
        <w:tc>
          <w:tcPr>
            <w:tcW w:w="2440" w:type="dxa"/>
            <w:vAlign w:val="bottom"/>
          </w:tcPr>
          <w:p>
            <w:pPr>
              <w:jc w:val="center"/>
              <w:ind w:left="1268"/>
              <w:spacing w:after="0" w:line="149" w:lineRule="exact"/>
              <w:rPr>
                <w:sz w:val="20"/>
                <w:szCs w:val="20"/>
                <w:color w:val="auto"/>
              </w:rPr>
            </w:pPr>
            <w:r>
              <w:rPr>
                <w:rFonts w:ascii="Arial" w:cs="Arial" w:eastAsia="Arial" w:hAnsi="Arial"/>
                <w:sz w:val="14"/>
                <w:szCs w:val="14"/>
                <w:color w:val="auto"/>
              </w:rPr>
              <w:t>(I.R.S. Employer</w:t>
            </w:r>
          </w:p>
        </w:tc>
      </w:tr>
      <w:tr>
        <w:trPr>
          <w:trHeight w:val="190"/>
        </w:trPr>
        <w:tc>
          <w:tcPr>
            <w:tcW w:w="3220" w:type="dxa"/>
            <w:vAlign w:val="bottom"/>
          </w:tcPr>
          <w:p>
            <w:pPr>
              <w:jc w:val="center"/>
              <w:ind w:right="1225"/>
              <w:spacing w:after="0"/>
              <w:rPr>
                <w:sz w:val="20"/>
                <w:szCs w:val="20"/>
                <w:color w:val="auto"/>
              </w:rPr>
            </w:pPr>
            <w:r>
              <w:rPr>
                <w:rFonts w:ascii="Arial" w:cs="Arial" w:eastAsia="Arial" w:hAnsi="Arial"/>
                <w:sz w:val="14"/>
                <w:szCs w:val="14"/>
                <w:color w:val="auto"/>
              </w:rPr>
              <w:t>Incorporation or Organization)</w:t>
            </w:r>
          </w:p>
        </w:tc>
        <w:tc>
          <w:tcPr>
            <w:tcW w:w="2440" w:type="dxa"/>
            <w:vAlign w:val="bottom"/>
          </w:tcPr>
          <w:p>
            <w:pPr>
              <w:jc w:val="center"/>
              <w:ind w:left="1248"/>
              <w:spacing w:after="0"/>
              <w:rPr>
                <w:sz w:val="20"/>
                <w:szCs w:val="20"/>
                <w:color w:val="auto"/>
              </w:rPr>
            </w:pPr>
            <w:r>
              <w:rPr>
                <w:rFonts w:ascii="Arial" w:cs="Arial" w:eastAsia="Arial" w:hAnsi="Arial"/>
                <w:sz w:val="14"/>
                <w:szCs w:val="14"/>
                <w:color w:val="auto"/>
              </w:rPr>
              <w:t>Identification No.)</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2450 Holcombe Blvd., Suite X, Houston, TX 77021</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w:t>
      </w:r>
      <w:r>
        <w:rPr>
          <w:rFonts w:ascii="Arial" w:cs="Arial" w:eastAsia="Arial" w:hAnsi="Arial"/>
          <w:sz w:val="16"/>
          <w:szCs w:val="16"/>
          <w:b w:val="1"/>
          <w:bCs w:val="1"/>
          <w:color w:val="auto"/>
        </w:rPr>
        <w:t>e: (713) 913-5608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32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240" w:type="dxa"/>
            <w:vAlign w:val="bottom"/>
          </w:tcPr>
          <w:p>
            <w:pPr>
              <w:jc w:val="center"/>
              <w:ind w:left="308"/>
              <w:spacing w:after="0"/>
              <w:rPr>
                <w:sz w:val="20"/>
                <w:szCs w:val="20"/>
                <w:color w:val="auto"/>
              </w:rPr>
            </w:pPr>
            <w:r>
              <w:rPr>
                <w:rFonts w:ascii="Arial" w:cs="Arial" w:eastAsia="Arial" w:hAnsi="Arial"/>
                <w:sz w:val="14"/>
                <w:szCs w:val="14"/>
                <w:color w:val="auto"/>
              </w:rPr>
              <w:t>Common Stock, par value $ 0.0001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SLRX</w:t>
            </w:r>
          </w:p>
        </w:tc>
        <w:tc>
          <w:tcPr>
            <w:tcW w:w="3520" w:type="dxa"/>
            <w:vAlign w:val="bottom"/>
          </w:tcPr>
          <w:p>
            <w:pPr>
              <w:jc w:val="center"/>
              <w:ind w:right="408"/>
              <w:spacing w:after="0"/>
              <w:rPr>
                <w:sz w:val="20"/>
                <w:szCs w:val="20"/>
                <w:color w:val="auto"/>
              </w:rPr>
            </w:pPr>
            <w:r>
              <w:rPr>
                <w:rFonts w:ascii="Arial" w:cs="Arial" w:eastAsia="Arial" w:hAnsi="Arial"/>
                <w:sz w:val="14"/>
                <w:szCs w:val="14"/>
                <w:b w:val="1"/>
                <w:bCs w:val="1"/>
                <w:color w:val="auto"/>
              </w:rPr>
              <w:t>The Nasdaq Stock Market LLC</w:t>
            </w:r>
          </w:p>
        </w:tc>
      </w:tr>
      <w:tr>
        <w:trPr>
          <w:trHeight w:val="271"/>
        </w:trPr>
        <w:tc>
          <w:tcPr>
            <w:tcW w:w="3240" w:type="dxa"/>
            <w:vAlign w:val="bottom"/>
          </w:tcPr>
          <w:p>
            <w:pPr>
              <w:spacing w:after="0"/>
              <w:rPr>
                <w:sz w:val="23"/>
                <w:szCs w:val="23"/>
                <w:color w:val="auto"/>
              </w:rPr>
            </w:pPr>
          </w:p>
        </w:tc>
        <w:tc>
          <w:tcPr>
            <w:tcW w:w="4440" w:type="dxa"/>
            <w:vAlign w:val="bottom"/>
            <w:gridSpan w:val="5"/>
          </w:tcPr>
          <w:p>
            <w:pPr>
              <w:jc w:val="center"/>
              <w:ind w:left="199"/>
              <w:spacing w:after="0"/>
              <w:rPr>
                <w:sz w:val="20"/>
                <w:szCs w:val="20"/>
                <w:color w:val="auto"/>
              </w:rPr>
            </w:pPr>
            <w:r>
              <w:rPr>
                <w:rFonts w:ascii="Arial" w:cs="Arial" w:eastAsia="Arial" w:hAnsi="Arial"/>
                <w:sz w:val="16"/>
                <w:szCs w:val="16"/>
                <w:color w:val="auto"/>
              </w:rPr>
              <w:t>Securities registered pursuant to Section 12(g) of the Act:</w:t>
            </w:r>
          </w:p>
        </w:tc>
        <w:tc>
          <w:tcPr>
            <w:tcW w:w="3520" w:type="dxa"/>
            <w:vAlign w:val="bottom"/>
          </w:tcPr>
          <w:p>
            <w:pPr>
              <w:spacing w:after="0"/>
              <w:rPr>
                <w:sz w:val="23"/>
                <w:szCs w:val="23"/>
                <w:color w:val="auto"/>
              </w:rPr>
            </w:pPr>
          </w:p>
        </w:tc>
      </w:tr>
      <w:tr>
        <w:trPr>
          <w:trHeight w:val="223"/>
        </w:trPr>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None.</w:t>
            </w:r>
          </w:p>
        </w:tc>
        <w:tc>
          <w:tcPr>
            <w:tcW w:w="3520" w:type="dxa"/>
            <w:vAlign w:val="bottom"/>
          </w:tcPr>
          <w:p>
            <w:pPr>
              <w:spacing w:after="0"/>
              <w:rPr>
                <w:sz w:val="19"/>
                <w:szCs w:val="19"/>
                <w:color w:val="auto"/>
              </w:rPr>
            </w:pPr>
          </w:p>
        </w:tc>
      </w:tr>
    </w:tbl>
    <w:p>
      <w:pPr>
        <w:spacing w:after="0" w:line="196" w:lineRule="exact"/>
        <w:rPr>
          <w:sz w:val="24"/>
          <w:szCs w:val="24"/>
          <w:color w:val="auto"/>
        </w:rPr>
      </w:pPr>
    </w:p>
    <w:p>
      <w:pPr>
        <w:jc w:val="both"/>
        <w:ind w:right="2980"/>
        <w:spacing w:after="0" w:line="18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5" w:lineRule="exact"/>
        <w:rPr>
          <w:sz w:val="24"/>
          <w:szCs w:val="24"/>
          <w:color w:val="auto"/>
        </w:rPr>
      </w:pPr>
    </w:p>
    <w:p>
      <w:pPr>
        <w:spacing w:after="0" w:line="188" w:lineRule="exact"/>
        <w:tabs>
          <w:tab w:leader="none" w:pos="10860" w:val="left"/>
        </w:tabs>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the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right="660"/>
        <w:spacing w:after="0" w:line="19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1" w:lineRule="exact"/>
        <w:rPr>
          <w:sz w:val="24"/>
          <w:szCs w:val="24"/>
          <w:color w:val="auto"/>
        </w:rPr>
      </w:pPr>
    </w:p>
    <w:p>
      <w:pPr>
        <w:ind w:right="4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8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400" w:type="dxa"/>
            <w:vAlign w:val="bottom"/>
          </w:tcPr>
          <w:p>
            <w:pPr>
              <w:ind w:left="226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03"/>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8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400" w:type="dxa"/>
            <w:vAlign w:val="bottom"/>
          </w:tcPr>
          <w:p>
            <w:pPr>
              <w:ind w:left="226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42"/>
        </w:trPr>
        <w:tc>
          <w:tcPr>
            <w:tcW w:w="26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8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400" w:type="dxa"/>
            <w:vAlign w:val="bottom"/>
          </w:tcPr>
          <w:p>
            <w:pPr>
              <w:spacing w:after="0"/>
              <w:rPr>
                <w:sz w:val="21"/>
                <w:szCs w:val="21"/>
                <w:color w:val="auto"/>
              </w:rPr>
            </w:pPr>
          </w:p>
        </w:tc>
        <w:tc>
          <w:tcPr>
            <w:tcW w:w="480" w:type="dxa"/>
            <w:vAlign w:val="bottom"/>
          </w:tcPr>
          <w:p>
            <w:pPr>
              <w:spacing w:after="0"/>
              <w:rPr>
                <w:sz w:val="21"/>
                <w:szCs w:val="21"/>
                <w:color w:val="auto"/>
              </w:rPr>
            </w:pPr>
          </w:p>
        </w:tc>
      </w:tr>
    </w:tbl>
    <w:p>
      <w:pPr>
        <w:spacing w:after="0" w:line="60" w:lineRule="exact"/>
        <w:rPr>
          <w:sz w:val="24"/>
          <w:szCs w:val="24"/>
          <w:color w:val="auto"/>
        </w:rPr>
      </w:pPr>
    </w:p>
    <w:p>
      <w:pPr>
        <w:ind w:right="28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ind w:right="400"/>
        <w:spacing w:after="0" w:line="162"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Arial Unicode MS" w:cs="Arial Unicode MS" w:eastAsia="Arial Unicode MS" w:hAnsi="Arial Unicode MS"/>
          <w:sz w:val="14"/>
          <w:szCs w:val="14"/>
          <w:color w:val="auto"/>
        </w:rPr>
        <w:t>☐</w:t>
      </w:r>
    </w:p>
    <w:p>
      <w:pPr>
        <w:ind w:right="600"/>
        <w:spacing w:after="0" w:line="16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440"/>
        <w:spacing w:after="0" w:line="159"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spacing w:after="0" w:line="188" w:lineRule="exact"/>
        <w:tabs>
          <w:tab w:leader="none" w:pos="7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160"/>
        <w:spacing w:after="0" w:line="264" w:lineRule="auto"/>
        <w:rPr>
          <w:sz w:val="20"/>
          <w:szCs w:val="20"/>
          <w:color w:val="auto"/>
        </w:rPr>
      </w:pPr>
      <w:r>
        <w:rPr>
          <w:rFonts w:ascii="Arial" w:cs="Arial" w:eastAsia="Arial" w:hAnsi="Arial"/>
          <w:sz w:val="14"/>
          <w:szCs w:val="14"/>
          <w:color w:val="auto"/>
        </w:rPr>
        <w:t>As of June 28, 2024 (the last business day of the registrant's most recently completed second fiscal quarter, the aggregate market value of the common stock of the registrant held by non-affiliates of the registrant was $1,500,431 based on the last reported sale price of the registrant's common stock on the Nasdaq Capital Market on June 28, 2024.</w:t>
      </w:r>
    </w:p>
    <w:p>
      <w:pPr>
        <w:spacing w:after="0"/>
        <w:rPr>
          <w:sz w:val="20"/>
          <w:szCs w:val="20"/>
          <w:color w:val="auto"/>
        </w:rPr>
      </w:pPr>
      <w:r>
        <w:rPr>
          <w:rFonts w:ascii="Arial" w:cs="Arial" w:eastAsia="Arial" w:hAnsi="Arial"/>
          <w:sz w:val="14"/>
          <w:szCs w:val="14"/>
          <w:color w:val="auto"/>
        </w:rPr>
        <w:t xml:space="preserve">As of March 17, 2025, there were 1,745,730 </w:t>
      </w:r>
      <w:r>
        <w:rPr>
          <w:rFonts w:ascii="Arial" w:cs="Arial" w:eastAsia="Arial" w:hAnsi="Arial"/>
          <w:sz w:val="17"/>
          <w:szCs w:val="17"/>
          <w:color w:val="auto"/>
        </w:rPr>
        <w:t>s</w:t>
      </w:r>
      <w:r>
        <w:rPr>
          <w:rFonts w:ascii="Arial" w:cs="Arial" w:eastAsia="Arial" w:hAnsi="Arial"/>
          <w:sz w:val="14"/>
          <w:szCs w:val="14"/>
          <w:color w:val="auto"/>
        </w:rPr>
        <w:t>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526415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480"/>
        </w:trPr>
        <w:tc>
          <w:tcPr>
            <w:tcW w:w="4260" w:type="dxa"/>
            <w:vAlign w:val="bottom"/>
            <w:gridSpan w:val="20"/>
          </w:tcPr>
          <w:p>
            <w:pPr>
              <w:spacing w:after="0"/>
              <w:rPr>
                <w:sz w:val="20"/>
                <w:szCs w:val="20"/>
                <w:color w:val="auto"/>
              </w:rPr>
            </w:pPr>
            <w:r>
              <w:rPr>
                <w:rFonts w:ascii="Arial" w:cs="Arial" w:eastAsia="Arial" w:hAnsi="Arial"/>
                <w:sz w:val="18"/>
                <w:szCs w:val="18"/>
                <w:color w:val="0000FF"/>
                <w:w w:val="99"/>
              </w:rPr>
              <w:t>Special Note Regarding Forward Looking Statements</w:t>
            </w:r>
          </w:p>
        </w:tc>
        <w:tc>
          <w:tcPr>
            <w:tcW w:w="6240" w:type="dxa"/>
            <w:vAlign w:val="bottom"/>
            <w:gridSpan w:val="15"/>
          </w:tcPr>
          <w:p>
            <w:pPr>
              <w:spacing w:after="0"/>
              <w:rPr>
                <w:sz w:val="24"/>
                <w:szCs w:val="24"/>
                <w:color w:val="auto"/>
              </w:rPr>
            </w:pPr>
          </w:p>
        </w:tc>
        <w:tc>
          <w:tcPr>
            <w:tcW w:w="60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4</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35"/>
          </w:tcPr>
          <w:p>
            <w:pPr>
              <w:spacing w:after="0"/>
              <w:rPr>
                <w:sz w:val="20"/>
                <w:szCs w:val="20"/>
                <w:color w:val="auto"/>
              </w:rPr>
            </w:pPr>
            <w:r>
              <w:rPr>
                <w:rFonts w:ascii="Arial" w:cs="Arial" w:eastAsia="Arial" w:hAnsi="Arial"/>
                <w:sz w:val="18"/>
                <w:szCs w:val="18"/>
                <w:color w:val="0000FF"/>
              </w:rPr>
              <w:t>Summary of Selected Risks associated with our Business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20" w:type="dxa"/>
            <w:vAlign w:val="bottom"/>
            <w:gridSpan w:val="3"/>
          </w:tcPr>
          <w:p>
            <w:pPr>
              <w:spacing w:after="0"/>
              <w:rPr>
                <w:sz w:val="20"/>
                <w:szCs w:val="20"/>
                <w:color w:val="auto"/>
              </w:rPr>
            </w:pPr>
            <w:r>
              <w:rPr>
                <w:rFonts w:ascii="Arial" w:cs="Arial" w:eastAsia="Arial" w:hAnsi="Arial"/>
                <w:sz w:val="18"/>
                <w:szCs w:val="18"/>
                <w:color w:val="0000FF"/>
                <w:w w:val="95"/>
              </w:rPr>
              <w:t>PART I.</w:t>
            </w:r>
          </w:p>
        </w:tc>
        <w:tc>
          <w:tcPr>
            <w:tcW w:w="5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1.</w:t>
            </w:r>
          </w:p>
        </w:tc>
        <w:tc>
          <w:tcPr>
            <w:tcW w:w="80" w:type="dxa"/>
            <w:vAlign w:val="bottom"/>
          </w:tcPr>
          <w:p>
            <w:pPr>
              <w:spacing w:after="0"/>
              <w:rPr>
                <w:sz w:val="18"/>
                <w:szCs w:val="18"/>
                <w:color w:val="auto"/>
              </w:rPr>
            </w:pPr>
          </w:p>
        </w:tc>
        <w:tc>
          <w:tcPr>
            <w:tcW w:w="5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0000FF"/>
                <w:w w:val="98"/>
              </w:rPr>
              <w:t>Business</w:t>
            </w:r>
          </w:p>
        </w:tc>
        <w:tc>
          <w:tcPr>
            <w:tcW w:w="8180" w:type="dxa"/>
            <w:vAlign w:val="bottom"/>
            <w:gridSpan w:val="26"/>
          </w:tcPr>
          <w:p>
            <w:pPr>
              <w:spacing w:after="0"/>
              <w:rPr>
                <w:sz w:val="18"/>
                <w:szCs w:val="18"/>
                <w:color w:val="auto"/>
              </w:rPr>
            </w:pPr>
          </w:p>
        </w:tc>
        <w:tc>
          <w:tcPr>
            <w:tcW w:w="6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1A.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8"/>
          </w:tcPr>
          <w:p>
            <w:pPr>
              <w:spacing w:after="0"/>
              <w:rPr>
                <w:sz w:val="20"/>
                <w:szCs w:val="20"/>
                <w:color w:val="auto"/>
              </w:rPr>
            </w:pPr>
            <w:r>
              <w:rPr>
                <w:rFonts w:ascii="Arial" w:cs="Arial" w:eastAsia="Arial" w:hAnsi="Arial"/>
                <w:sz w:val="18"/>
                <w:szCs w:val="18"/>
                <w:color w:val="0000FF"/>
              </w:rPr>
              <w:t>Risk Factors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20</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1B.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66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35</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95"/>
              </w:rPr>
              <w:t>Item 1C</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0000FF"/>
              </w:rPr>
              <w:t>Cybersecurity</w:t>
            </w:r>
          </w:p>
        </w:tc>
        <w:tc>
          <w:tcPr>
            <w:tcW w:w="666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35</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10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0000FF"/>
              </w:rPr>
              <w:t>Properties</w:t>
            </w:r>
          </w:p>
        </w:tc>
        <w:tc>
          <w:tcPr>
            <w:tcW w:w="7820" w:type="dxa"/>
            <w:vAlign w:val="bottom"/>
            <w:gridSpan w:val="23"/>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36</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Item 3.</w:t>
            </w:r>
          </w:p>
        </w:tc>
        <w:tc>
          <w:tcPr>
            <w:tcW w:w="100" w:type="dxa"/>
            <w:vAlign w:val="bottom"/>
            <w:tcBorders>
              <w:bottom w:val="single" w:sz="8" w:color="0000FF"/>
            </w:tcBorders>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420" w:type="dxa"/>
            <w:vAlign w:val="bottom"/>
            <w:gridSpan w:val="21"/>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36</w:t>
            </w: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9"/>
          </w:tcPr>
          <w:p>
            <w:pPr>
              <w:spacing w:after="0"/>
              <w:rPr>
                <w:sz w:val="20"/>
                <w:szCs w:val="20"/>
                <w:color w:val="auto"/>
              </w:rPr>
            </w:pPr>
            <w:r>
              <w:rPr>
                <w:rFonts w:ascii="Arial" w:cs="Arial" w:eastAsia="Arial" w:hAnsi="Arial"/>
                <w:sz w:val="18"/>
                <w:szCs w:val="18"/>
                <w:color w:val="0000FF"/>
                <w:w w:val="99"/>
              </w:rPr>
              <w:t>Mine Safety Disclosures</w:t>
            </w:r>
          </w:p>
        </w:tc>
        <w:tc>
          <w:tcPr>
            <w:tcW w:w="698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36</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40" w:type="dxa"/>
            <w:vAlign w:val="bottom"/>
            <w:gridSpan w:val="2"/>
          </w:tcPr>
          <w:p>
            <w:pPr>
              <w:spacing w:after="0" w:line="189" w:lineRule="exact"/>
              <w:rPr>
                <w:sz w:val="20"/>
                <w:szCs w:val="20"/>
                <w:color w:val="auto"/>
              </w:rPr>
            </w:pPr>
            <w:r>
              <w:rPr>
                <w:rFonts w:ascii="Arial" w:cs="Arial" w:eastAsia="Arial" w:hAnsi="Arial"/>
                <w:sz w:val="18"/>
                <w:szCs w:val="18"/>
                <w:color w:val="0000FF"/>
              </w:rPr>
              <w:t>Part II</w:t>
            </w:r>
          </w:p>
        </w:tc>
        <w:tc>
          <w:tcPr>
            <w:tcW w:w="620" w:type="dxa"/>
            <w:vAlign w:val="bottom"/>
            <w:gridSpan w:val="4"/>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36</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5.</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8880" w:type="dxa"/>
            <w:vAlign w:val="bottom"/>
            <w:gridSpan w:val="27"/>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6.</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0000FF"/>
                <w:w w:val="96"/>
              </w:rPr>
              <w:t>Reserved</w:t>
            </w:r>
          </w:p>
        </w:tc>
        <w:tc>
          <w:tcPr>
            <w:tcW w:w="8100" w:type="dxa"/>
            <w:vAlign w:val="bottom"/>
            <w:gridSpan w:val="24"/>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7.</w:t>
            </w:r>
          </w:p>
        </w:tc>
        <w:tc>
          <w:tcPr>
            <w:tcW w:w="10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 Overview</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7A.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8"/>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8.</w:t>
            </w:r>
          </w:p>
        </w:tc>
        <w:tc>
          <w:tcPr>
            <w:tcW w:w="1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2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43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43</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11"/>
          </w:tcPr>
          <w:p>
            <w:pPr>
              <w:spacing w:after="0"/>
              <w:rPr>
                <w:sz w:val="20"/>
                <w:szCs w:val="20"/>
                <w:color w:val="auto"/>
              </w:rPr>
            </w:pPr>
            <w:r>
              <w:rPr>
                <w:rFonts w:ascii="Arial" w:cs="Arial" w:eastAsia="Arial" w:hAnsi="Arial"/>
                <w:sz w:val="18"/>
                <w:szCs w:val="18"/>
                <w:color w:val="0000FF"/>
                <w:w w:val="97"/>
              </w:rPr>
              <w:t>Index to Financial Statements</w:t>
            </w:r>
          </w:p>
        </w:tc>
        <w:tc>
          <w:tcPr>
            <w:tcW w:w="1140" w:type="dxa"/>
            <w:vAlign w:val="bottom"/>
            <w:gridSpan w:val="7"/>
          </w:tcPr>
          <w:p>
            <w:pPr>
              <w:spacing w:after="0"/>
              <w:rPr>
                <w:sz w:val="18"/>
                <w:szCs w:val="18"/>
                <w:color w:val="auto"/>
              </w:rPr>
            </w:pPr>
          </w:p>
        </w:tc>
        <w:tc>
          <w:tcPr>
            <w:tcW w:w="52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43</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7"/>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44</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21"/>
          </w:tcPr>
          <w:p>
            <w:pPr>
              <w:spacing w:after="0"/>
              <w:rPr>
                <w:sz w:val="20"/>
                <w:szCs w:val="20"/>
                <w:color w:val="auto"/>
              </w:rPr>
            </w:pPr>
            <w:r>
              <w:rPr>
                <w:rFonts w:ascii="Arial" w:cs="Arial" w:eastAsia="Arial" w:hAnsi="Arial"/>
                <w:sz w:val="18"/>
                <w:szCs w:val="18"/>
                <w:color w:val="0000FF"/>
              </w:rPr>
              <w:t>Consolidated Balance Sheets</w:t>
            </w:r>
          </w:p>
        </w:tc>
        <w:tc>
          <w:tcPr>
            <w:tcW w:w="41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46</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7"/>
          </w:tcPr>
          <w:p>
            <w:pPr>
              <w:spacing w:after="0"/>
              <w:rPr>
                <w:sz w:val="20"/>
                <w:szCs w:val="20"/>
                <w:color w:val="auto"/>
              </w:rPr>
            </w:pPr>
            <w:r>
              <w:rPr>
                <w:rFonts w:ascii="Arial" w:cs="Arial" w:eastAsia="Arial" w:hAnsi="Arial"/>
                <w:sz w:val="18"/>
                <w:szCs w:val="18"/>
                <w:color w:val="0000FF"/>
              </w:rPr>
              <w:t>Consolidated Statements of Operations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47</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7"/>
          </w:tcPr>
          <w:p>
            <w:pPr>
              <w:spacing w:after="0"/>
              <w:rPr>
                <w:sz w:val="20"/>
                <w:szCs w:val="20"/>
                <w:color w:val="auto"/>
              </w:rPr>
            </w:pPr>
            <w:r>
              <w:rPr>
                <w:rFonts w:ascii="Arial" w:cs="Arial" w:eastAsia="Arial" w:hAnsi="Arial"/>
                <w:sz w:val="18"/>
                <w:szCs w:val="18"/>
                <w:color w:val="0000FF"/>
              </w:rPr>
              <w:t>Consolidated Statements of Cash Flows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gridSpan w:val="20"/>
          </w:tcPr>
          <w:p>
            <w:pPr>
              <w:spacing w:after="0"/>
              <w:rPr>
                <w:sz w:val="20"/>
                <w:szCs w:val="20"/>
                <w:color w:val="auto"/>
              </w:rPr>
            </w:pPr>
            <w:r>
              <w:rPr>
                <w:rFonts w:ascii="Arial" w:cs="Arial" w:eastAsia="Arial" w:hAnsi="Arial"/>
                <w:sz w:val="18"/>
                <w:szCs w:val="18"/>
                <w:color w:val="0000FF"/>
                <w:w w:val="98"/>
              </w:rPr>
              <w:t>Consolidated Statement of Stockholders' Equity (Deficit)</w:t>
            </w:r>
          </w:p>
        </w:tc>
        <w:tc>
          <w:tcPr>
            <w:tcW w:w="43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49</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gridSpan w:val="20"/>
          </w:tcPr>
          <w:p>
            <w:pPr>
              <w:spacing w:after="0"/>
              <w:rPr>
                <w:sz w:val="20"/>
                <w:szCs w:val="20"/>
                <w:color w:val="auto"/>
              </w:rPr>
            </w:pPr>
            <w:r>
              <w:rPr>
                <w:rFonts w:ascii="Arial" w:cs="Arial" w:eastAsia="Arial" w:hAnsi="Arial"/>
                <w:sz w:val="18"/>
                <w:szCs w:val="18"/>
                <w:color w:val="0000FF"/>
              </w:rPr>
              <w:t>Notes to Consolidated Financial Statements</w:t>
            </w:r>
          </w:p>
        </w:tc>
        <w:tc>
          <w:tcPr>
            <w:tcW w:w="43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50</w:t>
            </w:r>
          </w:p>
        </w:tc>
      </w:tr>
      <w:tr>
        <w:trPr>
          <w:trHeight w:val="20"/>
        </w:trPr>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Item 9.</w:t>
            </w:r>
          </w:p>
        </w:tc>
        <w:tc>
          <w:tcPr>
            <w:tcW w:w="6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gridSpan w:val="24"/>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78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9A.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6920" w:type="dxa"/>
            <w:vAlign w:val="bottom"/>
            <w:gridSpan w:val="18"/>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9B.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10"/>
          </w:tcPr>
          <w:p>
            <w:pPr>
              <w:spacing w:after="0"/>
              <w:rPr>
                <w:sz w:val="20"/>
                <w:szCs w:val="20"/>
                <w:color w:val="auto"/>
              </w:rPr>
            </w:pPr>
            <w:r>
              <w:rPr>
                <w:rFonts w:ascii="Arial" w:cs="Arial" w:eastAsia="Arial" w:hAnsi="Arial"/>
                <w:sz w:val="18"/>
                <w:szCs w:val="18"/>
                <w:color w:val="0000FF"/>
              </w:rPr>
              <w:t>Other Information</w:t>
            </w:r>
          </w:p>
        </w:tc>
        <w:tc>
          <w:tcPr>
            <w:tcW w:w="6920" w:type="dxa"/>
            <w:vAlign w:val="bottom"/>
            <w:gridSpan w:val="18"/>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4"/>
              </w:rPr>
              <w:t>Part III</w:t>
            </w:r>
          </w:p>
        </w:tc>
        <w:tc>
          <w:tcPr>
            <w:tcW w:w="1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10.</w:t>
            </w: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28"/>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62</w:t>
            </w:r>
          </w:p>
        </w:tc>
      </w:tr>
      <w:tr>
        <w:trPr>
          <w:trHeight w:val="20"/>
        </w:trPr>
        <w:tc>
          <w:tcPr>
            <w:tcW w:w="6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11.</w:t>
            </w: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442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70</w:t>
            </w:r>
          </w:p>
        </w:tc>
      </w:tr>
      <w:tr>
        <w:trPr>
          <w:trHeight w:val="20"/>
        </w:trPr>
        <w:tc>
          <w:tcPr>
            <w:tcW w:w="6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12.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20" w:type="dxa"/>
            <w:vAlign w:val="bottom"/>
            <w:gridSpan w:val="26"/>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9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78</w:t>
            </w:r>
          </w:p>
        </w:tc>
      </w:tr>
      <w:tr>
        <w:trPr>
          <w:trHeight w:val="20"/>
        </w:trPr>
        <w:tc>
          <w:tcPr>
            <w:tcW w:w="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Item 13.</w:t>
            </w:r>
          </w:p>
        </w:tc>
        <w:tc>
          <w:tcPr>
            <w:tcW w:w="480" w:type="dxa"/>
            <w:vAlign w:val="bottom"/>
            <w:tcBorders>
              <w:bottom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4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92"/>
              </w:rPr>
              <w:t>Item 14.</w:t>
            </w: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gridSpan w:val="15"/>
          </w:tcPr>
          <w:p>
            <w:pPr>
              <w:spacing w:after="0"/>
              <w:rPr>
                <w:sz w:val="20"/>
                <w:szCs w:val="20"/>
                <w:color w:val="auto"/>
              </w:rPr>
            </w:pPr>
            <w:r>
              <w:rPr>
                <w:rFonts w:ascii="Arial" w:cs="Arial" w:eastAsia="Arial" w:hAnsi="Arial"/>
                <w:sz w:val="18"/>
                <w:szCs w:val="18"/>
                <w:color w:val="0000FF"/>
                <w:w w:val="99"/>
              </w:rPr>
              <w:t>Principal Accounting Fees and Services</w:t>
            </w:r>
          </w:p>
        </w:tc>
        <w:tc>
          <w:tcPr>
            <w:tcW w:w="5740" w:type="dxa"/>
            <w:vAlign w:val="bottom"/>
            <w:gridSpan w:val="13"/>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81</w:t>
            </w:r>
          </w:p>
        </w:tc>
      </w:tr>
      <w:tr>
        <w:trPr>
          <w:trHeight w:val="20"/>
        </w:trPr>
        <w:tc>
          <w:tcPr>
            <w:tcW w:w="64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Arial" w:cs="Arial" w:eastAsia="Arial" w:hAnsi="Arial"/>
                <w:sz w:val="18"/>
                <w:szCs w:val="18"/>
                <w:color w:val="0000FF"/>
                <w:w w:val="90"/>
              </w:rPr>
              <w:t>Part IV</w:t>
            </w:r>
          </w:p>
        </w:tc>
        <w:tc>
          <w:tcPr>
            <w:tcW w:w="10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570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15.</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20" w:type="dxa"/>
            <w:vAlign w:val="bottom"/>
            <w:gridSpan w:val="16"/>
          </w:tcPr>
          <w:p>
            <w:pPr>
              <w:spacing w:after="0"/>
              <w:rPr>
                <w:sz w:val="20"/>
                <w:szCs w:val="20"/>
                <w:color w:val="auto"/>
              </w:rPr>
            </w:pPr>
            <w:r>
              <w:rPr>
                <w:rFonts w:ascii="Arial" w:cs="Arial" w:eastAsia="Arial" w:hAnsi="Arial"/>
                <w:sz w:val="18"/>
                <w:szCs w:val="18"/>
                <w:color w:val="0000FF"/>
                <w:w w:val="99"/>
              </w:rPr>
              <w:t>Exhibits, Financial Statement Schedules</w:t>
            </w:r>
          </w:p>
        </w:tc>
        <w:tc>
          <w:tcPr>
            <w:tcW w:w="5700" w:type="dxa"/>
            <w:vAlign w:val="bottom"/>
            <w:gridSpan w:val="1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r>
      <w:tr>
        <w:trPr>
          <w:trHeight w:val="20"/>
        </w:trPr>
        <w:tc>
          <w:tcPr>
            <w:tcW w:w="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570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Arial" w:cs="Arial" w:eastAsia="Arial" w:hAnsi="Arial"/>
                <w:sz w:val="18"/>
                <w:szCs w:val="18"/>
                <w:color w:val="0000FF"/>
                <w:w w:val="98"/>
              </w:rPr>
              <w:t>Item 16.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9"/>
              </w:rPr>
              <w:t>Form 10-K Summary</w:t>
            </w:r>
          </w:p>
        </w:tc>
        <w:tc>
          <w:tcPr>
            <w:tcW w:w="1540" w:type="dxa"/>
            <w:vAlign w:val="bottom"/>
            <w:gridSpan w:val="8"/>
          </w:tcPr>
          <w:p>
            <w:pPr>
              <w:spacing w:after="0"/>
              <w:rPr>
                <w:sz w:val="18"/>
                <w:szCs w:val="18"/>
                <w:color w:val="auto"/>
              </w:rPr>
            </w:pPr>
          </w:p>
        </w:tc>
        <w:tc>
          <w:tcPr>
            <w:tcW w:w="5700" w:type="dxa"/>
            <w:vAlign w:val="bottom"/>
            <w:gridSpan w:val="1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r>
      <w:tr>
        <w:trPr>
          <w:trHeight w:val="20"/>
        </w:trPr>
        <w:tc>
          <w:tcPr>
            <w:tcW w:w="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60" w:type="dxa"/>
            <w:vAlign w:val="bottom"/>
            <w:gridSpan w:val="6"/>
          </w:tcPr>
          <w:p>
            <w:pPr>
              <w:spacing w:after="0"/>
              <w:rPr>
                <w:sz w:val="20"/>
                <w:szCs w:val="20"/>
                <w:color w:val="auto"/>
              </w:rPr>
            </w:pPr>
            <w:r>
              <w:rPr>
                <w:rFonts w:ascii="Arial" w:cs="Arial" w:eastAsia="Arial" w:hAnsi="Arial"/>
                <w:sz w:val="18"/>
                <w:szCs w:val="18"/>
                <w:color w:val="0000FF"/>
                <w:w w:val="97"/>
              </w:rPr>
              <w:t>SIGNATURES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86</w:t>
            </w: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14, 2024, the Company filed a Certificate of Amendment to the Company’s restated certificate of incorporation, as amended, with the Secretary of State of the State of Delaware to effect a 1-for-8 reverse stock split of the Company’s issued and outstanding shares of common stock, par value $0.0001 per share (the “Reverse Stock</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Split”) which became effective as of June 14, 2024. All historical share and per share amounts reflected throughout this report have been adjusted to reflect the Reverse Stock Split.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Various statements made in this Annual Report on Form 10-K are forward-looking and involve risks and uncertainties. All statements that</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address activities, events or developments that we intend, expect or believe may occur in the future are forward-looking statements within the meaning of Section 27A of the Securities Act of 1933, as amended, and Section 21E of the Securities Exchange Act of 1934, as amended.</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Such statements give our current expectations or forecasts of future events and are not statements of historical or current facts. These statements include, among others, statements about:</w:t>
      </w:r>
    </w:p>
    <w:p>
      <w:pPr>
        <w:spacing w:after="0" w:line="21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ability to continue as a going concern and support our operations into the later part of the second quarter of 2025;</w:t>
      </w:r>
    </w:p>
    <w:p>
      <w:pPr>
        <w:spacing w:after="0" w:line="19"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expectations regarding the timing, likelihood, expected benefits of, and potential value created by, the proposed merger (the “Merger”) between us and Decoy Therapeutics Inc. (“Decoy”);</w:t>
      </w:r>
    </w:p>
    <w:p>
      <w:pPr>
        <w:spacing w:after="0" w:line="20" w:lineRule="exact"/>
        <w:rPr>
          <w:rFonts w:ascii="Arial" w:cs="Arial" w:eastAsia="Arial" w:hAnsi="Arial"/>
          <w:sz w:val="22"/>
          <w:szCs w:val="22"/>
          <w:color w:val="auto"/>
        </w:rPr>
      </w:pPr>
    </w:p>
    <w:p>
      <w:pPr>
        <w:jc w:val="both"/>
        <w:ind w:left="660" w:hanging="328"/>
        <w:spacing w:after="0"/>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expectations regarding the satisfaction of certain conditions to the completion of the Merger, including the conditions related to consummation of financing transactions with aggregate minimum proceeds of at least $6.0 million (the “Qualified Financing”), whether and when the Merger will be consummated and that our common stock remains listed on Nasdaq;</w:t>
      </w:r>
    </w:p>
    <w:p>
      <w:pPr>
        <w:spacing w:after="0" w:line="8"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potential effects of the Merger on the ownership percentages of Decoy’s stockholders and Salarius’ stockholders in the combined company;</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expectations regarding our clinical trials and any investigator-initiated clinical trials;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expectations as to revenue, cash flow, and expenses;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liquidity position, the expected sufficiency of such position for anticipated operating and capital requirements;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expectations regarding our ability to remain listed on Nasdaq;</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Forward-looking statements also include statements other than statements of current or historical fact,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 “target”, “potential,” “evaluate,” “proceeding.”</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The following are some of the factors that could cause actual results to differ materially from the anticipated results or other expectations expressed, anticipated or implied in our forward-looking statements:</w:t>
      </w:r>
    </w:p>
    <w:p>
      <w:pPr>
        <w:spacing w:after="0" w:line="238" w:lineRule="exact"/>
        <w:rPr>
          <w:sz w:val="20"/>
          <w:szCs w:val="20"/>
          <w:color w:val="auto"/>
        </w:rPr>
      </w:pPr>
    </w:p>
    <w:p>
      <w:pPr>
        <w:ind w:left="660" w:hanging="328"/>
        <w:spacing w:after="0" w:line="23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risk that if we do not successfully complete the Merger or obtain additional financing in the near term, the company will need to pursue a dissolution and liquidation of our company;</w:t>
      </w: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risk that we are delisted from Nasdaq;</w:t>
      </w:r>
    </w:p>
    <w:p>
      <w:pPr>
        <w:spacing w:after="0" w:line="10" w:lineRule="exact"/>
        <w:rPr>
          <w:rFonts w:ascii="Arial" w:cs="Arial" w:eastAsia="Arial" w:hAnsi="Arial"/>
          <w:sz w:val="22"/>
          <w:szCs w:val="22"/>
          <w:color w:val="auto"/>
        </w:rPr>
      </w:pPr>
    </w:p>
    <w:p>
      <w:pPr>
        <w:ind w:left="660" w:hanging="328"/>
        <w:spacing w:after="0" w:line="241"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our stockholders may not realize a benefit from the Merger commensurate with the ownership dilution they will experience in connection with the Merger and the Qualified Financing;</w:t>
      </w:r>
    </w:p>
    <w:p>
      <w:pPr>
        <w:ind w:left="660" w:hanging="328"/>
        <w:spacing w:after="0" w:line="232"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Merger consideration may have greater or lesser value at the closing of the Merger than at the time the merger agreement was signed;</w:t>
      </w:r>
    </w:p>
    <w:p>
      <w:pPr>
        <w:spacing w:after="0" w:line="7"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failure to complete the Merger may result in Salarius paying a termination fee or expenses to Decoy and could harm the financial condition and operations of Salarius;</w:t>
      </w:r>
    </w:p>
    <w:p>
      <w:pPr>
        <w:ind w:left="660" w:hanging="328"/>
        <w:spacing w:after="0" w:line="239"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if the conditions to the Merger are not met, including failure to consummate a Qualified Financing, or failure to comply with the continued listing standards of Nasdaq, the Merger may not occur;</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timing of the consummation of the Merger is uncertain as is the ability of each of Salarius and Decoy to consummate the Merger;</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Merger may be completed even though material adverse changes may occur;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328"/>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Salarius may not be able to correctly estimate its operating expenses and its expenses associated with the Merger and may have a significantly lower cash balance on the closing date of the Merger than currently estimated;</w:t>
      </w:r>
    </w:p>
    <w:p>
      <w:pPr>
        <w:ind w:left="660" w:hanging="328"/>
        <w:spacing w:after="0" w:line="217"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Salarius may not be able to maintain its Nasdaq listing following the Merger Closing;</w:t>
      </w:r>
    </w:p>
    <w:p>
      <w:pPr>
        <w:spacing w:after="0" w:line="8" w:lineRule="exact"/>
        <w:rPr>
          <w:rFonts w:ascii="Times New Roman" w:cs="Times New Roman" w:eastAsia="Times New Roman" w:hAnsi="Times New Roman"/>
          <w:sz w:val="22"/>
          <w:szCs w:val="22"/>
          <w:color w:val="auto"/>
        </w:rPr>
      </w:pPr>
    </w:p>
    <w:p>
      <w:pPr>
        <w:ind w:left="660" w:hanging="328"/>
        <w:spacing w:after="0" w:line="242"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as a result of any adjustments in the exchange ratio set forth in the Merger Agreement and Qualified Financing, Salarius’ stockholders may own less of the combined company than is currently anticipated;</w:t>
      </w:r>
    </w:p>
    <w:p>
      <w:pPr>
        <w:ind w:left="660" w:hanging="328"/>
        <w:spacing w:after="0" w:line="217"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market price of Salarius’ common stock may decline following the Merger;</w:t>
      </w:r>
    </w:p>
    <w:p>
      <w:pPr>
        <w:spacing w:after="0" w:line="20"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restrictions in the Merger Agreement may prevent Salarius from entering into a business combination with another party at a favorable price;</w:t>
      </w:r>
    </w:p>
    <w:p>
      <w:pPr>
        <w:ind w:left="660" w:hanging="328"/>
        <w:spacing w:after="0" w:line="239"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7"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the risk that the Merger, even if it is consummated, may not enhance stockholder value and may create a distraction or uncertainty that may adversely affect our operating results, business or investor perceptions;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the combined company may not be able to raise additional funds when necessary, and/or on acceptable terms;</w:t>
      </w:r>
    </w:p>
    <w:p>
      <w:pPr>
        <w:spacing w:after="0" w:line="19" w:lineRule="exact"/>
        <w:rPr>
          <w:rFonts w:ascii="Arial" w:cs="Arial" w:eastAsia="Arial" w:hAnsi="Arial"/>
          <w:sz w:val="22"/>
          <w:szCs w:val="22"/>
          <w:color w:val="auto"/>
        </w:rPr>
      </w:pPr>
    </w:p>
    <w:p>
      <w:pPr>
        <w:ind w:left="660" w:right="20" w:hanging="328"/>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potential adverse impacts regarding our continued implementation of cost-savings measures designed to extend our expected cash runway;</w:t>
      </w:r>
    </w:p>
    <w:p>
      <w:pPr>
        <w:spacing w:after="0" w:line="20"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the risk that the Company’s cost saving initiatives and exploration of strategic alternatives are not successful and do not increase stockholder value;</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unanticipated difficulties with preserving capital;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unanticipated charges not currently contemplated that may occur as a result of the Company’s cost savings plan;</w:t>
      </w:r>
    </w:p>
    <w:p>
      <w:pPr>
        <w:spacing w:after="0" w:line="20"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uncertainties about the paths of our programs and our ability to evaluate and identify a path forward for those programs, particularly given the constraints we have as a small company with limited financial, personnel and other operating resources;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the adequacy of our capital to support our future operations;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fluctuations in our operating results;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other factors described in our filings with the SEC.</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We cannot guarantee that the results and other expectations expressed, anticipated or implied in any forward-looking statement will be realized. The risks set forth under Item 1A of this Annual Report on Form 10-K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looking statements. Should known or unknown risks materialize, or should underlying assumptions prove inaccurate, actual results could differ materially from past results and those anticipated, estimated or projected in the forward-looking statements. You should bear this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mind as you consider any forward-looking statements.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SELECTED RISKS ASSOCIATED WITH OUR BUSINESS</w:t>
      </w:r>
    </w:p>
    <w:p>
      <w:pPr>
        <w:spacing w:after="0" w:line="225" w:lineRule="exact"/>
        <w:rPr>
          <w:sz w:val="20"/>
          <w:szCs w:val="20"/>
          <w:color w:val="auto"/>
        </w:rPr>
      </w:pPr>
    </w:p>
    <w:p>
      <w:pPr>
        <w:ind w:right="260" w:firstLine="577"/>
        <w:spacing w:after="0" w:line="271" w:lineRule="auto"/>
        <w:rPr>
          <w:sz w:val="20"/>
          <w:szCs w:val="20"/>
          <w:color w:val="auto"/>
        </w:rPr>
      </w:pPr>
      <w:r>
        <w:rPr>
          <w:rFonts w:ascii="Arial" w:cs="Arial" w:eastAsia="Arial" w:hAnsi="Arial"/>
          <w:sz w:val="18"/>
          <w:szCs w:val="18"/>
          <w:color w:val="auto"/>
        </w:rPr>
        <w:t>Our business is subject to numerous risks and uncertainties, including those discussed at length in the section titled “Risk Factors.” These risks include, among others, the following: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36" w:lineRule="exact"/>
        <w:rPr>
          <w:sz w:val="20"/>
          <w:szCs w:val="20"/>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Merger may be completed even though certain events occur prior to Merger Closing that materially and adversely affect Salarius.</w:t>
      </w:r>
    </w:p>
    <w:p>
      <w:pPr>
        <w:jc w:val="both"/>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Exchange Ratio set forth in the Merger Agreement is adjustable based on the Parent Cash Amount and the Company Cash Amount, each of which will be impacted by, among other things, unexpected expenses that could be experienced by Salarius or Decoy during the pre-Merger Closing period, which could result in Salarius stockholders owning significantly less of the combined company than currently estimated.</w:t>
      </w:r>
    </w:p>
    <w:p>
      <w:pPr>
        <w:spacing w:after="0" w:line="5"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Stockholders of the combined company may not realize a benefit from the Merger commensurate with the ownership dilution they will experience in connection with the Merger and the Qualified Financing.</w:t>
      </w:r>
    </w:p>
    <w:p>
      <w:pPr>
        <w:ind w:left="660" w:right="20" w:hanging="328"/>
        <w:spacing w:after="0" w:line="239"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During the pendency of the Merger, Salarius may not be able to enter into a business combination with another party at a favorable price because of restrictions in the Merger Agreement, which could adversely affect its business.</w:t>
      </w:r>
    </w:p>
    <w:p>
      <w:pPr>
        <w:ind w:left="660" w:hanging="328"/>
        <w:spacing w:after="0" w:line="239"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Certain provisions of the Merger Agreement may discourage third parties from submitting alternative takeover proposals, including proposals that may be superior to the arrangements contemplated by the Merger Agreement.</w:t>
      </w:r>
    </w:p>
    <w:p>
      <w:pPr>
        <w:jc w:val="both"/>
        <w:ind w:left="660" w:hanging="328"/>
        <w:spacing w:after="0" w:line="238"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Pursuant to the terms of the Merger Agreement, Salarius is required to recommend that its stockholders approve the conversion of all outstanding shares of its Series A Preferred Stock into shares of its Common Stock. Salarius cannot guarantee that its stockholders will approve this matter, and if they fail to do so its operations may be materially harmed.</w:t>
      </w:r>
    </w:p>
    <w:p>
      <w:pPr>
        <w:jc w:val="both"/>
        <w:ind w:left="660" w:hanging="328"/>
        <w:spacing w:after="0" w:line="238"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Because the lack of a public market for Decoy’s capital stock makes it difficult to evaluate the value of Decoy’s capital stock, the stockholders of Decoy may receive shares of Salarius common stock in the Merger that have a value that is greater than, the fair market value of Decoy’s capital stock.</w:t>
      </w:r>
    </w:p>
    <w:p>
      <w:pPr>
        <w:ind w:left="660" w:hanging="328"/>
        <w:spacing w:after="0" w:line="232"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combined company may become involved in securities class action litigation that could divert management’s attention and harm the combined company’s business and insurance coverage may not be sufficient to cover all costs and damages.</w:t>
      </w:r>
    </w:p>
    <w:p>
      <w:pPr>
        <w:spacing w:after="0" w:line="5"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Merger Agreement between Salarius and Decoy may be terminated in accordance with its terms and the Merger may not be completed.</w:t>
      </w:r>
    </w:p>
    <w:p>
      <w:pPr>
        <w:ind w:left="660" w:hanging="328"/>
        <w:spacing w:after="0" w:line="239"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Salarius may not be able to effect the Merger pursuant to the Merger Agreement, and failure to complete the Merger would negatively impact Salarius’ stock price and materially adversely impact the future business and financial results of the Salarius.</w:t>
      </w:r>
    </w:p>
    <w:p>
      <w:pPr>
        <w:ind w:left="660" w:hanging="328"/>
        <w:spacing w:after="0" w:line="217" w:lineRule="auto"/>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market price of Salarius’ common stock following the Merger may decline as a result of the Merger.</w:t>
      </w:r>
    </w:p>
    <w:p>
      <w:pPr>
        <w:spacing w:after="0" w:line="18" w:lineRule="exact"/>
        <w:rPr>
          <w:rFonts w:ascii="Times New Roman" w:cs="Times New Roman" w:eastAsia="Times New Roman" w:hAnsi="Times New Roman"/>
          <w:sz w:val="22"/>
          <w:szCs w:val="22"/>
          <w:color w:val="auto"/>
        </w:rPr>
      </w:pPr>
    </w:p>
    <w:p>
      <w:pPr>
        <w:jc w:val="both"/>
        <w:ind w:left="660" w:hanging="328"/>
        <w:spacing w:after="0" w:line="236"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Salarius and Decoy securityholders will have a reduced ownership and voting interest in, and will exercise less influence over the management of, the combined company following the Merger Closing as compared to their current ownership and voting interest in the respective companies.</w:t>
      </w:r>
    </w:p>
    <w:p>
      <w:pPr>
        <w:spacing w:after="0" w:line="5" w:lineRule="exact"/>
        <w:rPr>
          <w:rFonts w:ascii="Times New Roman" w:cs="Times New Roman" w:eastAsia="Times New Roman" w:hAnsi="Times New Roman"/>
          <w:sz w:val="22"/>
          <w:szCs w:val="22"/>
          <w:color w:val="auto"/>
        </w:rPr>
      </w:pPr>
    </w:p>
    <w:p>
      <w:pPr>
        <w:jc w:val="both"/>
        <w:ind w:left="660" w:hanging="328"/>
        <w:spacing w:after="0" w:line="236"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39" w:lineRule="exact"/>
        <w:rPr>
          <w:sz w:val="20"/>
          <w:szCs w:val="20"/>
          <w:color w:val="auto"/>
        </w:rPr>
      </w:pPr>
    </w:p>
    <w:p>
      <w:pPr>
        <w:jc w:val="both"/>
        <w:ind w:left="660" w:hanging="328"/>
        <w:spacing w:after="0" w:line="239"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the Merger is not completed, Salarius may not be able to otherwise source adequate liquidity to fund its operations, meet its obligations, and continue as a going concern. Salarius’ board of directors may decide to pursue a dissolution and liquidation of Salarius. In such an event, there can be no assurances as to the amount or timing of available cash left, if any, to distribute to its stockholders after paying its debts and other obligations and setting aside funds for reserves.</w:t>
      </w:r>
    </w:p>
    <w:p>
      <w:pPr>
        <w:spacing w:after="0" w:line="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Salarius’ common stock may be subject to delisting from Nasdaq.</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18"/>
          <w:szCs w:val="18"/>
          <w:color w:val="auto"/>
        </w:rPr>
        <w:t>Salarius is substantially dependent on its remaining employees and consultants to facilitate the consummation of the Merger.</w:t>
      </w:r>
    </w:p>
    <w:p>
      <w:pPr>
        <w:spacing w:after="0" w:line="17"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8"/>
        </w:numPr>
        <w:rPr>
          <w:rFonts w:ascii="Times New Roman" w:cs="Times New Roman" w:eastAsia="Times New Roman" w:hAnsi="Times New Roman"/>
          <w:sz w:val="22"/>
          <w:szCs w:val="22"/>
          <w:color w:val="auto"/>
        </w:rPr>
      </w:pPr>
      <w:r>
        <w:rPr>
          <w:rFonts w:ascii="Arial" w:cs="Arial" w:eastAsia="Arial" w:hAnsi="Arial"/>
          <w:sz w:val="18"/>
          <w:szCs w:val="18"/>
          <w:color w:val="auto"/>
        </w:rPr>
        <w:t>The pendency of the Merger could have an adverse effect on the trading price of Salarius’ common stock and its business, financial conditions and prospects.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Salarius has never generated any revenue from product sales and may never generate revenue or be profitable.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Salarius' Product Candidates</w:t>
      </w:r>
    </w:p>
    <w:p>
      <w:pPr>
        <w:spacing w:after="0" w:line="252" w:lineRule="exact"/>
        <w:rPr>
          <w:sz w:val="20"/>
          <w:szCs w:val="20"/>
          <w:color w:val="auto"/>
        </w:rPr>
      </w:pPr>
    </w:p>
    <w:p>
      <w:pPr>
        <w:ind w:left="660" w:right="20" w:hanging="328"/>
        <w:spacing w:after="0" w:line="237"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approach Salarius has taken to discovering and developing novel oncology therapeutics using epigenetic enzymes to moderate transcription factors and thereby control abnormal protein expression is unproven and may never lead to marketable products.</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Salarius’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8" w:lineRule="exact"/>
        <w:rPr>
          <w:rFonts w:ascii="Times New Roman" w:cs="Times New Roman" w:eastAsia="Times New Roman" w:hAnsi="Times New Roman"/>
          <w:sz w:val="22"/>
          <w:szCs w:val="22"/>
          <w:color w:val="auto"/>
        </w:rPr>
      </w:pPr>
    </w:p>
    <w:p>
      <w:pPr>
        <w:ind w:left="660" w:right="20" w:hanging="328"/>
        <w:spacing w:after="0" w:line="244" w:lineRule="auto"/>
        <w:tabs>
          <w:tab w:leader="none" w:pos="655"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Product development involves a lengthy and expensive process with an uncertain outcome, and results of earlier pre-clinical and clinical trials may not be predictive of future clinical trial results.</w:t>
      </w:r>
    </w:p>
    <w:p>
      <w:pPr>
        <w:spacing w:after="0" w:line="18"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Difficulty in enrolling patients is a common hurdle faced by early stage biotechnology companies and could, and often does, delay or prevent clinical trials of product candidates.</w:t>
      </w:r>
    </w:p>
    <w:p>
      <w:pPr>
        <w:spacing w:after="0" w:line="18"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Salarius may face potential product liability, and if successful claims are brought against Salarius, Salarius may incur substantial liability and costs which could be greater than Salarius’ insurance coverage or overall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66" w:lineRule="exact"/>
        <w:rPr>
          <w:sz w:val="20"/>
          <w:szCs w:val="20"/>
          <w:color w:val="auto"/>
        </w:rPr>
      </w:pPr>
    </w:p>
    <w:p>
      <w:pPr>
        <w:jc w:val="both"/>
        <w:ind w:left="660" w:hanging="328"/>
        <w:spacing w:after="0" w:line="24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Even if FDA grants breakthrough therapy designation for one or more of Salarius’ product candidates, the designation may not lead to a faster development or regulatory review or approval process, and it does not increase the likelihood that Salarius’ product candidates will receive marketing approval, and FDA may rescind the designation if it determines the product candidate no longer meets the qualifying criteria for breakthrough therapy.</w:t>
      </w:r>
    </w:p>
    <w:p>
      <w:pPr>
        <w:spacing w:after="0" w:line="19"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10"/>
        </w:numPr>
        <w:rPr>
          <w:rFonts w:ascii="Times New Roman" w:cs="Times New Roman" w:eastAsia="Times New Roman" w:hAnsi="Times New Roman"/>
          <w:sz w:val="22"/>
          <w:szCs w:val="22"/>
          <w:color w:val="auto"/>
        </w:rPr>
      </w:pPr>
      <w:r>
        <w:rPr>
          <w:rFonts w:ascii="Arial" w:cs="Arial" w:eastAsia="Arial" w:hAnsi="Arial"/>
          <w:sz w:val="18"/>
          <w:szCs w:val="18"/>
          <w:color w:val="auto"/>
        </w:rPr>
        <w:t>Salarius has received fast track designation for one of Salarius’ product candidates, but such designation may not actually lead to a faster development or regulatory review or approval process. Additionally, FDA may rescind the designation if it determines the product candidate no longer meets the qualifying criteria for fast track.</w:t>
      </w:r>
    </w:p>
    <w:p>
      <w:pPr>
        <w:spacing w:after="0" w:line="18" w:lineRule="exact"/>
        <w:rPr>
          <w:rFonts w:ascii="Times New Roman" w:cs="Times New Roman" w:eastAsia="Times New Roman" w:hAnsi="Times New Roman"/>
          <w:sz w:val="22"/>
          <w:szCs w:val="22"/>
          <w:color w:val="auto"/>
        </w:rPr>
      </w:pPr>
    </w:p>
    <w:p>
      <w:pPr>
        <w:jc w:val="both"/>
        <w:ind w:left="660" w:hanging="328"/>
        <w:spacing w:after="0" w:line="243" w:lineRule="auto"/>
        <w:tabs>
          <w:tab w:leader="none" w:pos="655" w:val="left"/>
        </w:tabs>
        <w:numPr>
          <w:ilvl w:val="0"/>
          <w:numId w:val="10"/>
        </w:numPr>
        <w:rPr>
          <w:rFonts w:ascii="Times New Roman" w:cs="Times New Roman" w:eastAsia="Times New Roman" w:hAnsi="Times New Roman"/>
          <w:sz w:val="22"/>
          <w:szCs w:val="22"/>
          <w:color w:val="auto"/>
        </w:rPr>
      </w:pPr>
      <w:r>
        <w:rPr>
          <w:rFonts w:ascii="Arial" w:cs="Arial" w:eastAsia="Arial" w:hAnsi="Arial"/>
          <w:sz w:val="18"/>
          <w:szCs w:val="18"/>
          <w:color w:val="auto"/>
        </w:rPr>
        <w:t>Salarius cannot guarantee how long it will take regulatory agencies to review Salarius’ applications for product candidates, and Salarius may fail to obtain the necessary regulatory approvals to market Salarius’ product candidates. If Salarius is not able to obtain required regulatory approvals, Salarius will not be able to commercialize Salarius’ product candidates and Salarius’ ability to generate revenue will be materially impaired.</w:t>
      </w:r>
    </w:p>
    <w:p>
      <w:pPr>
        <w:spacing w:after="0" w:line="19" w:lineRule="exact"/>
        <w:rPr>
          <w:rFonts w:ascii="Times New Roman" w:cs="Times New Roman" w:eastAsia="Times New Roman" w:hAnsi="Times New Roman"/>
          <w:sz w:val="22"/>
          <w:szCs w:val="22"/>
          <w:color w:val="auto"/>
        </w:rPr>
      </w:pPr>
    </w:p>
    <w:p>
      <w:pPr>
        <w:ind w:left="660" w:hanging="328"/>
        <w:spacing w:after="0" w:line="249"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Reliance on government funding for our programs may add uncertainty to our research and commercialization efforts and may impose requirements that limit our ability to take specified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66" w:lineRule="exact"/>
        <w:rPr>
          <w:sz w:val="20"/>
          <w:szCs w:val="20"/>
          <w:color w:val="auto"/>
        </w:rPr>
      </w:pPr>
    </w:p>
    <w:p>
      <w:pPr>
        <w:ind w:left="660" w:hanging="328"/>
        <w:spacing w:after="0" w:line="23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may not be successful in obtaining or maintaining exclusive or other necessary rights to our targets, product compounds and processes for our development pipeline.</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may not have sufficient patent term protections for our product candidates to protect our business.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660" w:hanging="328"/>
        <w:spacing w:after="0" w:line="246"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Arial" w:cs="Arial" w:eastAsia="Arial" w:hAnsi="Arial"/>
          <w:sz w:val="18"/>
          <w:szCs w:val="18"/>
          <w:color w:val="auto"/>
        </w:rPr>
        <w:t>We may not be able to protect our intellectual property rights throughout the world.</w:t>
      </w:r>
    </w:p>
    <w:p>
      <w:pPr>
        <w:spacing w:after="0" w:line="17"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References to “Salarius,” the “Company,” “we,” “us” and “our” refer to Salarius Pharmaceuticals, Inc. and its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References to “Notes” refer to the Notes to Consolidated Financial Statements included herein (refer to Item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Salarius is a clinical-stage biopharmaceutical company that has been focused on developing effective treatments for patients with cancer with high, unmet medical need. Specifically, Salarius has been concentrated on developing treatments for cancers caused by dysregulated gene expression (i.e., genes which are incorrectly turned on or off). Salarius has two classes of drugs that address gene dysregulation: targeted protein inhibitors and targeted protein degraders. Salarius’ technologies have the potential to work in both liquid and solid tumors. Salarius’ current pipeline consists of two small molecule drugs: (1) SP-3164, a targeted protein degrader, and (2) seclidemstat (“SP-2577”), a targeted protein inhibitor.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SP-3164</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Salarius’ plan had been to develop SP-3164 in high unmet need hematological indications and solid tumors. Salarius’ goal was to file an investigational new drug (“IND”) application with the U.S. Food and Drug Administration (“FDA”) for SP-3164 in the first half of 2023, and begin a Phase 1/2 clinical trial in the second half of 2023, however the lack of funding required Salarius to curtail spending necessary to begin the clinical trial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SP-2577</w:t>
      </w:r>
    </w:p>
    <w:p>
      <w:pPr>
        <w:spacing w:after="0" w:line="2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July 19, 2024, Salarius announced that it determined to close its ongoing Phase 1/2 clinical trial evaluating SP-2577 for Ewing sarcoma, including closing the remaining clinical trial sites. Salarius terminated the ongoing clinical trial in an effort to conserve cash. Salarius continues supporting The University of Texas MD Anderson Cancer Center (“MDACC”) in MDACC’s sponsored clinical trial evaluating SP-2577 in combination with azacytidine in adult patients with myelodysplastic syndromes and chronic myelomonocytic leukemia. In July 2024, the FDA placed the trial on partial clinical hold following a serious and unexpected grade 4 adverse event, encephalopathy, which was reversible. In February 2025, Salarius announced that MDACC had addressed the FDA’s questions and the partial clinical hold had been lifted, with patient enrollment resuming in the trial. Salarius has received FDA fast track designation for SP-2577 as a potential treatment for a rare pediatric disease in Ewing’s Sarcoma.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Merger Agreement with Decoy Therapeutics, Inc. (“Decoy”)</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August 8, 2023, Salarius announced that it retained Canaccord Genuity, LLC to lead a comprehensive review of strategic alternatives focusing on maximizing stockholder value, including but not limited to, an acquisition, merger, reverse merger, divestiture of assets, licensing, or other strategic transactions involving the company. On January 10, 2025, Salarius entered into an Agreement and Plan of Merger (the “Merger Agreement”) with Decoy Therapeutics MergerSub I, Inc., a Delaware corporation and a wholly owned subsidiary of Salarius (“First Merger Sub”), Decoy Therapeutics MergerSub II, LLC, a Delaware limited liability company and wholly owned subsidiary of Salarius (“Second Merger Sub”), and Decoy. Pursuant to the Merger Agreement, Salarius will combine with Decoy (the “Merger”) by causing First Merger Sub to be merged with and into Decoy, with Decoy surviving the merger as a wholly owned subsidiary of Salarius (the “First Merger”). Immediately following the First Merger, Decoy will merge with and into Second Merger Sub, with Second Merger Sub being the surviving entity and continuing under the name “Decoy Therapeutics, LLC” as a wholly owned subsidiary of Salarius.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Merger is structured as a stock-for-stock transaction pursuant to which all of Decoy’s outstanding equity interests will be exchanged based on an exchange ratio for consideration of a combination of (a) shares of Salarius’ common stock par value $0.0001 (the “Common Stock”) in an amount up to (i) 19.9% of Salarius’ total shares outstanding as of January 10, 2025 minus (ii) any shares of Salarius Common Stock issued in any private placement between January 10, 2025 and the effective time of the First Merger (the “First Effective Time”), and</w:t>
      </w:r>
    </w:p>
    <w:p>
      <w:pPr>
        <w:spacing w:after="0" w:line="3" w:lineRule="exact"/>
        <w:rPr>
          <w:sz w:val="20"/>
          <w:szCs w:val="20"/>
          <w:color w:val="auto"/>
        </w:rPr>
      </w:pPr>
    </w:p>
    <w:p>
      <w:pPr>
        <w:ind w:left="5580" w:right="1820" w:hanging="5572"/>
        <w:spacing w:after="0" w:line="892" w:lineRule="auto"/>
        <w:tabs>
          <w:tab w:leader="none" w:pos="2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Series A Preferred Stock, which is a newly designated series of preferred stock (“Preferred Stock”) that is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intended to have economic rights equivalent to the Common Stock, but with only limited voting rights, in addition to the assumption of outstanding and unexercised stock options to purchase shares of Common Stock from the Decoy Therapeutics Inc. 2020 Equity Incentive Plan. The number of shares of Common Stock to be issued at Merger Closing (as defined below) and the number of shares of Common stock underlying the Series A Preferred Stock to be issued at closing of the Merger (the “Merger Closing”) is based on an exchange ratio which assumes a base value of $28.0 million for Decoy and $4.6 million for Salarius, subject in each case to adjustment based on the balance sheet cash available to each of Salarius and Decoy at Merger Closing (excluding any proceeds raised the “Qualified Financing,” as defined below). Based on these relative values, before taking into account the dilutive effects of the Qualified Financing, Salarius’ legacy stockholders would retain approximately 14.1% of Salarius on an as-converted-to-common basis and, after giving effect to the exchange ratio and the conversion of the Series A Preferred Stock, Decoy stockholders would own approximately 85.9% of Salarius.</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rights of the Series A Preferred Stock will be set forth in a Certificate of Designation of Preferences, Rights and Limitations that Salarius will file with the Secretary of State of the State of Delaware (the “Certificate of Designation”). The Certificate of Designation provides that the preferred stock will be convertible into shares of Common Stock on a 1-for-1000 basis, subject to stockholder approval. The Merger was approved by Salarius’ board of directors and the board of directors of Decoy. In addition, following the consummation of the Merger, Salarius has agreed to call a special stockholder meeting to approve (i) the conversion of the preferred stock to be issued at Merger Closing into shares of Common Stock (the “Conversion Proposal”), (ii) a new equity incentive plan in form reasonably agreed to by the parties (the “Equity Plan Proposal”), and (iii) if necessary and advisable, a reverse stock split in a ratio to be approved by Salarius’ board of directors (the “Reverse Stock Split Proposal” and together with the Conversion Proposal and the Equity Plan Proposal, the “Company Stockholder Matters”).</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Merger Agreement contains customary representations and warranties by each of Salarius and Decoy, as well as covenants relating to operating each respective business in the ordinary course prior to Merger Closing. The Merger Closing is conditioned upon, among other things, minimum proceeds from future offerings of at least $6.0 million (collectively, the “Qualified Financing”) and the continued listing of Salarius Common Stock on Nasdaq. On January 17, 2025, Nasdaq notified Salarius that the proposed transaction with Decoy constitutes a business combination that will result in a “Change of Control” pursuant to Listing Rule 5110(a) and, accordingly, the post-transaction entity will be required to satisfy all of Nasdaq’s initial listing criteria and to complete Nasdaq’s initial listing process, including the payment of all applicable fees. Salarius intends to commence the process prior to seeking the Company’s stockholder approval for the issuance of 20% or more of the Company’s pre-transaction shares and must complete the process prior to the conversion of the preferred shares issued at the Merger Closing into shares of common stock of the Company.</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execution of the Merger Agreement, Salarius entered into stockholder support agreements (the “Salarius Support Agreements”) with certain of its officers and directors, who collectively own an aggregate of approximately 1.38% of the outstanding shares of the Common Stock. The Salarius Support Agreements provide that, among other things, each of the parties thereto has agreed to vote or cause to be voted all of the shares of Common Stock owned by such stockholder in favor of the Company Stockholder Matters at a special or annual meeting of Salarius’ stockholders to be held in connection therewith. In addition, Decoy officers and directors, in their capacities as stockholders of Decoy, entered into stockholder support agreements (the “Decoy Support Agreements”) with Decoy. The Decoy Support Agreements provide that, among other things, each of the parties thereto has agreed to vote or cause to be voted all of the shares of Common Stock owned by such stockholder in favor of the proposed Merger.</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Concurrently and in connection with the execution of the Merger Agreement, certain Decoy officers and directors, and certain of Salarius’ directors and officers entered into lock-up agreements with Salarius and Decoy, pursuant to which each such stockholder will be subject to a 180-day lockup on the sale or transfer of shares of Common Stock held by each such stockholder at the Merger Closing, including those shares received by Decoy stockholders in the Merger.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Cancellation Agreement</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 January 10, 2025, Salarius entered into a Warrant Cancellation Agreement (the “Warrant Cancellation Agreement”) with an accredited investor. Salarius previously issued to the investor a Series A-1 Common Stock Purchase Warrant to purchase 454,546 shares of its common stock pursuant to the offering described in Salarius’ Current Report on Form 8-K filed with the Securities and Exchange Commission (“SEC”) on </w:t>
      </w:r>
      <w:r>
        <w:rPr>
          <w:rFonts w:ascii="Arial" w:cs="Arial" w:eastAsia="Arial" w:hAnsi="Arial"/>
          <w:sz w:val="18"/>
          <w:szCs w:val="18"/>
          <w:color w:val="0000FF"/>
        </w:rPr>
        <w:t>May 16, 2023</w:t>
      </w:r>
      <w:r>
        <w:rPr>
          <w:rFonts w:ascii="Arial" w:cs="Arial" w:eastAsia="Arial" w:hAnsi="Arial"/>
          <w:sz w:val="18"/>
          <w:szCs w:val="18"/>
          <w:color w:val="auto"/>
        </w:rPr>
        <w:t xml:space="preserve"> (the “Warrant”). Pursuant to the Warrant Cancellation Agreement, on January 10, 2025, Salarius paid the investor an aggregate amount in cash of $350,000 in exchange for the surrender and cancellation of the Warrant.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ELOC Agreement</w:t>
      </w:r>
    </w:p>
    <w:p>
      <w:pPr>
        <w:spacing w:after="0" w:line="25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December 12, 2024, Salarius entered into a securities purchase agreement (the “ELOC Agreement”) with C/M Capital Master Fund, LP (the “Purchaser”), pursuant to which Salarius, subject to the restrictions and satisfaction of the conditions in the ELOC Agreement, has the right, but not the obligation, to sell to the Purchaser, and the Purchaser is obligated to purchase, up to the lesser of (i) $10 million of newly issued shares (the “Purchase Shares”) of Salarius’ common stock and (ii) the Exchange Cap (as defined in the ELOC Agreement). As consideration for the Purchaser’s execution and delivery of the ELOC Agreement, Salarius has agreed to issue to the Purchaser, simultaneously with the delivery of any and all Purchase Shares purchased under the ELOC Agreement, a number of shares of Salarius common stock equal to one percent (1%) of the number of Purchase Shares actually sold in each sale under the ELOC Agreement.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Between January 13, 2025 and March 7, 2025, Salarius issued and sold 283,933 Purchase Shares to the Purchaser pursuant to the ELOC Agreement at a weighted average exercise price of $2.61 for an aggregate purchase price of $740,500. These issuances and sales were made following written notice delivered by Salarius to Investor, directing Investor to purchase the Purchase Shares. Salarius also issued 2,839 shares of its common stock to the Purchaser as commitment shares pursuant to the terms of the ELOC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 Development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SP-3164 – Targeted Protein Degradation</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field of targeted protein degradation (TPD) is rapidly growing. The two most common types of protein degraders are molecular glues (“MGs”) and proteolysis-targeting chimeras (PROTACs). SP-3164 is a next-generation cereblon-binding MG.</w:t>
      </w:r>
    </w:p>
    <w:p>
      <w:pPr>
        <w:spacing w:after="0" w:line="15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MGs are small molecules that commandeer the body’s normal protein degradation processes by causing proteins to stick to one another thereby inducing selective degradation of cancer-causing proteins. Derived from avadomide, SP-3164 is engineered using deuterium-</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enabled chiral switching , a process that replaces hydrogen atoms with deuterium to stabilize the molecule’s active enantiomer, resulting in a novel molecular entity with the potential for increased efficacy and improved safety compared to the first generation compound. SP-3164 degrades transcription factors IKZF1 (“Ikaros”) and IKZF3 (“Aiolos”), along with other proteins, resulting in both direct anti-cancer activity and immune-modulating properties.</w:t>
      </w:r>
    </w:p>
    <w:p>
      <w:pPr>
        <w:spacing w:after="0" w:line="18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Salarius’ plan had been to develop SP-3164 in high unmet need hematological indications and solid tumors. Salarius’ goal was to file an investigational new drug (“IND”) application with the United States Food and Drug Administration (“FDA”) for SP-3164 in the first half of 2023, and begin a Phase 1/2 clinical trial in the second half of 2023, however the lack of funding required Salarius to curtail spending necessary to begin the clinical trial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SP-2577 Ewing Sarcoma</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Ewing sarcoma is a devastating pediatric and young adult cancer for which there are no approved targeted therapies. The cause of Ewing sarcoma is a chromosomal translocation involving the Ewing sarcoma breakpoint region 1 gene and ETS family genes, resulting in expression of a fusion oncoprotein. The resulting oncoprotein has been found to co-localize with LSD1 throughout the genome, making LSD1 an attractive therapeutic target for Ewing sarcoma.</w:t>
      </w:r>
    </w:p>
    <w:p>
      <w:pPr>
        <w:spacing w:after="0" w:line="200" w:lineRule="exact"/>
        <w:rPr>
          <w:sz w:val="20"/>
          <w:szCs w:val="20"/>
          <w:color w:val="auto"/>
        </w:rPr>
      </w:pP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July 19, 2024, Salarius announced it had determined to close its ongoing Phase ½ clinical trial evaluating SP-2577 for Ewing sarcoma, including closing the remaining clinical trial sites.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SP-2577 Myelodysplastic Syndromes And Chronic Myelomonocytic Leukemia</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Salarius intends to continue supporting The University of Texas MD Anderson Cancer Center (“MDACC”) in MDACC’s sponsored investigator-initiated clinical trial evaluating SP-2577 in combination with azacitidine in adult patients with myelodysplastic syndromes and chronic myelomonocytic leukemia. In July 2024, the FDA placed the trial on partial clinical hold following a serious and unexpected grade 4 adverse event, encephalopathy, which was reversible. In February 2025, Salarius announced that MDACC had addressed the FDA’s questions and the partial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clinical hold had been lifted, with patient enrollment resuming in the trial. We have received FDA fast track designation for SP-2577 as a potential treatment for a rare pediatric disease in Ewing’s Sarcoma.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strategic agreements that may have an impact on our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Utah Research Foundation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3, 2011, Salarius entered into an Exclusive License Agreement with the University of Utah Research Foundation (the “University of Utah”), for the exclusive license with respect to patent rights protecting SP-2577 and related compounds. The patent rights were for a provisional patent. The term of the agreement is until the last-to-expire of the patent rights licensed under the agreement, which is expected to be as late as 2037, unless otherwise terminated by law or by the parties pursuant to the agreement.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further consideration of the rights granted by the University of Utah, Salarius agreed to pay all past patent expenses incurred in filing and prosecuting the patent application, and pay all future patent expenses incurred including filing, prosecuting, enforcing and maintaining the patent right.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agreement, Salarius may be obligated to make certain future milestone and royalty payments, including: (i) an earned royalty payment based on a single digit percentage of net sales and a required minimum annual royalty payment commencing with the third full calendar year after the first commercial sale in the United States, Germany, France, Japan or the U.K. ranging from $10,000 to $40,000 per year which minimum payments are fully creditable towards the earned royalty payment with respect to the relevant calendar year, (ii) a sublicensee fee based on a single digit percentage of revenues received by sublicensees, (iii) milestone payments in agreed dollar amounts upon receiving regulatory approvals allowing the marketing and sale of licensed products or licensed methods relating to the patients’ rights in each of the United States, the European Union and Japan not exceeding $150,000 in the aggregate and (iv) a milestone payment in an agreed dollar amount upon the two year anniversary of the first commercial sale of a licensed product not exceeding $1.0 million.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Either party has a right to terminate the agreement for a breach of or default under the agreement following a 60-day cure period. If Salarius ceases to carry on its business with respect to the patent right granted under the agreement, the University of Utah has a right to terminate the agreement upon 60 days’ notice. In addition, Salarius may terminate the agreement at any time upon ninety days’ notice to the University of Utah.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Cancer Prevention and Research Institute of Texas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Salarius entered into a Cancer Research Grant Contract with Cancer Prevention and Research Institute of Texas (“CPRIT”). The grant contract was for an amount up to $18.7 million to fund the development of LSD-1 inhibitor. The grant was subsequently amended to remove $2.6 million related to a discontinued prostate cancer program. Salarius received approximately $16 million under the grant. The grant has been closed as of December 31,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DeuteRx, LLC</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January 12, 2022, Salarius entered into an acquisition and strategic collaboration agreement (the “ASCA”) with DeuteRx, LLC (“DeuteRx”), pursuant to which Salarius acquired targeted protein development portfolio.</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portfolio was purchased for an aggregate purchase price of $1.5 million and the delivery of 5,000 shares of Salarius’ common stock. Salarius agreed to pay to DeuteRx (i) milestone payments upon the occurrence of certain events and (ii) royalty payments. A member of Salarius’ board of directors also serves as a consultant to DeuteRx and is a consultant to an affiliate of DeuteRx.</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Simultaneously with Salarius entry into the ASCA, Salarius and DeuteRx entered into the R&amp;D Services Agreement, which sets forth the terms and conditions upon which DeuteRx will provide services to Salarius, including the implementation and performance of a Non-Clinical and Clinical Development Scope of Work. The ASCA remains in place, albeit at lower service levels resulting from company-wide cost cutting measures.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Sales and Marketing</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currently has no manufacturing facilities, nor does it have a sales and marketing organization because our product candidates are still in preclinical or early-stage clinical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Salarius’ patent portfolio includes composition of matter and methods of use patents on Salarius’ candidate, SP-2577. In the United States, Salarius has two composition of matter patents and one methods of use patent with respect to SP-2577 and related compounds which will expire in 2032. The patents and patent applications related to SP-2577 are owned by the University of Utah Research Foundation and are exclusively licensed to Salarius.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Salarius also has patents with claims that cover the composition of matter of SP-3164 with a patent term expiration of January 14, 2034.</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January 14, 2025, the targeted degradation patent portfolio consisted of 6 patent families with 17 granted patents and 4 pending applications acquired in the DeuteRx Transaction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patent protection, Salarius seeks to rely on trade secret protection, trademark protection and know-how to expand its proprietary position around its chemistry, technology and other discoveries and inventions that Salarius considers important to its business. Salarius also seeks to protect its intellectual property in part by entering into confidentiality agreements with employees, consultants, scientific advisors, clinical investigators and other contractors and by requiring employees, commercial contractors, and certain consultants and investigators, to enter into invention assignment agreements that grant Salarius ownership of any discoveries or inventions made by them. Further, Salarius seeks trademark protection in the United States and internationally where available and when Salarius deems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 Targeted Protein Degradation and Competitive Differentiation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field of TPD is rapidly growing and attracting significant interest from the biggest pharmaceutical companies. The two most common types of protein degraders are molecular glues (“MGs”) and proteolysis-targeting chimeras (PROTACs). SP-3164 is a next-generation CRBN-binding MG. There are several MGs in clinical development and additional compounds in IND-enabling studies.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SP-2577: LSD1 Inhibition and Competitive Differentiation</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LSD1 is a widely published epigenetic target and has attracted interest from several large pharmaceutical companies. LSD1 helps drive cancer progression through demethylation of histones and by acting as a scaffolding protein within various activator and repressor complexes.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Salarius believes that SP-2577 is differentiated in its ability to effectively inhibit LSD1’s scaffolding properties in addition to LSD1’s demethylation activity. Compared to irreversible LSD1 inhibitors, Salarius’ molecule has a novel binding mechanism (reversible as opposed to irreversible) and binding location (closer to substrate binding site as opposed to the FAD cofactor of LSD1).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the FDA’s implementing regulations, and other federal and state statutes and regulations, govern, among other things, the research, development, testing, manufacture, quality control, safety, effectiveness, storage, recordkeeping, approval, labeling, promotion and marketing, distribution, post-approval monitoring and reporting, sampling and import and export of pharmaceutical products. We cannot market a drug product candidate in the United States until the drug has received FDA approval.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Process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drug may be marketed in the United States generally include the following:</w:t>
      </w:r>
    </w:p>
    <w:p>
      <w:pPr>
        <w:spacing w:after="0" w:line="293" w:lineRule="exact"/>
        <w:rPr>
          <w:sz w:val="20"/>
          <w:szCs w:val="20"/>
          <w:color w:val="auto"/>
        </w:rPr>
      </w:pPr>
    </w:p>
    <w:p>
      <w:pPr>
        <w:jc w:val="both"/>
        <w:ind w:left="660" w:hanging="328"/>
        <w:spacing w:after="0" w:line="241"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completion of extensive non-clinical laboratory tests and animal studies in accordance with the FDA’s Good Laboratory Practices (GLP) regulations, applicable requirements for the humane use of laboratory animals, such as the Animal Welfare Act or other applicable regulations;</w:t>
      </w:r>
    </w:p>
    <w:p>
      <w:pPr>
        <w:spacing w:after="0" w:line="18"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submission to the FDA of an Investigational New Drug (IND) for human clinical testing, which must be deemed effective before human clinical trials may begin;</w:t>
      </w:r>
    </w:p>
    <w:p>
      <w:pPr>
        <w:spacing w:after="0" w:line="18"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approval by an independent institutional review board (IRB) overseeing each clinical site before each trial may be initiated at that site;</w:t>
      </w:r>
    </w:p>
    <w:p>
      <w:pPr>
        <w:spacing w:after="0" w:line="1" w:lineRule="exact"/>
        <w:rPr>
          <w:rFonts w:ascii="Arial" w:cs="Arial" w:eastAsia="Arial" w:hAnsi="Arial"/>
          <w:sz w:val="22"/>
          <w:szCs w:val="22"/>
          <w:color w:val="auto"/>
        </w:rPr>
      </w:pP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 requirements , and any additional requirements for the protection of human research subjects and their health information, to establish the safety and efficacy of the drug for each proposed indication;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New Drug Approval (NDA) for marketing approval that includes substantial evidence of safety and effectiveness from results of clinical trials, as well as the results of preclinical testing, detailed information about the chemistry, manufacturing and controls, and proposed labeling and packaging for the product candidate;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consideration by an FDA Advisory Committee, if applicable;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potential FDA audits of the preclinical study and clinical trial sites that generated the data in support of the NDA;</w:t>
      </w: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nonclinical, clinical and/or manufacturing sites or facilities at which the active pharmaceutical ingredient, (API), and finished drug product are produced and tested to assess compliance with current Good Manufacturing Practices (cGMP); and</w:t>
      </w:r>
    </w:p>
    <w:p>
      <w:pPr>
        <w:spacing w:after="0" w:line="1"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 including agreement on post-marketing commitments, if applicable.</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Before testing any drugs with potential therapeutic value in humans, the drug enters the preclinical testing stage. 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 and the Animal Welfare Act.</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commencing the first clinical trial in humans, an IND must be submitted to the FDA, and the IND must become effective. An IND sponsor must submit the results of pre-clinical testing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if all other requirements, including IRB review and approval, have been met. If the FDA raises concerns or questions about the conduct of the trial, such as whether human research subjects will be exposed to an unreasonable health risk, the IND sponsor and the FDA must resolve any outstanding FDA concerns or questions before clinical trials can proceed. Even after the IND has gone into effect and clinical testing has begun, the FDA may also impose clinical holds on clinical trials due to safety concerns or non-compliance. If the FDA imposes a clinical hold, studies may not recommence without FDA authorization and then only under terms authorized by the FDA.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investigator. Clinical trials must be conducted in compliance with state and federal regulations, including GCP requirements, which include the requirement that all research subjects provide their informed consent in writing for their participation in any clinical trial. Clinical trials are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conducted under protocols detailing the objectives of the trial, dosing procedures, subject selection and exclusion criteria, and the parameters to be used in monitoring safety and the effectiveness criteria to be evaluated, including stopping rules that assure a clinical trial will be stopped if certain adverse events (AEs) should occur. Each protocol and subsequent protocol amendments must be submitted to the FDA as part of the IND.</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patients in clinical trials must also be submitted to an IRB, for approval of each site at which the clinical trial will be conducted. An IRB may also require the clinical trial at the site to be halted, either temporarily or permanently, for failure to comply with the IRB’s requirements, or may impose other conditions. Information about certain clinical trials must be submitted within specific timeframes to the National Institutes of Health (NIH) for public dissemination on their www.clinicaltrials.gov website.</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pharmacological actions, safety and side effects associated with increasing doses and, if possible, early evidence of effectiveness. Phase 2 usually involves trials in a larger but limited patient population to study metabolism of the drug, pharmacokinetics,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also called pivotal trials, are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the labeling of the drug.</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has express statutory authority to require post-market clinical studies to address safety issues.</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AEs,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receipt of the information. Phase 1, Phase 2 and Phase 3 clinical trials may not be completed successfully within any specified period, if at all. The FDA or the sponsor may suspend a clinical trial at any time on various grounds, including a finding that the research subjects or</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limited circumstances, the FDA also permits the administration of investigational drug products to patients under its expanded access regulatory authorities. Under the FDA’s expanded access authority, patients who are not able to participate in a clinical trial may be eligible for accessing investigational products, including through individual compassionate or emergency use in concert with their requesting physician.</w:t>
      </w:r>
    </w:p>
    <w:p>
      <w:pPr>
        <w:jc w:val="both"/>
        <w:spacing w:after="0"/>
        <w:rPr>
          <w:sz w:val="20"/>
          <w:szCs w:val="20"/>
          <w:color w:val="auto"/>
        </w:rPr>
      </w:pPr>
      <w:r>
        <w:rPr>
          <w:rFonts w:ascii="Arial" w:cs="Arial" w:eastAsia="Arial" w:hAnsi="Arial"/>
          <w:sz w:val="18"/>
          <w:szCs w:val="18"/>
          <w:color w:val="auto"/>
        </w:rPr>
        <w:t>Concurrent with clinical trials, companies usually complete additional animal studies, develop additional information about the physical characteristics of the biological product candidate and finalize a process for manufacturing the product in commercial quantities in accordance with cGMP requirements. Additionally, appropriate packaging must be selected and tested, and stability studies must be conducted to demonstrate that the biological product candidate does not undergo unacceptable deterioration over its shelf life.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After completion of the required clinical testing, a sponsor may prepare and submit an NDA to the FDA. FDA approval of the NDA is required before marketing of the product may begin in the United States. The NDA must include the results of all non-clinical, clinical and other testing and a compilation of data relating to the product’s toxicology, pharmacology, chemistry, manufacture and controls. In addition, under the Pediatric Research Equity Act, as amended, an NDA or supplement to an NDA generally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depending on the designated pathway for submission. The cost of preparing and submitting an NDA is substantial. The submission of most NDAs is additionally subject to a substantial application user fee, and the manufacturer and/or sponsor under an approved NDA are also subject to annual product and establishment user fees. These fees are typically increased annually. Fee waivers or reductions are available in certain circumstances, including a waiver of the application fee for the first application filed by 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small business. Under the Prescription Drug User Fee Act (PDUFA) performance goals that are currently in effect, the FDA has a goal of ten months from the date of “filing” of a standard NDA for a new molecular entity to review and act on the submission. This review typically takes</w:t>
      </w:r>
    </w:p>
    <w:p>
      <w:pPr>
        <w:jc w:val="both"/>
        <w:spacing w:after="0" w:line="237" w:lineRule="auto"/>
        <w:rPr>
          <w:sz w:val="20"/>
          <w:szCs w:val="20"/>
          <w:color w:val="auto"/>
        </w:rPr>
      </w:pPr>
      <w:r>
        <w:rPr>
          <w:rFonts w:ascii="Arial" w:cs="Arial" w:eastAsia="Arial" w:hAnsi="Arial"/>
          <w:sz w:val="18"/>
          <w:szCs w:val="18"/>
          <w:color w:val="auto"/>
        </w:rPr>
        <w:t>twelve months from the date the NDA is submitted to FDA, because the FDA has approximately two months to make a “filing” decision. That deadline can be extended under certain circumstances, including by the FDA’s requests for additional information. The targeted action date can also be shortened to 6 months of the “filing” date for products that are granted priority review designation because they are intended to treat serious or life-threatening conditions and demonstrate the potential to address unmet medical needs. Within 60 days following submission of the application, the FDA reviews all NDAs submitted to ensure that they are sufficiently complete for substantive review before it accepts them for filing. The FDA may issue a refuse-to-file letter and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reviews an NDA to</w:t>
      </w:r>
    </w:p>
    <w:p>
      <w:pPr>
        <w:spacing w:after="0" w:line="3" w:lineRule="exact"/>
        <w:rPr>
          <w:sz w:val="20"/>
          <w:szCs w:val="20"/>
          <w:color w:val="auto"/>
        </w:rPr>
      </w:pPr>
    </w:p>
    <w:p>
      <w:pPr>
        <w:jc w:val="both"/>
        <w:spacing w:after="0"/>
        <w:rPr>
          <w:sz w:val="20"/>
          <w:szCs w:val="20"/>
          <w:color w:val="auto"/>
        </w:rPr>
      </w:pPr>
      <w:r>
        <w:rPr>
          <w:rFonts w:ascii="Arial" w:cs="Arial" w:eastAsia="Arial" w:hAnsi="Arial"/>
          <w:sz w:val="17"/>
          <w:szCs w:val="17"/>
          <w:color w:val="auto"/>
        </w:rPr>
        <w:t>determine, among other things, whether the drug is safe and effective and whether the facility(ies) in which it is manufactured, processed, packaged or held meets standards designed to assure the product’s continued safety, quality and purity. The FDA may also refer applications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novel drug products, or drug products that present difficult questions of safety or efficacy, to an advisory committee-typically a panel that</w:t>
      </w:r>
    </w:p>
    <w:p>
      <w:pPr>
        <w:spacing w:after="0" w:line="1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includes clinicians and other experts-for consideration, discussion and a vote on specific questions relevant to the approval decision. The FDA is not bound by the recommendation of an advisory committee, but it considers such recommendations carefully when making decisions. Before approving an NDA, the FDA will typically inspect one or more clinical sites to assure compliance with GCPs. Additionally, the FDA will inspect the facility or the facilities at which the drug is manufactured. The FDA will not approve the product unless compliance with cGMP requirements is satisfactory and the NDA contains data that provide substantial evidence that the drug is safe and effective in the indication studied.</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NDA review process, the FDA also will determine whether a Risk Evaluation and Mitigation Strategy (REMS) is necessary to assure the safe use of the product. If the FDA concludes a REMS is needed, the sponsor must submit a proposed REMS; the FDA will not</w:t>
      </w:r>
    </w:p>
    <w:p>
      <w:pPr>
        <w:jc w:val="both"/>
        <w:ind w:right="20"/>
        <w:spacing w:after="0" w:line="271" w:lineRule="auto"/>
        <w:rPr>
          <w:sz w:val="20"/>
          <w:szCs w:val="20"/>
          <w:color w:val="auto"/>
        </w:rPr>
      </w:pPr>
      <w:r>
        <w:rPr>
          <w:rFonts w:ascii="Arial" w:cs="Arial" w:eastAsia="Arial" w:hAnsi="Arial"/>
          <w:sz w:val="18"/>
          <w:szCs w:val="18"/>
          <w:color w:val="auto"/>
        </w:rPr>
        <w:t>approve the NDA without a REMS, if required. A REMS could include a medication guide, communication plan or elements to assure safe use, such as required healthcare provider or pharmacy certification, a patient registry and other safe use conditions.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A complete response letter generally outlines the deficiencies in the submission and may require substantial additional clinical data , or information, in</w:t>
      </w:r>
    </w:p>
    <w:p>
      <w:pPr>
        <w:jc w:val="both"/>
        <w:spacing w:after="0" w:line="247" w:lineRule="auto"/>
        <w:rPr>
          <w:sz w:val="20"/>
          <w:szCs w:val="20"/>
          <w:color w:val="auto"/>
        </w:rPr>
      </w:pPr>
      <w:r>
        <w:rPr>
          <w:rFonts w:ascii="Arial" w:cs="Arial" w:eastAsia="Arial" w:hAnsi="Arial"/>
          <w:sz w:val="18"/>
          <w:szCs w:val="18"/>
          <w:color w:val="auto"/>
        </w:rPr>
        <w:t>order to resubmit the application for another cycle of FDA review. If a complete response letter is issued, the applicant may either resubmit the NDA, addressing all of the deficiencies identified in the complete response letter, or withdraw the application. If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Even if the FDA approves a product, it may limit the approved indications for use of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to ensure that the benefits of the drug outweigh the potential risks. The requirement for a REMS can materially affect the potential market and profitability of the drug. The FDA may prevent or limit further marketing of a product based on the results of post-marketing studies or surveillance programs. Once granted, product</w:t>
      </w:r>
    </w:p>
    <w:p>
      <w:pPr>
        <w:spacing w:after="0" w:line="5"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approvals may be withdrawn if compliance with regulatory standards is not maintained, FDA determines the risk outweighs the benefits of the product or other problems are identified following initial marketing.</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Such supplements are typically reviewed within 10 months of receipt or 6 months of receipt for priority efficacy supplements.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Orphan Drug Act, the FDA may grant orphan drug designation to drug candidates intended to treat a rare disease or condition, which is generally a disease or condition that affects fewer than 200,000 individuals in the United States, or more than 200,000 individuals in the United States and for which there is no reasonable expectation that costs of research and development of the drug for the indication can be recovered by sales of the drug in the United States. Orphan drug designation must be requested before submitting an NDA. After the FDA grants orphan drug designation, the generic identity of the therapeutic agent and its potential orphan use are disclosed publicly by the FDA. Although there may be some increased communication opportunities, orphan drug designation does not convey any advantage in or shorten the duration of the regulatory review and approval process.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a drug candidate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for the same indication for seven years, except in limited circumstances, such as if the second applicant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demonstrates the clinical superiority of its product or if FDA finds that the holder of the orphan drug exclusivity has not shown that it can assure the availability of sufficient quantities of the orphan drug to meet the needs of patients with the disease or condition for which the drug</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in the United States, designation as an orphan drug for the treatment of a specific indication in the European Union, must be made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spacing w:after="0" w:line="20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FDA and foreign regulators expect holders of exclusivity for orphan drugs to assure the availability of sufficient quantities of their orphan drugs to meet the needs of patients. Failure to do so could result in the withdrawal of marketing exclusivity for the orphan drug.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FDA has a Fast Track program that is intended to expedite or facilitate the process for development and review of new drug products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that meet certain criteria. Specifically, new drug products are eligible for Fast Track designation if they are intended to treat a serious or life-threatening disease or condition and demonstrate the potential to address unmet medical needs for the disease or condition. Fast Track</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designation applies to the combination of the product and the specific indication for which it is being studied. The sponsor of a new drug may request that the FDA designate the drug as a Fast Track product at any time during the clinical development of the product. For a Fast Track-designated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Fast Tack designation may be rescinded if FDA determines the program no longer meets the qualifying criteria for Fast Track.</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 product is eligible for priority review if it is intended to treat a serious condition and, if approved, would provide a significant improvement in safety or effectiveness. The FDA will attempt to direct additional resources to the evaluation of an application for a new drug product designated for priority review in an effort to</w:t>
      </w:r>
    </w:p>
    <w:p>
      <w:pPr>
        <w:jc w:val="both"/>
        <w:spacing w:after="0" w:line="226" w:lineRule="auto"/>
        <w:rPr>
          <w:sz w:val="20"/>
          <w:szCs w:val="20"/>
          <w:color w:val="auto"/>
        </w:rPr>
      </w:pPr>
      <w:r>
        <w:rPr>
          <w:rFonts w:ascii="Arial" w:cs="Arial" w:eastAsia="Arial" w:hAnsi="Arial"/>
          <w:sz w:val="18"/>
          <w:szCs w:val="18"/>
          <w:color w:val="auto"/>
        </w:rPr>
        <w:t>facilitate the review on a 6 month, rather than the standard 10 month, timeline. We have received FDA designation as a potential treatment for a rare pediatric disease for the use of SP-2577 in Ewing’s Sarcoma. Should SP-2577 prove to be efficacious in this disease with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positive benefit/risk ratio, we expect to receive a Priority Review Voucher. The Priority Review Voucher is transferable and may be sold.</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a product may be eligible for accelerated approval under subpart H if it treats a serious or life-threatening disease or condition, provides meaningful advantage over existing treatments, and demonstrates an effect on a surrogate endpoint that is reasonably likely to</w:t>
      </w:r>
    </w:p>
    <w:p>
      <w:pPr>
        <w:spacing w:after="0"/>
        <w:rPr>
          <w:sz w:val="20"/>
          <w:szCs w:val="20"/>
          <w:color w:val="auto"/>
        </w:rPr>
      </w:pPr>
      <w:r>
        <w:rPr>
          <w:rFonts w:ascii="Arial" w:cs="Arial" w:eastAsia="Arial" w:hAnsi="Arial"/>
          <w:sz w:val="18"/>
          <w:szCs w:val="18"/>
          <w:color w:val="auto"/>
        </w:rPr>
        <w:t>predict a clinical benefit or on an intermediate clinical endpoint. If a product qualifies for accelerated approval, the product may be approved</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an effect on a surrogate endpoint or intermediate clinical endpoint that is reasonably likely to predict the drug’s clinical benefit. As a condition of accelerated approval, the FDA will require that a sponsor of a drug product subject to accelerated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approval perform an adequate and well-controlled post-marketing clinical trial to confirm clinical benefit. If a sponsor fails to conduct any</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required post-approval trial with “due diligence” FDA may withdraw the drug from the market. In addition, the FDA currently requires as a condition for accelerated approval that promotional materials be submitted in advance of initial dissemination, which could adversely impact the timing of the commercial launch of the product.</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under the provisions of the FDA Safety and Innovation Act (FDASIA), the FDA established the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guidance. The Breakthrough Therapy Designation is distinct from both accelerated approval and priority review, but these can also be granted to the same product candidate if the relevant criteria are met. The FDA may take certain actions, such as holding timely meetings</w:t>
      </w:r>
    </w:p>
    <w:p>
      <w:pPr>
        <w:spacing w:after="0" w:line="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and providing advice, intended to expedite the development and review of an application for approval of a breakthrough therapy. Requests for breakthrough therapy designation will be reviewed within 60 days of receipt, and the FDA will either grant or deny the request. Breakthrough Therapy designation may be rescinded if the FDA determines the program no longer meets the qualifying criteria for breakthrough therapy.</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we receive Fast Track or Breakthrough designations for its product candidates, the FDA may later decide that its product candidates no longer meet the conditions for qualification. In addition, these designations may not provide us with a material commercial advantage.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7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Once an NDA is approved, a product is subject to extensive continuing post-approval requirements. Any drug products manufactured or distributed by us pursuant to FDA approvals are subject to continuing regulation by the FDA, including, among other things, record-keeping</w:t>
      </w:r>
    </w:p>
    <w:p>
      <w:pPr>
        <w:jc w:val="both"/>
        <w:spacing w:after="0" w:line="226" w:lineRule="auto"/>
        <w:rPr>
          <w:sz w:val="20"/>
          <w:szCs w:val="20"/>
          <w:color w:val="auto"/>
        </w:rPr>
      </w:pPr>
      <w:r>
        <w:rPr>
          <w:rFonts w:ascii="Arial" w:cs="Arial" w:eastAsia="Arial" w:hAnsi="Arial"/>
          <w:sz w:val="18"/>
          <w:szCs w:val="18"/>
          <w:color w:val="auto"/>
        </w:rPr>
        <w:t>requirements, reporting of adverse experiences with the drug, providing the FDA with updated safety and efficacy information, drug sampling and distribution requirements, complying with certain electronic records and signature requirements, and complying with FDA promotion and</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advertising requirements. For example, as a condition of approval of the NDA , the FDA may require post-marketing testing and surveillance to monitor the product’s safety or efficacy.</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testing, known as Phase 4 testing, REMS or other surveillance to monitor the effects of an approved product, or restrictions on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Later discovery of previously unknown problems with a product, including adverse events of unanticipated severity or frequency, or failure to comply with regulatory requirements, may result in mandatory revisions to the approved labeling to add new safety information, imposition of post-market studies or clinical trials to assess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new safety risks or imposition of distribution or other restrictions under a REMS program. Other potential consequences include, among other things:</w:t>
      </w:r>
    </w:p>
    <w:p>
      <w:pPr>
        <w:spacing w:after="0" w:line="2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fines, untitled letters, warning letters or clinical holds on post-approval clinical trials;</w:t>
      </w:r>
    </w:p>
    <w:p>
      <w:pPr>
        <w:spacing w:after="0" w:line="17"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refusal of the FDA to approve pending applications or supplements to approved applications, or suspension or revocation of product approvals; and</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product seizure or detention, or refusal to permit the import or export of products; or injunctions or the 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Some countries outside of the United States have a similar process that requires the submission of a clinical trial application (CTA), much like the IND prior to the commencement of human clinical trials. In Europe, for example, a CTA must be submitted to a single EU portal for</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harmonized assessment at EU level with additional ethics review on each country’s national level, much like the FDA and an IRB, respectively. Once the CTA is approved in accordance with a country’s requirements, a clinical trial may proceed in that country. To obtain regulatory approval to commercialize a new drug under European Union regulatory systems, we must submit a marketing authorization application (MAA). The MAA is similar to the NDA, with the exception of, among other things, country-specific document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Salarius currently does not have any products on the market, Salarius’ current and future business operations may be subject to additional healthcare regulation and enforcement by the federal government and by authorities in the states and foreign jurisdictions in which Salarius conducts its business. Such laws include, without limitation, state and federal anti-kickback, fraud and abuse, false claims, privacy and security, price reporting and physician sunshine laws. Some of Salarius pre-commercial activities are subject to some of these laws.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executive offices are in the Texas Medical Center in Houston, Texas, under a month-to-month lease. Currently, this facility consists of approximately 300 square feet and accommodates our general and administrative activities. We believe that our leased facility is adequate to meet our current needs.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March 3, 2025, we had 2 full-time employees. We have never had a work stoppage, and none of our employees are represented by a labor organization or under any collective bargaining arrangements. We consider our employee relations to be good.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not currently a party to any legal proceedings the outcome of which we believe, if determined adversely to us, would individually or in the aggregate, have a material adverse effect on our business, financial condition, or results of operations. From time to time, we may become involved in legal proceedings arising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Web Site Access to SEC Filings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was initially incorporated as Flex Pharma, Inc. in Delaware in February 2014. In July 2019, we changed our named to Salarius Pharmaceuticals, Inc. Our principal executive offices are located at 2450 Holcombe Blvd., Suite X, Houston, TX 77021. Our website address is www.salariuspharma.com. Information on this website is not a part of this Form 10-K. Our annual report on Form 10-K, quarterly reports 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Form 10-Q, current reports on Form 8-K, Forms 3, 4 and 5 filed on behalf of directors and executive officers, and any amendments to those reports filed or furnished pursuant to Section 13(a) or 15(d) of the Securities Exchange Act of 1934 ("Exchange Act") are available free of</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charge on our website as soon as reasonably practicable after we electronically file such material with, or furnish it to, the Securities and Exchange Commission ("SEC"). The SEC maintains a website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(www.sec.gov) that contains reports, proxy and information statements, and other information regarding issuers that file electronically with the SEC, including us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The risk factors described below, as well as statements described elsewhere in this Annual Report on Form 10-K, including our audited Consolidated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Merger may be completed even though certain events occur prior to Merger Closing that materially and adversely affect Salarius.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Merger Agreement provides that either Salarius or Decoy can refuse to complete the Merger if there is a material adverse change affecting the other party between January 10, 2025, the date of the Merger Agreement, and the Merger Closing. However, certain types of changes do not permit either party to refuse to complete the Merger, even if such change could be said to have a material adverse effect on Salarius or Decoy, including:</w:t>
      </w:r>
    </w:p>
    <w:p>
      <w:pPr>
        <w:spacing w:after="0" w:line="217" w:lineRule="exact"/>
        <w:rPr>
          <w:sz w:val="20"/>
          <w:szCs w:val="20"/>
          <w:color w:val="auto"/>
        </w:rPr>
      </w:pPr>
    </w:p>
    <w:p>
      <w:pPr>
        <w:ind w:left="660" w:hanging="328"/>
        <w:spacing w:after="0" w:line="237"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general business or economic conditions affecting the industry in which Salarius or Decoy or their subsidiaries, as applicable, operate;</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financial, banking or securities markets;</w:t>
      </w:r>
    </w:p>
    <w:p>
      <w:pPr>
        <w:spacing w:after="0" w:line="17" w:lineRule="exact"/>
        <w:rPr>
          <w:rFonts w:ascii="Times New Roman" w:cs="Times New Roman" w:eastAsia="Times New Roman" w:hAnsi="Times New Roman"/>
          <w:sz w:val="22"/>
          <w:szCs w:val="22"/>
          <w:color w:val="auto"/>
        </w:rPr>
      </w:pPr>
    </w:p>
    <w:p>
      <w:pPr>
        <w:ind w:left="660" w:hanging="328"/>
        <w:spacing w:after="0" w:line="244" w:lineRule="auto"/>
        <w:tabs>
          <w:tab w:leader="none" w:pos="655"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any change in, or any compliance with or action taken for the purpose of complying with, any law or generally accepted accounting principles (“GAAP”) (or interpretations of any law or GAAP);</w:t>
      </w:r>
    </w:p>
    <w:p>
      <w:pPr>
        <w:spacing w:after="0" w:line="18"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changes resulting from the announcement of the Merger Agreement or the pendency of the transactions contemplated by the Merger Agreement; or</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changes resulting from the taking of any action required to be taken under the Merger Agreement.</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adverse changes occur and Salarius and Decoy still complete the Merger, the market price of the combined company’s common stock may suffer. This in turn may reduce the value of the Merger to the stockholders of Salarius.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Exchange Ratio set forth in the Merger Agreement is adjustable based on the Parent Cash Amount and the Company Cash Amount, each of which will be impacted by, among other things, unexpected expenses that could be experienced by Salarius or Decoy during the pre-Merger Closing period, which could result in Salarius stockholders owning significantly less of the combined company than currently estimated.</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Exchange Ratio formula in the Merger Agreement is subject to adjustment based on the Parent Cash Amount and Company Cash Amount on the anticipated Merger Closing Date (each as defined in the Merger Agreement). For example, if the Parent Cash Amount is $0 and the Company Cash Amount is $2.0 million, stockholders of Salarius would own approximately 14.1% of the fully diluted common stock, and stockholders of Decoy would own, or hold rights to acquire, approximately 85.9% of Salarius common stock, in each case calculated on a fully-diluted basis for in-the-money options and warrants (and in each case, prior to taking into account any dilution from the Qualified Financing). The calculation of the Exchange Ratio under the Merger Agreement and post-Merger Closing ownership of Salarius stockholders are subject to adjustment based on an assumed value of Salarius at Merger Closing based on the Parent Cash Amount and Company Cash Amount as of the anticipated Merger Closing Date. To the extent the Parent Cash Amount falls below $0, Salarius’ assumed value would be reduced or increased by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$100,000 for every $ 100,000 below the threshold. To the extent the Company Cash Amount falls below $2.0 million, Decoy’s assumed value would be reduced by $100,000 for every $100,000 below the threshold.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Salarius’ current estimates, Salarius anticipates delivering a Parent Cash Amount of approximately $0; however, the final Parent Cash Amount will not be calculated until the anticipated Merger Closing Date, and may vary significantly depending on, among other things, Salarius’ ability to control and correctly estimate its operating expenses, and if the amount is significantly less, Salarius stockholders would experience additional dilution, subject to a floor of 10% of the combined company, regardless of the Parent Cash Amount on the anticipated Merger Closing Date. Further, these ownership percentages do not give effect to the shares of Salarius common stock that will be issued to investors in the Qualified Financing prior to the Merger Closing, and do not account for any additional shares of Salarius common stock that may be issued to investors following the effective time of the Merger. As a result, current stockholders of Salarius will own less of the combined company than currently contemplated.</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Stockholders of the combined company may not realize a benefit from the Merger commensurate with the ownership dilution they will experience in connection with the Merger and the Qualified Financing.</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combined company is unable to realize the full strategic and financial benefits currently anticipated from the Merger, Salarius stockholders and Decoy stockholders will have experienced substantial dilution of their ownership interests in their respective companies. The Qualified Financing will cause substantial dilution to Salarius and Decoy stockholders which may result in such stockholders not receiving any commensurate benefit, or only receiving part of the commensurate benefit to the extent the combined company is able to realize only part of the strategic and financial benefits currently anticipated from the Qualified Financing.</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During the pendency of the Merger, Salarius may not be able to enter into a business combination with another party at a favorable price because of restrictions in the Merger Agreement, which could adversely affect its business.</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Covenants in the Merger Agreement impede the ability of Salarius and Decoy to make acquisitions, subject to certain exceptions relating to fiduciary duties, as set forth below, or to complete other transactions that are not in the ordinary course of business pending completion of the Merger. As a result, if the Merger is not completed, the parties may be at a disadvantage to their competitors during such period. In addition, while the Merger Agreement is in effect, each party is generally prohibited from soliciting, initiating, encouraging or entering into certain extraordinary transactions, such as a merger, sale of assets, or other business combination outside the ordinary course of business with any third party, subject to certain exceptions relating to fiduciary duties. Any such transactions could be favorable to such party’s stockholders.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terms of the Merger Agreement prohibit each of Salarius and Decoy from soliciting alternative takeover proposals or cooperating with persons making unsolicited takeover proposals, except in limited circumstances when such party’s board of directors determines in good faith that an unsolicited alternative takeover proposal is or is reasonably likely to lead to a superior takeover proposal and that failure to cooperate with the proponent of the proposal would be reasonably likely to be inconsistent with the applicable board’s fiduciary duties. Any such transactions could be favorable to such party’s stockholders. In addition, if Salarius terminates the Merger Agreement under certain circumstances, including terminating because of a decision of Salarius to enter into definitive agreement with respect to a superior offer, Salarius would be required to pay a termination fee of $300,000 to Decoy. This termination fee described above may discourage third parties from submitting alternative takeover proposals to Salarius stockholders.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Pursuant to the terms of the Merger Agreement, Salarius is required to recommend that its stockholders approve the conversion of all outstanding shares of its Series A Preferred Stock into shares of its Common Stock. Salarius cannot guarantee that its stockholders will approve this matter, and if they fail to do so its operations may be materially harmed.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terms of the Merger Agreement, Salarius agreed following the consummation of the Merger to use reasonable best efforts to call and hold a meeting of Salarius stockholders to obtain the requisite approval for the conversion of all outstanding shares of Series A Preferred Stock issued in the Merger into shares of Salarius Common Stock, as required by the Nasdaq listing rules, as soon as practicable after the Merger Closing of the Merger and, if such approval is not obtained at that meeting, to seek to obtain such approval at an annual or special stockholders meeting to be held at least every four months thereafter until such approval is obtained, which would be time-consuming and costly and could significantly negatively affect Salarius’ projected cash position.</w:t>
      </w:r>
    </w:p>
    <w:p>
      <w:pPr>
        <w:spacing w:after="0" w:line="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the lack of a public market for Decoy’s capital stock makes it difficult to evaluate the value of Decoy’s capital stock, the stockholders of Decoy may receive shares of Salarius common stock in the Merger that have a value that is greater than, the fair market value of Decoy’s capital stock.</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outstanding capital stock of Decoy is privately held and is not traded in any public market. The lack of a public market makes it extremely difficult to determine the fair market value of Decoy. Because the percentage of Salarius common stock to be issued to Decoy’s stockholders was determined based on negotiations between the parties, it is possible that Salarius may pay more than the aggregate fair market value for Decoy.</w:t>
      </w:r>
    </w:p>
    <w:p>
      <w:pPr>
        <w:spacing w:after="0" w:line="17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combined company may become involved in securities class action litigation that could divert management’s attention and harm the combined company’s business and insurance coverage may not be sufficient to cover all costs and damages.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past, securities class action or shareholder derivative litigation often follows certain significant business transactions, such as the sale of a business division or announcement of a merger. The combined company may become involved in this type of litigation in the future. Litigation is often expensive and diverts management’s attention and resources, which could adversely affect the combined organization’s business.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Merger Agreement between Salarius and Decoy may be terminated in accordance with its terms and the Merger may not be completed.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Agreement is subject to a number of conditions which must be fulfilled in order to complete the Merger. Those conditions include, among other things: (i) the lack of a Material Adverse Effect on the respective businesses of Salarius and Decoy; (ii) the continued listing of Salarius’ Common Stock on The Nasdaq Capital Market (“Nasdaq”) through the Merger Closing; (iii) the absence of any order, injunction, decree or other legal restraint preventing the consummation of the Merger or any of the other transactions contemplated by the Merger Agreement or making the completion of the Merger or any of the other transactions contemplated by the Merger Agreement illegal; (iv) completion of the Qualified Financing and (v) the accuracy of the respective parties’ representations and warranties contained in the Merger Agreement (subject to certain customary qualifications) and compliance by Salarius and Decoy with its respective agreements and covenants contained in the Merger Agreement.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conditions to the Merger Closing may not be fulfilled in a timely manner or at all, and, accordingly, the Merger may not be completed. In addition, the parties can mutually decide to terminate the Merger Agreement at any time, or Salarius or Decoy may elect to terminate the Merger Agreement in certain other circumstances.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Salarius may not be able to effect the Merger pursuant to the Merger Agreement, and failure to complete the Merger would negatively impact Salarius’ stock price and materially adversely impact the future business and financial results of the Salarius.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Merger Agreement, Salarius has incurred substantial costs planning and negotiating the transaction. These costs include, but are not limited to, costs associated with employing and retaining third-party advisors who performed the financial, auditing, and legal services required before Salarius was able to enter into the Merger Agreement and which will continue as Salarius seeks to complete the transaction. If, for whatever reason, including those set forth above, the transactions contemplated by the Merger Agreement fail to close, Salarius’ will be responsible for these costs, which could adversely affect Salarius liquidity and financial results. In addition, Salarius’ stock price may decline significantly if the Merger is not completed.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Salarius’ common stock following the Merger may decline as a result of the Merger.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Salarius’ common stock may decline as a result of the Merger for a number of reasons, including if: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hanging="328"/>
        <w:spacing w:after="0" w:line="249"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investors react negatively to the prospects of the combined company’s product candidates, business and financial condition following the Merger;</w:t>
      </w:r>
    </w:p>
    <w:p>
      <w:pPr>
        <w:spacing w:after="0" w:line="224"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auto"/>
        </w:rPr>
        <w:t>the effect of the Merger on the combined company’s business and prospects is not consistent with the expectations of financial or industry analysts; or</w:t>
      </w:r>
    </w:p>
    <w:p>
      <w:pPr>
        <w:spacing w:after="0" w:line="234"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auto"/>
        </w:rPr>
        <w:t>the combined company does not achieve the perceived benefits of the Merger as rapidly or to the extent anticipated by financial or industry analysts.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Salarius and Decoy securityholders will have a reduced ownership and voting interest in, and will exercise less influence over the management of, the combined company following the Merger Closing as compared to their current ownership and voting interest in the respective companies.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proposed Merger is completed, the current securityholders of Salarius and Decoy will own a smaller percentage of the combined company than their ownership in their respective companies prior to the Merger. Accordingly, the issuance of shares of Salarius common stock to Decoy’s stockholders in the Merger will reduce significantly the relative voting power of each share of Salarius common stock held by its current stockholders and will reduce the relative voting power of each share of Decoy common stock held by its current stockholders. Consequently, Salarius’ stockholders as a group and Decoy’s stockholders as a group will have less influence over the management and policies of the combined company after the Merger than prior to the Merger.</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Consequently, securityholders of both Salarius and Decoy will be able to exercise less influence over the management and policies of the combined company following the Merger Closing than they currently exercise over the management and policies of their respective companies.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combined company may be required to raise additional funds sooner than currently planned. If either or both of Salarius or Decoy hold less cash at the time of the Merger Closing than the parties currently expect, the combined company will need to raise additional capital sooner than expected.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partnering or other strategic arrangements, it may be necessary to relinquish rights to some of the combined company’s technologies or product candidates and proprietary rights, or grant licenses on terms that are not favorable to the combined company.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provisions in the agreements for the Qualified Financing may deter or prevent the combined company from raising additional capital to fund the company as and when needed. Restrictive covenants and other provisions in the Qualified Financing documents could deter or prevent the combined company from raising additional capital as and when needed. The combined company’s failure to raise capital as and when needed would have a negative effect on its financial condition and its ability to develop and commercialize its pipeline and otherwise pursue the combined company’s business strategy and the combined company may be unable to continue as a going concern.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the Merger is not completed, Salarius may not be able to otherwise source adequate liquidity to fund its operations, meet its obligations, and continue as a going concern. Salarius’ board of directors may decide to pursue a dissolution and liquidation of Salarius. In such an event, there can be no assurances as to the amount or timing of available cash left, if any, to distribute to its stockholders after paying its debts and other obligations and setting aside funds for reserves.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Salarius has entered into the Merger Agreement with Decoy, the Merger Closing may be delayed or may not occur at all and there can be no assurance that the Merger will deliver the anticipated benefits Salarius expects or enhance stockholder value. If the Merger is not completed and the Merger Agreement is terminated under certain circumstances, Salarius may be required to pay Decoy a termination fee of $300,000. Even if a termination fee is not payable in connection with a termination of the Merger Agreement, Salarius will have incurred significant fees and expenses, which must be paid whether or not the Merger is completed.</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does not currently have adequate financial resources to fund its forecasted operating costs for at least twelve months from the filing of this report. As of December 31, 2024, Salarius’ cash and cash equivalents totaled $2.4 million, which were held in bank deposit accounts and a money market account. As of December 31, 2024, Salarius has incurred an accumulated deficit of $81.9 million. For the twelve months ended December 31, 2024, Salarius reported net losses of $ 5.5 million. As of December 31, 2024, Salarius’ cash and cash equivalents totaled $2.4 million, which were held in bank deposit accounts and a money market account. As a result, Salarius believes its existing cash resources are sufficient to meet its anticipated needs into the later part of the second quarter of 2025. If for any reason the Merger does not close, Salarius would need to raise additional capital to continue to fund the further development of its product candidates and its operations thereafter. Salarius has based its cash sufficiency estimates on its current business plan and its assumptions may prove to be wrong. Salarius could utilize its available capital resources sooner than it currently expects, and it could need additional funding sooner than currently anticipated. Additionally, the process of advancing early stage product candidates and testing product candidates in clinical trials is costly, and the timing of progress in these clinical trials is uncertain. Even if Salarius raises sufficient funds and decides to continue the development of its product candidates, its ability to successfully transition to profitability will be dependent upon achieving a level of product sales adequate to support its cost structure. Salarius cannot assure you that it will ever be profitable or generate positive cash flow from operating activities.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Failure to secure any necessary financing in a timely manner and on favorable terms or the failure of the proposed Merger to be consummated in a timely manner would require Salarius to further delay or abandon any potential future clinical development plans. If, for any reason, the Merger does not close, the Salarius board of directors may elect to, among other things, attempt to complete another strategic transaction like the Merger, attempt to sell or otherwise dispose of the various assets of Salarius, resume its research and development activities and continue to operate the business of Salarius. Any of these alternatives would be costly and time-consuming and would require that Salarius obtain additional funding. Salarius expects that it would be difficult to secure financing in a timely manner, on favorable terms or at all. Salarius can make no assurances that it would be able to obtain additional financing or find a partner and close an alternative transaction on terms that are as favorable or more favorable than the terms set forth in the Merger Agreement or that any such alternatives are possible or would be successful, if pursued. To the extent that Salarius seeks and is able to raise additional capital through the sale of equity or convertible debt securities, Salarius’ stockholders’ ownership interest will be diluted, and the terms of these securities may include liquidation or other preferences that adversely affect their rights as a common stockholder. Debt financing or preferred equity financing, if available, may involve agreements that include covenants limiting or restricting Salarius’ ability to take specific actions, such as incurring additional debt, making capital expenditures or declaring dividends. If Salarius raises funds through strategic transactions or marketing, distribution, or licensing arrangements with third parties, Salarius may have to relinquish valuable rights to its technologies, future revenue streams, research programs or product candidates or to grant licenses on terms that may not be favorable to it. Even if Salarius is able to pursue such alternatives, the failure to complete the Merger may result in negative publicity and/or a negative impression of Salarius in the investment community, could significantly harm the market price of Salarius common stock and may affect Salarius’ relationship with employees and other partners in the business community.</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Salarius board of directors were to decide to dissolve and liquidate Salarius’ assets, Salarius would be required to pay all of its debts and contractual obligations, and to set aside certain reserves for potential future claims, and there can be no assurances as to the amount or timing of available cash left, if any, to distribute to stockholders after paying its debts and other obligations and setting aside funds for reserves. In addition, Salarius may be subject to litigation or other claims related to a dissolution and liquidation. If a dissolution and liquidation were pursued, the Salarius board of directors, in consultation with its advisors, would need to evaluate these matters and make a determination about a reasonable amount to reserve. Accordingly, Salarius’ stockholders would likely lose all or a significant portion of their investment in the event of a liquidation, dissolution or winding up of Salarius.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Salarius does not believe that its current expenses are indicative of the costs it may incur in the future in connection with the development and commercialization of any product candidate if it consummates the Merger or raises additional capital to continue its operations. Salarius’ future funding requirements will depend on many factors, including:</w:t>
      </w:r>
    </w:p>
    <w:p>
      <w:pPr>
        <w:spacing w:after="0" w:line="19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its ability to consummate the Merger with Decoy;</w:t>
      </w:r>
    </w:p>
    <w:p>
      <w:pPr>
        <w:spacing w:after="0" w:line="31"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the scope, rate of progress and cost of its preclinical and clinical trials for any product candidate in its future pipeline and results of future clinical trials;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the cost and timing of regulatory filings and approvals for any product candidates that successfully complete clinical trials;</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the timing and nature of any strategic transactions that Salarius undertakes, including potential partnerships;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the effect of competing technological and market developments;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the cost incurred in responding to actions by activist stockholders; and</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the cost of filing, prosecuting, defending and enforcing its intellectual property rights.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amounts available under Salarius’ shelf registration statement on Form S-3 will be significantly limited as long as Salarius’ public float remains below $ 75 million, which, given its currently depressed stock price, limits its ability to obtain meaningful funding through a shelf registration statement at this time, although Salarius could still raise funds through a registration statement on Form S-1 or through private placements.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such, there is uncertainty regarding Salarius’ ability to maintain liquidity sufficient to operate its business effectively, which raises substantial doubt about its ability to continue as a going concern.</w:t>
      </w:r>
    </w:p>
    <w:p>
      <w:pPr>
        <w:spacing w:after="0" w:line="15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Salarius’ common stock may be subject to delisting from Nasdaq, which would seriously harm the liquidity of our stock and our ability to raise capital or complete a strategic transaction.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common stock is currently listed on the Nasdaq Capital Market (“Nasdaq”). To maintain its listing on Nasdaq, Salarius is required to maintain: (i) a minimum bid price of $1.00 per share; (ii) a market value of publicly held securities of $1 million; (iii) a certain number of round lot stockholders; and (iv) one of the following: a net income from continuing operations (in the latest fiscal year or two of the three last fiscal years) of at least $500,000, a market value of listed securities of at least $35 million or a stockholders’ equity of at least $2.5 million (the “Stockholders’ Equity Requirement”). Nasdaq has the authority to delist Salarius’ common stock if Salarius fails to maintain these minimum requirements. In addition, Nasdaq may delist Salarius if, based on Nasdaq’s review of Salarius’ operations and pursuant to Nasdaq Listing Rule 5101, Nasdaq believes that Salarius is a “public shell” and that the continued listing of its securities is no longer warranted. Salarius has no current plans to delist its shares of common stock from Nasdaq. However, following the decision to close the clinical development of seclidemstat for Ewing sarcoma, Salarius may be treated as a public shell under Nasdaq rules. Although Nasdaq evaluates whether a listed company is a public shell company based on a facts and circumstances determination, a Nasdaq-listed company with no or nominal operations and either no or nominal assets, assets consisting solely of cash and cash equivalents, or assets consisting of any amount of cash and cash equivalents and nominal other assets is generally considered to be a public shell company. Listed companies determined to be public shell companies by Nasdaq may be subject to delisting proceedings or additional and more stringent listing criteria.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2024, Salarius reported in its Quarterly Report on Form 10-Q that as of June 30, 2024, its stockholders’ equity was approximately $2.3 million. As further disclosed in that Quarterly Report on Form 10-Q, subsequent to June 30, 2024, Salarius sold 564,730 shares of its common stock for gross proceeds of approximately $1.5 million pursuant to that certain At the Market Offering Agreement, dated as of February 5, 2021, with Ladenburg Thalmann &amp; Co. Inc. (the “ATM Financing Transaction”). On August 13, 2024, Salarius reported via Current Report on Form 8-K that Salarius regained compliance with the Stockholders’ Equity Requirement after giving effect to the ATM Financing Transaction. Notwithstanding the foregoing, Nasdaq indicated that it would continue to monitor Salarius’ ongoing compliance with the Stockholders’ Equity Requirement and, if at the time of a future periodic report Salarius does not evidence compliance, Salarius’ common stock may be subject to delisting.</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December 31, 2024, we had (i) a total stockholders’ equity of approximately $1.5 million, (ii) we have not had net income in any period during this fiscal year or either of the two last fiscal years and (iii) the market value of our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listed securities is below $35 million. As a result, Salarius is not in compliance with the Stockholders’ Equity Requirement and expects to receive a delisting notice from Nasdaq.</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of March 19, 2025, the closing price of Salarius’ common stock was $0.8615 per share. If Salarius’ common stock trades for thirty consecutive business days below the $1.00 minimum closing bid price requirement, Nasdaq will send a delisting determination to the company. If the delisting determination is sent within one year of Salarius’ most recent reverse stock split in June 2024, then Salarius will not be eligible for any compliance period to address the minimum bid price deficiency and will be subject to immediate delisting. Under these circumstances, Salarius can appeal the delisting determination to a Hearings Panel, during which time any suspension or delisting action will be stayed.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Salarius is actively monitoring the market value of its publicly held securities, its stockholders’ equity and trading prices and will consider any and all options available to it to maintain compliance. There can be no assurance, however, that Salarius will be able to maintain compliance and meet Nasdaq’s continued listing requirements.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Salarius’ common stock is delisted from Nasdaq, whether because Nasdaq determines Salarius is a “public shell” or Salarius fails to maintain compliance with the continued listed requirements, or otherwise, Salarius’ securities may qualify for trading over-the-counter (“OTC”), in the United States on a market colloquially referred to as the “Pink Sheets.” Securities quoted on OTC are generally subject to lesser requirements than securities listed for trading on a U.S. national stock exchange, such as Nasdaq, including reduced corporate governance and public reporting standards. If Nasdaq should delist Salarius’ common stock from trading, a reduction in some or all of the following may occur, each of which could have a material adverse effect on holders of Salarius’ common stock: the liquidity of the common stock; the market price of the common stock; the number of institutional and general investors that will consider investing in the common stock; the number of investors in general that will consider investing in the common stock; the number of market makers in the common stock; the availability of information concerning the trading prices and volume of the common stock; and the number of broker-dealers willing to execute trades in the common stock. In addition to the foregoing, there are certain consequences under the Securities Act of 1933, as amended (the “Securities Act”), of being a public shell company, including the unavailability of Rule 144 thereunder for the resale of restricted securities and the inability to utilize Form S-8 for the registration of employee benefit plan securities.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further decline.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is substantially dependent on its remaining employees and consultants to facilitate the consummation of the Merger.</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12, 2025, Salarius had only two full-time employees and one consultant acting as Salarius’ Chief Executive Officer. Salarius’ ability to successfully complete the Merger depends in large part on its ability to retain certain remaining personnel. Despite Salarius’ efforts to retain these employees, one or more may terminate their employment or consulting arrangement with Salarius on short notice. The loss of the services of certain employees could potentially harm Salarius’ ability to consummate the Merger, to run its day-to-day business operations, as well as to fulfill its reporting obligations as a public company.</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pendency of the Merger could have an adverse effect on the trading price of Salarius’ common stock and its business, financial condition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pendency of the Merger could disrupt Salarius’ business in many ways, including:</w:t>
      </w:r>
    </w:p>
    <w:p>
      <w:pPr>
        <w:spacing w:after="0" w:line="266" w:lineRule="exact"/>
        <w:rPr>
          <w:sz w:val="20"/>
          <w:szCs w:val="20"/>
          <w:color w:val="auto"/>
        </w:rPr>
      </w:pPr>
    </w:p>
    <w:p>
      <w:pPr>
        <w:ind w:left="660" w:hanging="328"/>
        <w:spacing w:after="0" w:line="237"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attention of its remaining management and employees may be directed toward the completion of the Merger and related matters and may be diverted from Salarius’ day-to-day business operations; and</w:t>
      </w:r>
    </w:p>
    <w:p>
      <w:pPr>
        <w:spacing w:after="0" w:line="18"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19"/>
        </w:numPr>
        <w:rPr>
          <w:rFonts w:ascii="Times New Roman" w:cs="Times New Roman" w:eastAsia="Times New Roman" w:hAnsi="Times New Roman"/>
          <w:sz w:val="22"/>
          <w:szCs w:val="22"/>
          <w:color w:val="auto"/>
        </w:rPr>
      </w:pPr>
      <w:r>
        <w:rPr>
          <w:rFonts w:ascii="Arial" w:cs="Arial" w:eastAsia="Arial" w:hAnsi="Arial"/>
          <w:sz w:val="18"/>
          <w:szCs w:val="18"/>
          <w:color w:val="auto"/>
        </w:rPr>
        <w:t>third parties may seek to terminate or renegotiate their relationships with Salarius as a result of the Merger, whether pursuant to the terms of their existing agreements with Salarius or otherwise.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Should they occur, any of these matters could adversely affect the trading price of Salarius’ common stock or harm its business, financial condition and prospects.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has never generated any revenue from product sales and may never generate revenue or be profitable.</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Salarius has no products approved for commercialization and has never generated any revenue. Salarius’ ability to generate revenue and achieve profitability depends on Salarius’ ability, alone or with strategic collaborators, to successfully complete the development of, and obtain the regulatory and marketing approvals necessary to commercialize one or more of its product candidates. Salarius does not anticipate generating revenue from product sales for the foreseeable future. Salarius’ ability to generate future revenue from product sales depends heavily on Salarius’ success in many areas, including but not limited to:</w:t>
      </w:r>
    </w:p>
    <w:p>
      <w:pPr>
        <w:spacing w:after="0" w:line="20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completing research and development of its product candidates;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obtaining regulatory and marketing approvals for its product candidates;</w:t>
      </w:r>
    </w:p>
    <w:p>
      <w:pPr>
        <w:spacing w:after="0" w:line="17" w:lineRule="exact"/>
        <w:rPr>
          <w:rFonts w:ascii="Times New Roman" w:cs="Times New Roman" w:eastAsia="Times New Roman" w:hAnsi="Times New Roman"/>
          <w:sz w:val="22"/>
          <w:szCs w:val="22"/>
          <w:color w:val="auto"/>
        </w:rPr>
      </w:pPr>
    </w:p>
    <w:p>
      <w:pPr>
        <w:jc w:val="both"/>
        <w:ind w:left="660" w:hanging="328"/>
        <w:spacing w:after="0" w:line="241" w:lineRule="auto"/>
        <w:tabs>
          <w:tab w:leader="none" w:pos="655"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manufacturing product candidates and establishing and maintaining supply and manufacturing relationships with third parties that are commercially feasible, meet regulatory requirements and supply needs in sufficient quantities to meet market demand for Salarius’ product candidates, if approved;</w:t>
      </w:r>
    </w:p>
    <w:p>
      <w:pPr>
        <w:spacing w:after="0" w:line="18"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marketing, launching and commercializing product candidates for which Salarius obtains regulatory and marketing approval, either directly or with a collaborator or distributor;</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gaining market acceptance of Salarius’ product candidates as treatment options;</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addressing any competing products;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protecting and enforcing Salarius’ intellectual property rights, including patents, trade secrets, and know-how;</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negotiating favorable terms in any collaboration, licensing, or other arrangements into which Salarius may enter;</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obtaining reimbursement or pricing for Salarius’ product candidates that supports profitability; and</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attracting, hiring, and retaining qualified personnel.</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if one or more of the product candidates that Salarius develops is approved for commercial sale, Salarius would need to incur significant costs associated with commercializing any approved product candidate. Portions of Salarius’ current pipeline of product candidates have been in-licensed from third parties, which make the commercial sale of such in-licensed products potentially subject to additional royalty and milestone payments to such third parties. Salarius will also have to develop, contract for or acquire manufacturing capabilities to continue development and potential commercialization of Salarius’ product candidates. Salarius will need to develop or procure its drug product in a commercially feasible manner in order to successfully commercialize any future approved product, if any. Additionally, if Salarius is not able to generate revenue from the sale of any approved products, Salarius may never become profitable.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Development of Salarius’ Product Candidates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approach Salarius has taken to discover and develop novel oncology therapeutics using epigenetic enzymes to moderate transcription factors and thereby control abnormal protein expression is unproven and may never lead to marketable products.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scientific discoveries that have formed the basis for Salarius’ efforts to discover and develop Salarius’ product candidates are relatively recent. The scientific evidence to support the feasibility of developing drugs based on these discoveries is both preliminary and limited. The successful development of therapeutic products will require solving a number of issues. In addition, any product candidates that Salarius decides to develop further may not demonstrate in patients the chemical and pharmacological properties ascribed to them in laboratory and pre-clinical trials, and they may interact with human biological systems in unforeseen, ineffective or even harmful ways. For instance, Salarius’ clinical and pre-clinical data to date is not validated and Salarius has no way of knowing if after validation Salarius’ clinical trial data will be complete and consistent. If Salarius does not successfully develop and commercialize product candidates based upon this technological approach, Salarius may not become profitable and the value of Salarius’ capital stock may further decline.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Salarius’ focus on epigenetic enzyme technology for developing product candidates as opposed to multiple, more proven technologies for drug development has increased the risk associated with Salarius’ business. Salarius is not able to identify and successfully implement an alternative product development strategy due to Salarius’ previous investments in current product candidates. In addition, work by other companies pursuing similar technologies may encounter setbacks and difficulties that regulators and investors may attribute to Salarius’ product candidates, whether appropriate or not.</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may fail to demonstrate safety and efficacy to the satisfaction of applicable regulatory authorities.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Clinical development is expensive, time consuming and involves significant risk. If Salarius decides to move forward with Salarius’ clinical trials, Salarius cannot guarantee that they will be conducted as planned or completed on schedule, if at all. Salarius currently does not have the funds to advance Salarius’ planned clinical trials. A failure of one or more of these clinical trials can occur at any stage of development.</w:t>
      </w:r>
    </w:p>
    <w:p>
      <w:pPr>
        <w:spacing w:after="0" w:line="173"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Salarius’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Undesirable side effects caused by Salarius’ product candidates could cause Salarius, an IRB or ethics committee, or regulatory authorities to continue the clinical hold status, interrupt, delay, or terminate clinical trials or even if approved, result in a restrictive label or delay regulatory approval by the FDA or comparable foreign authorities and potential product liability claims.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testing is expensive and generally takes many years to complete, and the outcome is inherently uncertain. Failure can occur at any time during the clinical trial process. The results of pre-clinical trials and early clinical trials of Salarius’ product candidates may not be predictive of the results of larger, later-stage controlled clinical trials. Product candidates that have shown promising results in early-stage clinical trials may still suffer significant setbacks in subsequent clinical trials. Salarius’ clinical trials to date have been conducted on a small number of patients in limited numbers of clinical sites for a limited number of indications. Moreover, clinical data are often susceptible to varying interpretations and analyses. Salarius cannot assure whether any clinical trials Salarius or The University of Texas MD Anderson Cancer Center (“MDACC”) may conduct will demonstrate consistent or adequate efficacy and safety with respect to the proposed indication for use sufficient to receive regulatory approval or market Salarius’ drug candidates.</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Difficulty in enrolling patients is a common hurdle faced by early stage biotechnology companies and could, and often does, delay or prevent clinical trials of product candidates.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Identifying and qualifying patients to participate in clinical trials of Salarius’ product candidates is essential to Salarius’ existence. The timing of Salarius’ clinical trials depends in part on the rate at which Salarius or investigators can recruit patients to participate in clinical trials of Salarius’ product candidates, and Salarius and Salarius’ investigators may experience delays in Salarius’ clinical trials if Salarius or they encounter difficulties in enrollment.</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Salarius may face potential product liability, and, if successful claims are brought against Salarius, Salarius may incur substantial liability and costs which could be greater than Salarius’ insurance coverage or overall resources.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use or misuse of Salarius’ product candidates harms patients, or is perceived to harm patients even when such harm is unrelated to Salarius’ product candidates, Salarius’ regulatory approvals, if any, could be revoked or otherwise negatively impacted and Salarius could be subject to costly and damaging product liability claims. If Salarius is unable to obtain adequate insurance or are required to pay for liabilities resulting from a claim excluded from, or beyond the limits of, Salarius’ insurance coverage, a material liability claim could adversely affect Salarius’ financial condition.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use or misuse of Salarius’ product candidates in clinical trials and the sale of any products for which Salarius may obtain marketing approval exposes Salarius to the risk of potential product liability claims. Product liability claims might be brought against Salarius by consumers, healthcare providers, pharmaceutical companies or others selling or otherwise coming into contact with Salarius’ product candidates and approved products, if any. There is a risk that Salarius’ product candidates may induce AEs.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Regulatory Approval of Salarius’ Product Candidates and Other Legal Compliance Matters</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Even if FDA grants breakthrough therapy designation for one or more of Salarius’ product candidates, the designation may not lead to a faster development or regulatory review or approval process, and it does not increase the likelihood that Salarius’ product candidates will receive marketing approval, and FDA may rescind the designation if it determines the product candidate no longer meets the qualifying criteria for breakthrough therapy.</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Salarius may seek a breakthrough therapy designation from the FDA for some of Salarius’ product candidates that reach the regulatory review process.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could also be eligible for accelerated approval.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Designation as a breakthrough therapy is within the discretion of the FDA. Accordingly, even if Salarius believes one of Salarius’ product candidates meets the criteria for designation as a breakthrough therapy, the FDA may disagree and instead determine not to make such designation.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Salarius’ product candidates qualify and are designated as breakthrough therapies, the FDA may later decide that the drugs or biological products no longer meet the conditions for designation and the designation may be rescinded.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Salarius has received fast track designation for SP-2577 as a potential treatment for a rare pediatric disease in Ewing’s Sarcoma, but such designation may not actually lead to a faster development or regulatory review or approval process. Additionally, FDA may rescind the designation if it determines the product candidate no longer meets the qualifying criteria for fast track.</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Salarius received fast track designation for SP-2577 as a potential treatment for a rare pediatric disease in Ewing’s Sarcoma. However, fast track designation does not ensure that Salarius will receive marketing approval or that approval will be granted within any particular time frame. Salarius may not experience a faster development or regulatory review or approval process with fast track designation compared to conventional FDA procedures. In addition, the FDA may withdraw fast track designation if it believes that the designation is no longer supported by data from Salarius’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Salarius cannot guarantee how long it will take regulatory agencies to review Salarius’ applications for product candidates, and Salarius may fail to obtain the necessary regulatory approvals to market Salarius’ product candidates. If Salarius is not able to obtain required regulatory approvals, Salarius will not be able to commercialize Salarius’ product candidates and Salarius’ ability to generate revenue will be materially impaired.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Salarius’ product candidates and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regulatory agencies in the United States and foreign jurisdictions. Failure to obtain marketing approval for Salarius’ product candidates will prevent Salarius from commercializing them in those markets.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Salarius has not received approval from regulatory authorities to market any product candidate in any jurisdiction, and it is possible that neither Salarius’ current product candidates nor any product candidates that Salarius may seek to develop in the future will ever obtain the appropriate regulatory approvals necessary for Salarius to commence product sales.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Reliance on government funding for Salarius’ programs may add uncertainty to Salarius’ research and commercialization efforts with respect to those programs that are tied to such funding and may impose requirements that limit Salarius’ ability to take specified actions, increase the costs of commercialization and production of product candidates developed under those programs and subject Salarius to potential financial penalties, which could materially and adversely affect Salarius’ business, financial condition and results of operations.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course of Salarius’ development of Salarius’ product candidates, Salarius has been funded in part through federal and state grants, including but not limited to the funding Salarius received from the Cancer Prevention and Research Institute of Texas (“CPRIT”). If Salarius does not comply with the terms of the grant, CPRIT may require Salarius to repay some or all of the disbursed grant.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Salarius’ Intellectual Property</w:t>
      </w:r>
    </w:p>
    <w:p>
      <w:pPr>
        <w:spacing w:after="0" w:line="22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Salarius may not be successful in obtaining or maintaining necessary rights to Salarius’ targets, product compounds and processes for Salarius’ development pipeline through acquisitions and in-licenses.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Presently, Salarius has rights to the intellectual property, through licenses from third parties and under patents and patent applications that Salarius owns, to modulate only a subset of the known epigenetic enzyme targets. Because Salarius’ programs may involve a range of targets, including targets that require the use of proprietary rights held by third parties, the growth of Salarius’ business may depend in part on Salarius’ ability to acquire, in-license or use these proprietary rights. In addition, Salarius’ product candidates may require specific formulations to work effectively and efficiently and these rights may be held by others. Salarius may be unable to acquire or in-license any compositions, methods of use, processes or other third-party intellectual property rights from third parties that Salarius identify. The licensing and acquisition of third-party intellectual property rights is a competitive area, and a number of more established companies are also pursuing strategies to license or acquire third-party intellectual property rights that Salarius may consider attractive. These established companies may have a competitive advantage over Salarius due to their size, cash resources and greater clinical development and commercialization capabilities.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Salarius has previously collaborated with academic institutions worldwide to accelerate Salarius’ pre-clinical and 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Salarius may be unable to negotiate a license within the specified time frame or under terms that are acceptable to Salarius. If Salarius is unable to do so, the institution may offer the intellectual property rights to other parties, potentially blocking Salarius’ ability to pursue its program.</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companies that perceive Salarius to be a competitor may be unwilling to assign or license rights to Salarius. Salarius also may be unable to license or acquire third-party intellectual property rights on terms that would allow Salarius to make an appropriate return on Salarius’ investment. If Salarius is unable to successfully obtain rights to third-party intellectual property rights, Salarius’ business, financial condition and prospects for growth could suffer.</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Salarius intends to rely on patent rights for Salarius’ product candidates and any future product candidates. If Salarius is unable to obtain or maintain exclusivity from the combination of these approaches, Salarius may not be able to compete effectively in Salarius’ markets.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Salarius relies or will rely upon a combination of patents, trade secret protection, and confidentiality agreements to protect the intellectual property related to Salarius’ technologies and product candidates. Salarius’ success depends in large part on Salarius’ and its licensors’ ability to obtain regulatory exclusivity and maintain patent and other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protection in the United States and in other countries with respect to Salarius’ proprietary technology and products.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Salarius has sought to protect Salarius’ proprietary position by filing patent applications in the United States and abroad related to Salarius’ product candidates that are important to Salarius’ business. This process is expensive and time consuming, and Salarius may not be able to file and prosecute all necessary or desirable patent applications at a reasonable cost or in a timely manner. It is also possible that Salarius will fail to identify patentable aspects of Salarius’ research and development output before it is too late to obtain patent protection.</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The patent applications that Salarius owns or in-licenses may fail to result in issued patents with claims that cover Salarius’ product candidates in the United States or in other foreign countries. There is no assurance that all potentially relevant prior art relating to Salarius’ patents and patent applications has been found, which can invalidate a patent or prevent a patent from issuing from a pending patent application. Even if patents do successfully issue, and even if such patents cover Salarius’ product candidates, third parties may challenge their validity, enforceability, or scope, which may result in such patents being narrowed, found unenforceable or invalidated. Furthermore, even if they are unchallenged, Salarius’ patents and patent applications may not adequately protect Salarius’ intellectual property, provide exclusivity for Salarius’ product candidates, or prevent others from designing around Salarius’ claims. Any of these outcomes could impair Salarius’ ability to prevent competition from third parties, which may have an adverse impact on Salarius’ business.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Salarius, independently or together with Salarius’ licensors, have filed several patent applications covering various aspects of Salarius’ product candidates. Salarius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Salarius after patent issuance could deprive Salarius of rights necessary for the successful commercialization of any product candidates that Salarius may develop. Further, if Salarius encounters delays in regulatory approvals, the period of time during which Salarius could market a product candidate under patent protection could be reduced.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Salarius cannot obtain and maintain effective protection of exclusivity from Salarius’ regulatory efforts and intellectual property rights, including patent protection or data exclusivity, for Salarius’ product candidates, Salarius may not be able to compete effectively and Salarius’ business and results of operations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may not have sufficient patent term protections for Salarius’ product candidates to effectively protect Salarius’ business.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Salarius’ product candidates are obtained, once the patent life has expired for a product candidate, Salarius may be open to competition from generic medications. In addition, upon issuance in the United States any patent term can be adjusted based on specified delays caused by the applicant(s) or the U.S. Patent and Trademark Office (the “USPTO”).</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Depending on the timing, duration, and conditions of FDA marketing approval of Salarius’ product candidates, one or more of Salarius’ United States patents may be eligible for patent term extension under the Hatch-Waxman Act. Patent term extensions under the Hatch-Waxman Act in the United States and under supplementary protection certificates in Europe may be available to extend the patent or data exclusivity terms of Salarius’ product candidates. Salarius will likely rely on patent term extensions, and Salarius cannot provide any assurances that any such patent term extensions will be obtained and, if so, for how long. However, Salarius may not receive an extension if Salarius fails to apply within applicable deadlines, fail to apply prior to expiration of relevant patents or otherwise fail to satisfy applicable requirements. Moreover, the length of the extension could be less than Salarius requests. If Salarius is unable to obtain patent term extension or the term of any such extension is less than Salarius requests, the period during which Salarius can enforce Salarius’ patent rights for that product may not extend beyond the current patent expiration dates and competitors may obtain approval to market competing products sooner. As a result, Salarius may not be able to maintain exclusivity for Salarius’ product candidates for an extended period after regulatory approval, if any, which would negatively impact Salarius’ business, financial condition, results of operations and prospects. If Salarius does not have sufficient patent terms or regulatory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exclusivity to protect Salarius’ product candidates, Salarius’ business and results of operations will be adversely affected.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in U.S. patent law could diminish the value of patents in general, thereby impairing Salarius’ ability to protect Salarius’ products, and recent patent reform legislation could increase the uncertainties and costs surrounding the prosecution of Salarius’ patent applications and the enforcement or defense of Salarius’ issued patents.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is the case with other biotechnology companies, Salarius’ success is heavily dependent on patents and the ability to enforce and protect these patients.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Salarius’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Salarius’ ability to obtain new patents or to enforce Salarius’ existing patents and patents that Salarius might obtain in the future. Some of Salarius’ patent claims may be affected by the recent U.S. Supreme Court decision in Association for Molecular Pathology v. Myriad Genetics. In Myriad, the Supreme Court held that unmodified isolated fragments of genomic sequences, such as the DNA constituting the BRCA1 and BRCA2 genes, are not eligible for patent protection because they constitute a product of nature. The exact boundaries of the Supreme Court’s decision remain unclear as the Supreme Court did not address other types of nucleic acids.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Salarius is unable to maintain effective proprietary rights for Salarius’ product candidates or any future product candidates, Salarius may not be able to compete effectively in Salarius’ proposed markets.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protection afforded by patents, Salarius relies on trade secret protection and confidentiality agreements to protect proprietary know-how that is not patentable or that Salarius elects not to patent, processes for which patents are difficult to enforce and any other elements of Salarius’ product candidate discovery and development processes that involve proprietary know-how, information or technology that is not covered by patents. However, trade secrets can be difficult to protect. Salarius seek to protect Salarius’ proprietary technology and processes, in part, by entering into confidentiality agreements with Salarius’ employees, consultants, scientific advisors, and contractors. Salarius also seeks to preserve the integrity and confidentiality of Salarius’ data and trade secrets by maintaining physical security of Salarius’ premises and physical and electronic security of Salarius’ information technology systems. While Salarius has confidence in these individuals, organizations and systems, agreements or security measures may be breached, and Salarius may not have adequate remedies for any breach. In addition, Salarius’ trade secrets may otherwise become known or be independently discovered by competitors.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Salarius’ development and commercialization efforts.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Salarius’ commercial success depends in part on Salarius’ ability to develop, manufacture, market and sell Salarius’ product candidates and use Salarius’ proprietary technology without infringing the patent rights of third parties.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Numerous third-party U.S. and non-U.S. issued patents and pending applications exist in the area of epigenetic enzyme inhibitors and related technologies. Salarius is aware of U.S. and foreign patents and pending patent applications owned by third parties that cover therapeutic uses of epigenetic inhibitors. Salarius is currently monitoring these patents and patent applications. Salarius may in the future pursue available proceedings in the U.S. and foreign patent offices to challenge the validity of these patents and patent applications. In addition, or alternatively, Salarius may consider whether to seek to negotiate a license of rights to technology covered by one or more of such patents and patent applications. If any patents or patent applications cover Salarius’ product candidates or technologies, Salarius may not be free to manufacture or market Salarius’ product candidates, as planned, absent such a license, which may not be available to Salarius on commercially reasonable terms, or at all.</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Salarius may not be successful in meeting Salarius’ obligations under Salarius’ existing license agreements necessary to maintain Salarius’ product candidate licenses in effect. In addition, if required in order to commercialize Salarius’ product candidates, Salarius may be unsuccessful in obtaining or maintaining necessary rights to Salarius’ product candidates through acquisitions and in-licenses.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Salarius currently has rights to the intellectual property, through licenses from third parties and under patents that Salarius does not own, to develop and commercialize Salarius’ product candidates. Because Salarius’ programs may require the use of proprietary rights held by third parties, the growth of Salarius’ business will likely depend in part on Salarius’ ability to maintain in effect these proprietary rights. Any termination of license agreements with third parties with respect to Salarius’ product candidates would be expected to negatively impact Salarius’ business prospects.</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Salarius may be unable to acquire or in-license any compositions, methods of use, processes, or other third-party intellectual property rights from third parties that Salarius identifies as necessary for Salarius’ product candidates.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Salarius fails to comply with obligations in the agreements under which Salarius licenses intellectual property and other rights from third parties or otherwise experience disruptions to Salarius’ business relationships with Salarius’ licensors, Salarius could lose license rights that are important to Salarius’ business.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Salarius is a party to intellectual property licenses and supply agreements that are important to Salarius’ business and may enter into additional license agreements in the future. Salarius’ existing agreements impose, and Salarius expects that future license agreements will impose on Salarius, various diligence, milestone payment, royalty, purchasing, and other obligations. If Salarius fails to comply with Salarius’ obligations under these agreements, or Salarius is subject to a bankruptcy, Salarius’ agreements may be subject to termination by the licensor, in which event Salarius would not be able to develop, manufacture, or market products covered by the license or subject to supply commitments.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Salarius may be involved in lawsuits to protect or enforce Salarius’ patents or the patents of Salarius’ licensors, which could be expensive, time consuming, and unsuccessful.</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infringe Salarius’ patents or the patents of Salarius’ licensors. If Salarius or one of Salarius’ licensing partners were to initiate legal proceedings against a third party to enforce a patent covering one of Salarius’ product candidates, the defendant could counterclaim that the patent covering Salarius’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written description, clarity or non-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may not be able to protect Salarius’ intellectual property rights throughout the world.</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Salarius’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Competitors may use Salarius’ technologies in jurisdictions where Salarius has not obtained patent protection to develop Salarius’ own products and may also export infringing products to territories where Salarius has patent protection, but enforcement is not as strong as that in the United States. These products may compete with Salarius’ products and Salarius’ patents or other intellectual property rights may not be effective or sufficient to prevent them from competing.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Salarius’ Reliance on Third Parties</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Salarius relies on or will rely on third parties to conduct Salarius’ clinical trials. If these third parties do not successfully perform and comply with regulatory requirements, Salarius may not be able to successfully complete clinical development, obtain regulatory approval or eventually commercialize Salarius’ product candidates and Salarius’ business could be substantially harmed.</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Salarius has relied upon and plan to continue to rely upon third-parties such as contract research organizations (“CROs”), hospitals and clinical investigators to study Salarius’ product candidates in clinical trials. For example, Salarius has collaborated with The University of Texas MD Anderson Cancer Center (“MDACC”) to study SP-2577 in combination with azacitidine for the treatment of patients with myelodysplastic syndromes or chronic</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myelomonocytic leukemia . Salarius relies on these parties for the execution of clinical trials and Salarius only manages and controls some aspects of their activities. With respect to the MDACC sponsored investigator initiated trial, Salarius supplies seclidemstat in quantities required to conduct the clinical trial, but does not have any control over their development activities or the timing thereof. Salarius remains responsible for ensuring that each of Salarius’ trials is conducted in accordance with the applicable protocol, legal, regulatory, and scientific standards and Salarius’ reliance on these third parties does not relieve Salarius of its regulatory responsibilities. In July 2024, the FDA placed the trial on partial clinical hold following a serious and unexpected grade 4 adverse event encephalopathy, which was reversible. In February 2025, Salarius announced that MDACC had addressed the FDA’s questions and the partial clinical hold had been lifted, with patient enrollment resuming in the trial.</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Salarius expects to rely on third parties to manufacture Salarius’ clinical product supplies, and Salarius intends to rely on third parties to produce and process Salarius’ product candidates, if approved, and Salarius’ commercialization of any of Salarius’ product candidates could be stopped, delayed or made less profitable if those third parties fail to obtain approval of government regulators, fail to comply with applicable regulations, fail to provide Salarius with sufficient quantities of drug product, or fail to do so at acceptable quality levels or prices.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Salarius does not currently have nor does Salarius currently plan to develop the infrastructure or capability internally to manufacture Salarius’ clinical supplies for use in the conduct of Salarius’ clinical trials, and Salarius lacks the resources and the capability to manufacture any of Salarius’ product candidates on a clinical or commercial scale. Salarius currently relies on outside vendors to manufacture the clinical supplies of Salarius’ product candidates. Salarius plans to continue relying on third parties to manufacture Salarius’ product candidates on a commercial scale, if approved.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Salarius does not yet have sufficient information to reliably estimate the cost of the commercial manufacturing of Salarius’ product candidates and Salarius’ current costs to manufacture Salarius’ drug products is not commercially feasible, and the actual cost to manufacture Salarius’ product candidates could materially and adversely affect the commercial viability of Salarius’ product candidates. As a result, Salarius may never be able to develop a commercially viable product.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a significant number of our shares of common stock in the public markets, or the perception that such sales could occur, could depress the market price of our shares of our common stock or cause our stock price to decline.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a substantial number of our shares of common stock in the public markets, or the perception that such sales could occur, including from the exercise of warrants or sales of common stock issuable thereunder, could cause the market price of our shares of common stock to decline and impair our ability to raise capital through the sale of additional equity securities. We cannot predict the number of these shares that might be sold nor the effect that future sales of our shares of common stock, including shares issuable upon the exercise of warrants, would have on the market price of our shares of common stock.</w:t>
      </w:r>
    </w:p>
    <w:p>
      <w:pPr>
        <w:spacing w:after="0" w:line="18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present time, we intend to use available funds to finance our operations. Accordingly, while payment of dividends rests within the discretion of our board of directors, we have no intention of paying any such dividends in the foreseeable future. Any return to investors is expected to come, if at all, only from potential increases in the price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Failure in our information technology and storage systems could significantly disrupt the operation of our business and/or lead to potential large liabilities.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execute our business plan and maintain operations depends on the continued and uninterrupted performance of our information technology systems. Information technology systems are vulnerable to risks and damages from a variety of sources, including telecommunications or network failures, malicious human acts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natural disasters. Moreover, despite network security and back-up measures, some of our and our vendors’ servers are potentially vulnerable to physical or electronic break-ins, including cyber-attacks, computer viruses and similar disruptive problems. These events could lead to the unauthorized access, disclosure and use of non-public information which in turn could lead to operational difficulties and liabilities.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security breach or privacy violation that leads to disclosure of consumer, customer, supplier, partner or employee information (including personally identifiable information or protected health information) could harm our reputation, compel us to comply with disparate state and foreign breach notification laws and otherwise subject us to liability under laws that protect personal data, resulting in increased costs or loss of revenue.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Despite precautionary measures to prevent unanticipated problems that could affect our information technology systems, sustained or repeated system failures that interrupt our ability to generate and maintain data could adversely affect our ability to operate our business. In addition, a data security breach could distract management or other key personnel from performing their primary operational duties.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interpretation and application of consumer and data protection laws in the United States, Europe and elsewhere are often uncertain, contradictory and in flux. Among other things, foreign privacy laws impose significant obligations on U.S. companies to protect the personal information of foreign citizens. It is possible that these laws may be interpreted and applied in a manner that is inconsistent with our data practices, which could have a material adverse effect on our business. Complying with these various laws could cause us to incur substantial costs or require us to change our business practices in a manner adverse to our business.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maintain standard procedures to help assess, identify and manage material risk posed by cybersecurity threats and regularly evaluate how we can integrate these procedures into our overall risk management processes. For example, we require that all of our employees who</w:t>
      </w:r>
    </w:p>
    <w:p>
      <w:pPr>
        <w:jc w:val="both"/>
        <w:spacing w:after="0" w:line="226" w:lineRule="auto"/>
        <w:rPr>
          <w:sz w:val="20"/>
          <w:szCs w:val="20"/>
          <w:color w:val="auto"/>
        </w:rPr>
      </w:pPr>
      <w:r>
        <w:rPr>
          <w:rFonts w:ascii="Arial" w:cs="Arial" w:eastAsia="Arial" w:hAnsi="Arial"/>
          <w:sz w:val="18"/>
          <w:szCs w:val="18"/>
          <w:color w:val="auto"/>
        </w:rPr>
        <w:t>have access to our internal network complete formal cybersecurity training upon hire and on a periodic basis, including training on phishing, malware, and other cybersecurity risks. We also continuously evaluate our information technology systems and our practices that relate to</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our information technology systems. To date, we have not engaged any formal assessment or cyber security auditors or other third parties in connection with these efforts but may elect to do so in the future.</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the extent we identify areas in our information systems that need improvement, we seek to timely implement and monitor such improvements. While we believe that we have taken appropriate security measures to protect our data and information technology systems, and have been informed by our third-party vendors that they have as well, there can be no assurance that our efforts will prevent breakdowns or breaches in our systems, or those of our third-party vendors, that could materially adversely affect our business and financial condition. For additional information regarding whether risks from cybersecurity threats are reasonably likely to materially affect the Company, including our business strategy, results of operations, or financial condition, see Item 1A, “Risk Factors,”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3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currently engage a qualified IT consultant who reports to our Chief Executive Officer. This consultant has over 30 years of experience with cybersecurity, information technology development and deployment and information technology risk assessment and management, including information security management.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IT consultant regularly monitors our information technology systems and monitors the prevention, detection, mitigation and remediation of cybersecurity incidents in consultation with our Chief Executive Officer. Our Chief</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Executive Officer periodically reports information regarding our cybersecurity program to our Board, which has overall responsibility for risk oversight. In addition, our management is responsible for alerting our Board of any material cybersecurity incidents.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Over the last two years, we have not experienced any cybersecurity incidents that have materially affected or are reasonably likely to materially affect is, including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 Properties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principal executive offices are in the Texas Medical Center in Houston, Texas, under a month-to-month lease. Currently, this facility consists of approximately 300 square feet and accommodates our general and administrative activities.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not currently a party to any legal proceedings the outcome of which we believe, if determined adversely to us, would individually or in the aggregate, have a material adverse effect on our business, financial condition, or results of operations. From time to time, we may become involved in legal proceedings arising in the ordinary course of business.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80"/>
        <w:spacing w:after="0" w:line="50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on the Nasdaq Capital Market under the symbol “SLRX.”</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12, 2025, we had approximately 139 record holders of our common stock. Because many of our shares are held by brokers and other institutions on behalf of stockholders, we are unable to estimate the total number of individual stockholders represented by these record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required by Item 5 of Form 10-K regarding our equity compensation plans is incorporated herein by reference from Item 12 of Part III of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December 12, 2024, Salarius entered into a securities purchase agreement (the “ELOC Agreement”) with C/M Capital Master Fund, LP (the “Purchaser”), pursuant to which Salarius, subject to the restrictions and satisfaction of the conditions in the ELOC Agreement, has the right, but not the obligation, to sell to the Purchaser, and the Purchaser is obligated to purchase, up to the lesser of (i) $10 million of newly issued shares (the “Purchase Shares”) of Salarius’ common stock and (ii) the Exchange Cap (as defined in the ELOC Agreement). As consideration for the Purchaser’s execution and delivery of the ELOC Agreement, Salarius has agreed to issue to the Purchaser, simultaneously with the delivery of any and all Purchase Shares purchased under the ELOC Agreement, a number of shares of Salarius common stock equal to one percent (1%) of the number of Purchase Shares actually sold in each sale under the ELOC Agreement.</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Purchase Agreement, the Purchaser represented to the Company, among other things, that it is an “accredited investor” (as such term is defined in Rule 501(a)(3) of Regulation D promulgated under the Securities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Act of 1933, as amended (the “Securities Act”)). The securities are being issued and sold by the Company to the Purchaser in reliance upon the exemptions from the registration requirements of the Securities Act afforded by Section 4(a)(2) of the Securities Act and Rule 506(b) of Regulation D promulgated thereunder. The securities may not be offered or sold in the United States absent registration or an applicable exemption from registration requirements.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Between January 13, 2025 and March 7, 2025, Salarius issued and sold 283,933 Purchase Shares to the Purchaser pursuant to the ELOC Agreement at a weighted average exercise price of $2.61 for an aggregate purchase price of $740,500. These issuances and sales were made following written notice delivered by Salarius to Investor, directing Investor to purchase the Purchase Shares. Salarius also issued 2,839 shares of its common stock to the Purchaser as commitment shares pursuant to the terms of the ELOC Agreement.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than as described above or as previously disclosed on our Current Reports on Form 8-K or Quarterly Reports on Form 10-Q filed with the SEC, we did not issue any unregistered equity securities during the twelve months ended December 31, 2024.</w:t>
      </w:r>
    </w:p>
    <w:p>
      <w:pPr>
        <w:spacing w:after="0" w:line="180" w:lineRule="exact"/>
        <w:rPr>
          <w:sz w:val="20"/>
          <w:szCs w:val="20"/>
          <w:color w:val="auto"/>
        </w:rPr>
      </w:pPr>
    </w:p>
    <w:p>
      <w:pPr>
        <w:ind w:right="5220"/>
        <w:spacing w:after="0" w:line="271"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headings Special Note Regarding Forward-Looking Statements” and “Risk Factors” of this report. The following discussion of our results of operations and financial condition should be read in conjunction with our financial statements and the related notes thereto included elsewhere in this report. These risks could cause our actual results to differ materially from any future performance suggested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Salarius is a clinical-stage biopharmaceutical company that has been focused on developing effective treatments for patients with cancer with high, unmet medical need. Specifically, Salarius has been concentrated on developing treatments for cancers caused by dysregulated gene expression (i.e., genes which are incorrectly turned on or off). Salarius has two classes of drugs that address gene dysregulation: targeted protein inhibitors and targeted protein degraders. Salarius’ technologies have the potential to work in both liquid and solid tumors. Salarius’ current pipeline consists of two small molecule drugs: (1) SP-3164, a targeted protein degrader, and (2) seclidemstat (“SP-2577”), a targeted protein inhibitor.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Merger Agreement with Decoy Therapeutics, Inc. (“Decoy”)</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8, 2023, Salarius announced that it retained Canaccord Genuity, LLC to lead a comprehensive review of strategic alternatives focusing on maximizing stockholder value, including but not limited to, an acquisition, merger, reverse merger, divestiture of assets, licensing, or other strategic transactions involving the company. On January 10, 2025, Salarius entered into an Agreement and Plan of Merger (the “Merger Agreement”) with Decoy</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Therapeutics MergerSub I, Inc., a Delaware corporation and a wholly owned subsidiary of Salarius (“First Merger Sub”), Decoy Therapeutics MergerSub II, LLC, a Delaware limited liability company and wholly owned subsidiary of Salarius (“Second Merger Sub”), and Decoy. Pursuant to the Merger Agreement, Salarius will combine with Decoy (the “Merger”) by causing First Merger Sub to be merged with and into Decoy, with Decoy surviving the merger as a wholly owned subsidiary of Salarius (the “First Merger”). Immediately following the First Merger, Decoy will merge with and into Second Merger Sub, with Second Merger Sub being the surviving entity and continuing under the name “Decoy Therapeutics, LLC” as a wholly owned subsidiary of Salarius.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is structured as a stock-for-stock transaction pursuant to which all of Decoy’s outstanding equity interests will be exchanged based on an exchange ratio for consideration of a combination of (a) shares of Salarius’ common stock par value $0.0001 (the “Common Stock”) in an amount up to (i) 19.9% of Salarius’ total shares outstanding as of January 10, 2025 minus (ii) any shares of Salarius Common Stock issued in any private placement between January 10, 2025 and the effective time of the First Merger (the “First Effective Time”), and</w:t>
      </w:r>
    </w:p>
    <w:p>
      <w:pPr>
        <w:spacing w:after="0" w:line="2" w:lineRule="exact"/>
        <w:rPr>
          <w:sz w:val="20"/>
          <w:szCs w:val="20"/>
          <w:color w:val="auto"/>
        </w:rPr>
      </w:pPr>
    </w:p>
    <w:p>
      <w:pPr>
        <w:jc w:val="both"/>
        <w:ind w:firstLine="8"/>
        <w:spacing w:after="0" w:line="252" w:lineRule="auto"/>
        <w:tabs>
          <w:tab w:leader="none" w:pos="2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of Series A Preferred Stock, which is a newly designated series of preferred stock (“Preferred Stock”) that is intended to have economic rights equivalent to the Common Stock, but with only limited voting rights, in addition to the assumption of outstanding and unexercised stock options to purchase shares of Common Stock from the Decoy Therapeutics Inc. 2020 Equity Incentive Plan. The number of shares of Common Stock to be issued at Merger Closing (as defined below) and the number of shares of Common stock underlying the Series A Preferred Stock to be issued at closing of the Merger (the “Merger Closing”) is based on an exchange ratio which assumes a base value of $28.0 million for Decoy and $4.6 million for Salarius, subject in each case to adjustment based on the balance sheet cash available to each of Salarius and Decoy at Merger Closing (excluding any proceeds raised the “Qualified Financing,” as defined below). Based on these relative values, before taking into account the dilutive effects of the Qualified Financing, Salarius’ legacy stockholders would retain approximately 14.1% of Salarius on an as-converted-to-common basis and, after giving effect to the exchange ratio and the conversion of the Series A Preferred Stock, Decoy stockholders would own approximately 85.9% of Salarius.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rights of the Series A Preferred Stock will be set forth in a Certificate of Designation of Preferences, Rights and Limitations that Salarius will file with the Secretary of State of the State of Delaware (the “Certificate of Designation”). The Certificate of Designation provides that the preferred stock will be convertible into shares of Common Stock on a 1-for-1000 basis, subject to stockholder approval. The Merger was approved by Salarius’ board of directors and the board of directors of Decoy. In addition, following the consummation of the Merger, Salarius has agreed to call a special stockholder meeting to approve (i) the conversion of the preferred stock to be issued at Merger Closing into shares of Common Stock (the “Conversion Proposal”), (ii) a new equity incentive plan in form reasonably agreed to by the parties (the “Equity Plan Proposal”), and (iii) if necessary and advisable, a reverse stock split in a ratio to be approved by Salarius’ board of directors (the “Reverse Stock Split Proposal” and together with the Conversion Proposal and the Equity Plan Proposal, the “Company Stockholder Matters”).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Agreement contains customary representations and warranties by each of Salarius and Decoy, as well as covenants relating to operating each respective business in the ordinary course prior to Merger Closing. The Merger Closing is conditioned upon, among other things, minimum proceeds from future offerings of at least $6.0 million (collectively, the “Qualified Financing”) and the continued listing of Salarius Common Stock on Nasdaq. On January 17, 2025, Nasdaq notified Salarius that the proposed transaction with Decoy constitutes a business combination that will result in a “Change of Control” pursuant to Listing Rule 5110(a) and, accordingly, the post-transaction entity will be required to satisfy all of Nasdaq’s initial listing criteria and to complete Nasdaq’s initial listing process, including the payment of all applicable fees. Salarius intends to commence the process prior to seeking the Company’s stockholder approval for the issuance of 20% or more of the Company’s pre-transaction shares and must complete the process prior to the conversion of the preferred shares issued at the Merger Closing into shares of common stock of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execution of the Merger Agreement, Salarius entered into stockholder support agreements (the “Salarius Support Agreements”) with certain of its officers and directors, who collectively own an aggregate of approximately 1.38% of the outstanding shares of the Common Stock. The Salarius Support Agreements provide that, among other things, each of the parties thereto has agreed to vote or cause to be voted all of the shares of Common Stock owned by such stockholder in favor of the Company Stockholder Matters at a special or annual meeting of Salarius’ stockholders to be held in connection therewith. In addition, Decoy officers and directors, in their capacities as stockholders of Decoy, entered into stockholder support agreements (the “Decoy Support Agreements”) with Decoy. The Decoy Support Agreements provide that, among other things, each of the parties thereto has agreed to vote or cause to be voted all of the shares of Common Stock owned by such stockholder in favor of the proposed Merger.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Concurrently and in connection with the execution of the Merger Agreement, certain Decoy officers and directors, and certain of Salarius’ directors and officers entered into lock-up agreements with Salarius and Decoy, pursuant to which each such stockholder will be subject to a 180-day lockup on the sale or transfer of shares of Common Stock held by each such stockholder at the Merger Closing, including those shares received by Decoy stockholders in the Merger.</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entered into the Merger Agreement and intend to consummate the Merger, there is no assurance that we will be able to successfully consummate the Merger on a timely basis, or at all. If, for any reason, the Merger does not close, our board of directors may elect to, among other things, attempt to complete another strategic transaction like the Merger, attempt to sell or otherwise dispose of our various assets, resume our research and development activities and continue to operate our business or dissolve and liquidate our assets. If we decide to dissolve and liquidate our assets, we would be required to pay all of our debts and contractual obligations, and to set aside certain reserves for potential future claims, and there can be no assurances as to the amount or timing of available cash left, if any, to distribute to stockholders after paying our debts and other obligations and setting aside funds for reserves. If we were to continue our business, we would need to raise a substantial amount of cash to fund ongoing operations and future development activities for our existing product candidates and any new product candidates that we acquire.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Cancellation Agreement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2025, Salarius entered into a Warrant Cancellation Agreement (the “Warrant Cancellation Agreement”) with an accredited investor. Salarius previously issued to the investor a Series A-1 Common Stock Purchase Warrant to purchase 454,546 shares of its common stock pursuant to the offering described in Salarius’ Current Report on Form 8-K filed with the Securities and Exchange Commission (“SEC”) on May 16, 2023 (the “Warrant”). Pursuant to the Warrant Cancellation Agreement, on January 10, 2025, Salarius paid the investor an aggregate amount in cash of $350,000 in exchange for the surrender and cancellation of the Warrant.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ELOC Agreement</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12, 2024, Salarius entered into a securities purchase agreement (the “ELOC Agreement”) with C/M Capital Master Fund, LP (the “Purchaser”), pursuant to which Salarius, subject to the restrictions and satisfaction of the conditions in the ELOC Agreement, has the right, but not the obligation, to sell to the Purchaser, and the Purchaser is obligated to purchase, up to the lesser of (i) $10 million of newly issued shares (the “Purchase Shares”) of Salarius’ common stock and (ii) the Exchange Cap (as defined in the ELOC Agreement). As consideration for the Purchaser’s execution and delivery of the ELOC Agreement, Salarius has agreed to issue to the Purchaser, simultaneously with the delivery of any and all Purchase Shares purchased under the ELOC Agreement, a number of shares of Salarius common stock equal to one percent (1%) of the number of Purchase Shares actually sold in each sale under the ELOC Agreement.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Between January 13, 2025 and March 7, 2025, Salarius issued and sold 283,933 Purchase Shares to the Purchaser pursuant to the ELOC Agreement at a weighted average exercise price of $2.61 for an aggregate purchase price of $740,500. These issuances and sales were made following written notice delivered by Salarius to Investor, directing Investor to purchase the Purchase Shares. Salarius also issued 2,839 shares of its common stock to the Purchaser as commitment shares pursuant to the terms of the ELOC Agreement.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$81.9 million as of December 31, 2024. Substantially all of our operating losses resulted from expenses incurred in connection with our research and development programs and from general and administrative costs associated with our operations.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operation and clinical development activities and may need such additional capital sooner than 12 months. As of December 31, 2024, we had cash and cash equivalents of $2.4 million. Accordingly, we will need to raise substantial additional capital to continue to fund our operations beyond the later part of the second quarter of 2025. The amount and timing of our future funding requirements will depend on many factors, including the result of our strategic alternatives process, our ability to raise additional capital on commercially reasonable terms, the pace and results of clinical development activities, and market conditions. Failure to raise capital as and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when needed, on favorable terms or at all, would have a negative impact on our financial condition and our ability to continue our operations.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consolidated results of our operations for the year ended December 31, 2024 compared to the year ended December 31, 2023.</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1"/>
                <w:szCs w:val="21"/>
                <w:color w:val="auto"/>
              </w:rPr>
            </w:pPr>
          </w:p>
        </w:tc>
        <w:tc>
          <w:tcPr>
            <w:tcW w:w="2040" w:type="dxa"/>
            <w:vAlign w:val="bottom"/>
          </w:tcPr>
          <w:p>
            <w:pPr>
              <w:ind w:lef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378"/>
        </w:trPr>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320" w:type="dxa"/>
            <w:vAlign w:val="bottom"/>
          </w:tcPr>
          <w:p>
            <w:pPr>
              <w:spacing w:after="0"/>
              <w:rPr>
                <w:sz w:val="24"/>
                <w:szCs w:val="24"/>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770,027</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7,173,747</w:t>
            </w:r>
          </w:p>
        </w:tc>
        <w:tc>
          <w:tcPr>
            <w:tcW w:w="32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(6,403,720)</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4,964,289</w:t>
            </w: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5,721,197</w:t>
            </w:r>
          </w:p>
        </w:tc>
        <w:tc>
          <w:tcPr>
            <w:tcW w:w="32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8"/>
              </w:rPr>
              <w:t>(756,908)</w:t>
            </w:r>
          </w:p>
        </w:tc>
        <w:tc>
          <w:tcPr>
            <w:tcW w:w="0" w:type="dxa"/>
            <w:vAlign w:val="bottom"/>
          </w:tcPr>
          <w:p>
            <w:pPr>
              <w:spacing w:after="0"/>
              <w:rPr>
                <w:sz w:val="1"/>
                <w:szCs w:val="1"/>
                <w:color w:val="auto"/>
              </w:rPr>
            </w:pPr>
          </w:p>
        </w:tc>
      </w:tr>
      <w:tr>
        <w:trPr>
          <w:trHeight w:val="266"/>
        </w:trPr>
        <w:tc>
          <w:tcPr>
            <w:tcW w:w="36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158,539</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352,251</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-193,712</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vMerge w:val="continue"/>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(5,575,777)</w:t>
            </w:r>
          </w:p>
        </w:tc>
        <w:tc>
          <w:tcPr>
            <w:tcW w:w="320" w:type="dxa"/>
            <w:vAlign w:val="bottom"/>
            <w:vMerge w:val="continue"/>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(12,542,693)</w:t>
            </w:r>
          </w:p>
        </w:tc>
        <w:tc>
          <w:tcPr>
            <w:tcW w:w="320" w:type="dxa"/>
            <w:vAlign w:val="bottom"/>
            <w:vMerge w:val="continue"/>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6,966,916</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Research and development expenses were $0.8 million during the year ended December 31, 2024 compared to $7.2 million during the year ended December 31, 2023. This decrease of $6.4 million principally resulted from the cost savings plan implemented during the third quarter of </w:t>
      </w:r>
      <w:r>
        <w:rPr>
          <w:rFonts w:ascii="Times New Roman" w:cs="Times New Roman" w:eastAsia="Times New Roman" w:hAnsi="Times New Roman"/>
          <w:sz w:val="18"/>
          <w:szCs w:val="18"/>
          <w:color w:val="auto"/>
        </w:rPr>
        <w:t>2023</w:t>
      </w:r>
      <w:r>
        <w:rPr>
          <w:rFonts w:ascii="Arial" w:cs="Arial" w:eastAsia="Arial" w:hAnsi="Arial"/>
          <w:sz w:val="18"/>
          <w:szCs w:val="18"/>
          <w:color w:val="auto"/>
        </w:rPr>
        <w:t xml:space="preserve"> and lower spending on SP-2577. Lower research and development expenses will continue in 2025 as we have curtailed our sponsored clinical trials and intend to rely on clinical trial data from the investigator initiated clinical trial conducted by MD Anderson Cancer Center before assessing next steps in our clinical development plans.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 costs by</w:t>
            </w:r>
          </w:p>
        </w:tc>
        <w:tc>
          <w:tcPr>
            <w:tcW w:w="34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SP - 3164</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SP- 2577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400" w:type="dxa"/>
            <w:vAlign w:val="bottom"/>
          </w:tcPr>
          <w:p>
            <w:pPr>
              <w:spacing w:after="0"/>
              <w:rPr>
                <w:sz w:val="14"/>
                <w:szCs w:val="14"/>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14"/>
                <w:szCs w:val="14"/>
                <w:color w:val="auto"/>
              </w:rPr>
            </w:pPr>
          </w:p>
        </w:tc>
        <w:tc>
          <w:tcPr>
            <w:tcW w:w="12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540" w:type="dxa"/>
            <w:vAlign w:val="bottom"/>
          </w:tcPr>
          <w:p>
            <w:pPr>
              <w:spacing w:after="0"/>
              <w:rPr>
                <w:sz w:val="14"/>
                <w:szCs w:val="14"/>
                <w:color w:val="auto"/>
              </w:rPr>
            </w:pPr>
          </w:p>
        </w:tc>
        <w:tc>
          <w:tcPr>
            <w:tcW w:w="11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r>
              <w:rPr>
                <w:rFonts w:ascii="Arial" w:cs="Arial" w:eastAsia="Arial" w:hAnsi="Arial"/>
                <w:sz w:val="18"/>
                <w:szCs w:val="18"/>
                <w:b w:val="1"/>
                <w:bCs w:val="1"/>
                <w:color w:val="auto"/>
              </w:rPr>
              <w:t>candidates and by categories:</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Outsourced research and development costs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69,753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2,662,072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345,228</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1,342,878</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Employee-related costs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263,302</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1,568,402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Manufacturing and laboratory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275,827</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1,203,934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79,219</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133,159</w:t>
            </w:r>
          </w:p>
        </w:tc>
        <w:tc>
          <w:tcPr>
            <w:tcW w:w="0" w:type="dxa"/>
            <w:vAlign w:val="bottom"/>
          </w:tcPr>
          <w:p>
            <w:pPr>
              <w:spacing w:after="0"/>
              <w:rPr>
                <w:sz w:val="1"/>
                <w:szCs w:val="1"/>
                <w:color w:val="auto"/>
              </w:rPr>
            </w:pPr>
          </w:p>
        </w:tc>
      </w:tr>
      <w:tr>
        <w:trPr>
          <w:trHeight w:val="181"/>
        </w:trPr>
        <w:tc>
          <w:tcPr>
            <w:tcW w:w="4380" w:type="dxa"/>
            <w:vAlign w:val="bottom"/>
          </w:tcPr>
          <w:p>
            <w:pPr>
              <w:spacing w:after="0" w:line="181" w:lineRule="exact"/>
              <w:rPr>
                <w:sz w:val="20"/>
                <w:szCs w:val="20"/>
                <w:color w:val="auto"/>
              </w:rPr>
            </w:pPr>
            <w:r>
              <w:rPr>
                <w:rFonts w:ascii="Arial" w:cs="Arial" w:eastAsia="Arial" w:hAnsi="Arial"/>
                <w:sz w:val="18"/>
                <w:szCs w:val="18"/>
                <w:color w:val="auto"/>
              </w:rPr>
              <w:t>Purchased in process research and development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costs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345,580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4,129,308</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424,447</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3,044,439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General and administrative expenses were $5.0 million for the year ended December 31, 2024 compared to $5.7 million for the year ended December 31, 2023, the decrease is mainly driven by lower personnel costs, public company expenses and D&amp;O insurance cost, offsetting by increased legal expense and severance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Future Financing Needs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We have not generated any cash inflows from product sales. We do not know when, or if, we will generate any revenue from product sales. We do not expect to generate any revenue from product sales unless and until we obtain regulatory approval for and commercializes any of our product candidates, all of which are in early stages of development. We have curtailed expenses and plan to use our two remaining full time employees and consultants to continue our operations.</w:t>
      </w:r>
    </w:p>
    <w:p>
      <w:pPr>
        <w:spacing w:after="0" w:line="16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During the twelve months ended December 31, 2024, we received $ 0.1 million of cash from CPRIT. As of December 31, 2024, we had $1.5 million of working capital and our cash and cash equivalents totaled $2.4 million, which were held in bank and money market accounts. Our cash and cash equivalents balance decreased during the year ended December 31, 2024, primarily due to the cash used in operating activities, partially offset by capital</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received from financing activities. Under current reduced operating conditions, we believe that our cash and cash equivalents on hand as of</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December 31, 2024 is sufficient to fund our anticipated operations into the later part of the second quarter of 2025. If for any reason the Merger does not close, we would need to raise additional capital to continue to fund the further development of product candidates and our operations. If we are unable to maintain sufficient financial resources, our business, financial condition and results of operations will be materially and adversely affected. Additionally, equity or debt financings may have a dilutive effect on the holdings of our existing</w:t>
      </w:r>
    </w:p>
    <w:p>
      <w:pPr>
        <w:spacing w:after="0" w:line="219" w:lineRule="auto"/>
        <w:rPr>
          <w:sz w:val="20"/>
          <w:szCs w:val="20"/>
          <w:color w:val="auto"/>
        </w:rPr>
      </w:pPr>
      <w:r>
        <w:rPr>
          <w:rFonts w:ascii="Arial" w:cs="Arial" w:eastAsia="Arial" w:hAnsi="Arial"/>
          <w:sz w:val="18"/>
          <w:szCs w:val="18"/>
          <w:color w:val="auto"/>
        </w:rPr>
        <w:t>stockholders. We have curtailed expenses and plan to use our two remaining full time employees and consultants to continue our operations.</w:t>
      </w:r>
    </w:p>
    <w:p>
      <w:pPr>
        <w:spacing w:after="0"/>
        <w:rPr>
          <w:sz w:val="20"/>
          <w:szCs w:val="20"/>
          <w:color w:val="auto"/>
        </w:rPr>
      </w:pPr>
      <w:r>
        <w:rPr>
          <w:rFonts w:ascii="Arial" w:cs="Arial" w:eastAsia="Arial" w:hAnsi="Arial"/>
          <w:sz w:val="18"/>
          <w:szCs w:val="18"/>
          <w:color w:val="auto"/>
        </w:rPr>
        <w:t>As a result, if we are unable to complete the Merger, we will likely need to conduct a wind down of our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w:t>
            </w:r>
          </w:p>
        </w:tc>
        <w:tc>
          <w:tcPr>
            <w:tcW w:w="1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1"/>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40" w:type="dxa"/>
            <w:vAlign w:val="bottom"/>
            <w:gridSpan w:val="3"/>
          </w:tcPr>
          <w:p>
            <w:pPr>
              <w:spacing w:after="0"/>
              <w:rPr>
                <w:sz w:val="20"/>
                <w:szCs w:val="20"/>
                <w:color w:val="auto"/>
              </w:rPr>
            </w:pPr>
          </w:p>
        </w:tc>
      </w:tr>
      <w:tr>
        <w:trPr>
          <w:trHeight w:val="229"/>
        </w:trPr>
        <w:tc>
          <w:tcPr>
            <w:tcW w:w="66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Year Ended December 31</w:t>
            </w:r>
          </w:p>
        </w:tc>
      </w:tr>
      <w:tr>
        <w:trPr>
          <w:trHeight w:val="256"/>
        </w:trPr>
        <w:tc>
          <w:tcPr>
            <w:tcW w:w="660" w:type="dxa"/>
            <w:vAlign w:val="bottom"/>
          </w:tcPr>
          <w:p>
            <w:pPr>
              <w:spacing w:after="0"/>
              <w:rPr>
                <w:sz w:val="22"/>
                <w:szCs w:val="22"/>
                <w:color w:val="auto"/>
              </w:rPr>
            </w:pPr>
          </w:p>
        </w:tc>
        <w:tc>
          <w:tcPr>
            <w:tcW w:w="51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210"/>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7"/>
        </w:trPr>
        <w:tc>
          <w:tcPr>
            <w:tcW w:w="66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(4,525,337)</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(12,846,137)</w:t>
            </w:r>
          </w:p>
        </w:tc>
      </w:tr>
      <w:tr>
        <w:trPr>
          <w:trHeight w:val="261"/>
        </w:trPr>
        <w:tc>
          <w:tcPr>
            <w:tcW w:w="660" w:type="dxa"/>
            <w:vAlign w:val="bottom"/>
          </w:tcPr>
          <w:p>
            <w:pPr>
              <w:spacing w:after="0"/>
              <w:rPr>
                <w:sz w:val="22"/>
                <w:szCs w:val="22"/>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1,059,955</w:t>
            </w:r>
          </w:p>
        </w:tc>
        <w:tc>
          <w:tcPr>
            <w:tcW w:w="7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6,639,612</w:t>
            </w:r>
          </w:p>
        </w:tc>
      </w:tr>
      <w:tr>
        <w:trPr>
          <w:trHeight w:val="275"/>
        </w:trPr>
        <w:tc>
          <w:tcPr>
            <w:tcW w:w="66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(3,465,382)</w:t>
            </w:r>
          </w:p>
        </w:tc>
        <w:tc>
          <w:tcPr>
            <w:tcW w:w="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(6,206,525)</w:t>
            </w:r>
          </w:p>
        </w:tc>
      </w:tr>
      <w:tr>
        <w:trPr>
          <w:trHeight w:val="20"/>
        </w:trPr>
        <w:tc>
          <w:tcPr>
            <w:tcW w:w="66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6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980" w:type="dxa"/>
            <w:vAlign w:val="bottom"/>
            <w:gridSpan w:val="4"/>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r>
      <w:tr>
        <w:trPr>
          <w:trHeight w:val="230"/>
        </w:trPr>
        <w:tc>
          <w:tcPr>
            <w:tcW w:w="6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issuance of equity securities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1,526,460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6,920,529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on note payable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(280,917)</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1,059,955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6,639,612</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Net cash used in operating activities was $ 4.5 million in the current period, a decrease of approximately $8.3 million from the same period a year ago. The decrease is primarily due to significantly reduced operating expenses during current year compared to last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as of the date of the consolidated balance sheet and the reported amounts of expenses during the reporting period. In accordance</w:t>
      </w:r>
    </w:p>
    <w:p>
      <w:pPr>
        <w:jc w:val="both"/>
        <w:spacing w:after="0" w:line="226" w:lineRule="auto"/>
        <w:rPr>
          <w:sz w:val="20"/>
          <w:szCs w:val="20"/>
          <w:color w:val="auto"/>
        </w:rPr>
      </w:pPr>
      <w:r>
        <w:rPr>
          <w:rFonts w:ascii="Arial" w:cs="Arial" w:eastAsia="Arial" w:hAnsi="Arial"/>
          <w:sz w:val="18"/>
          <w:szCs w:val="18"/>
          <w:color w:val="auto"/>
        </w:rPr>
        <w:t>with GAAP, we base our estimates on historical experience and on various other assumptions that we believe are reasonable under the circumstances at the time such estimates are made. Actual results may differ materially from our estimates and judgments under different</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significant accounting policies are described in Note 2 to our audited consolidated financial statements for the year ended December 31, 2024 in this Annual Report on Form 10-K. We believe that our accounting policy relating to research and development expenses is the most critical to understanding and evaluating our reported financial results. We have identified this policy as critical because it is important to the presentation of our financial condition and results of operations and requires us to make judgments and estimates on matters that are inherently uncertain and may change in future periods. For more information regarding these policies, you should refer to Note 2 of our audited consolidated financial statements included in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does not have any holdings in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 Summary of Significant Accounting Policies of the Notes to Consolidated Financial Statements for a description of recently issued accounting pronouncements, including the expected dates of adoption and estimated effects on our results of operations, financial positions and cash flows.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93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6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950"/>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6"/>
                <w:szCs w:val="16"/>
                <w:b w:val="1"/>
                <w:bCs w:val="1"/>
                <w:color w:val="auto"/>
              </w:rPr>
              <w:t>Financial Statements and Supplementary Data</w:t>
            </w:r>
          </w:p>
        </w:tc>
        <w:tc>
          <w:tcPr>
            <w:tcW w:w="162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808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SALARIUS PHARMACEUTICALS, INC.</w:t>
            </w:r>
          </w:p>
        </w:tc>
        <w:tc>
          <w:tcPr>
            <w:tcW w:w="162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808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620" w:type="dxa"/>
            <w:vAlign w:val="bottom"/>
          </w:tcPr>
          <w:p>
            <w:pPr>
              <w:spacing w:after="0"/>
              <w:rPr>
                <w:sz w:val="24"/>
                <w:szCs w:val="24"/>
                <w:color w:val="auto"/>
              </w:rPr>
            </w:pPr>
          </w:p>
        </w:tc>
      </w:tr>
      <w:tr>
        <w:trPr>
          <w:trHeight w:val="231"/>
        </w:trPr>
        <w:tc>
          <w:tcPr>
            <w:tcW w:w="934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r>
      <w:tr>
        <w:trPr>
          <w:trHeight w:val="184"/>
        </w:trPr>
        <w:tc>
          <w:tcPr>
            <w:tcW w:w="93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0000FF"/>
              </w:rPr>
              <w:t>Report of Independent Registered Public Accounting Firm PCAOB ID (42)</w:t>
            </w:r>
          </w:p>
        </w:tc>
        <w:tc>
          <w:tcPr>
            <w:tcW w:w="16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0000FF"/>
              </w:rPr>
              <w:t>44</w:t>
            </w:r>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Balance Sheets</w:t>
            </w:r>
          </w:p>
        </w:tc>
        <w:tc>
          <w:tcPr>
            <w:tcW w:w="1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46</w:t>
            </w:r>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Operations</w:t>
            </w:r>
          </w:p>
        </w:tc>
        <w:tc>
          <w:tcPr>
            <w:tcW w:w="1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47</w:t>
            </w:r>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Cash Flows</w:t>
            </w:r>
          </w:p>
        </w:tc>
        <w:tc>
          <w:tcPr>
            <w:tcW w:w="1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48</w:t>
            </w:r>
          </w:p>
        </w:tc>
      </w:tr>
      <w:tr>
        <w:trPr>
          <w:trHeight w:val="203"/>
        </w:trPr>
        <w:tc>
          <w:tcPr>
            <w:tcW w:w="9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 of Stockholders’ Equity (Deficit)</w:t>
            </w:r>
          </w:p>
        </w:tc>
        <w:tc>
          <w:tcPr>
            <w:tcW w:w="1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49</w:t>
            </w:r>
          </w:p>
        </w:tc>
      </w:tr>
      <w:tr>
        <w:trPr>
          <w:trHeight w:val="221"/>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66" w:right="61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Salarius Pharmaceuticals,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Salarius Pharmaceuticals, Inc. (the Company) as of December 31, 2024</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2023, the related consolidated statements of operations, stockholders’ equity (deficit) and cash flows for each of the two years in the period ended December 31, 2024, and the related notes (collectively referred to as the “consolidated financial statements”). In our opinion,</w:t>
      </w:r>
    </w:p>
    <w:p>
      <w:pPr>
        <w:spacing w:after="0" w:line="236" w:lineRule="auto"/>
        <w:rPr>
          <w:sz w:val="20"/>
          <w:szCs w:val="20"/>
          <w:color w:val="auto"/>
        </w:rPr>
      </w:pPr>
      <w:r>
        <w:rPr>
          <w:rFonts w:ascii="Arial" w:cs="Arial" w:eastAsia="Arial" w:hAnsi="Arial"/>
          <w:sz w:val="18"/>
          <w:szCs w:val="18"/>
          <w:color w:val="auto"/>
        </w:rPr>
        <w:t>the consolidated financial statements present fairly, in all material respects, the financial position of the Company at December 31, 2024 and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2023, and the results of its operations and its cash flows for each of the two years in the period ended December 31, 2024, in conformity with U.S. generally accepted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a lack of revenue from product sales and has suffered recurring losses from operations since its inception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Company’s financial statements based on our audits. We are a public accounting firm registered with the Public Company Accounting Oversight Board (United States) (PCAOB) and are required to be independent with respect to the Company in accordance with the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obtain reasonable assurance about whether the financial statements are free of material misstatement, whether due to error or fraud. The Company is not required to have, nor were we engaged to perform, an audit of its internal control over financial reporting. As part of our</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fraud, 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communicated or required to be communicated to the audit committee and that: (1) relates to accounts or disclosures that are material to the financial statements and (2) involved our especially challenging, subjective or complex judgments. The communication of the critical audit</w:t>
      </w:r>
    </w:p>
    <w:p>
      <w:pPr>
        <w:spacing w:after="0" w:line="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920"/>
        <w:spacing w:after="0"/>
        <w:rPr>
          <w:sz w:val="20"/>
          <w:szCs w:val="20"/>
          <w:color w:val="auto"/>
        </w:rPr>
      </w:pPr>
      <w:r>
        <w:rPr>
          <w:rFonts w:ascii="Arial" w:cs="Arial" w:eastAsia="Arial" w:hAnsi="Arial"/>
          <w:sz w:val="17"/>
          <w:szCs w:val="17"/>
          <w:b w:val="1"/>
          <w:bCs w:val="1"/>
          <w:i w:val="1"/>
          <w:iCs w:val="1"/>
          <w:color w:val="auto"/>
        </w:rPr>
        <w:t>Clinical Trial Accruals</w:t>
      </w:r>
    </w:p>
    <w:p>
      <w:pPr>
        <w:sectPr>
          <w:pgSz w:w="11900" w:h="16838" w:orient="portrait"/>
          <w:cols w:equalWidth="0" w:num="1">
            <w:col w:w="11220"/>
          </w:cols>
          <w:pgMar w:left="320" w:top="274" w:right="35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Accrued expenses and other current liabilities was $ 352,419 at December 31, 2024, and Research</w:t>
      </w:r>
    </w:p>
    <w:p>
      <w:pPr>
        <w:spacing w:after="0" w:line="27" w:lineRule="exact"/>
        <w:rPr>
          <w:sz w:val="20"/>
          <w:szCs w:val="20"/>
          <w:color w:val="auto"/>
        </w:rPr>
      </w:pPr>
    </w:p>
    <w:p>
      <w:pPr>
        <w:sectPr>
          <w:pgSz w:w="11900" w:h="16838" w:orient="portrait"/>
          <w:cols w:equalWidth="0" w:num="2">
            <w:col w:w="1420" w:space="500"/>
            <w:col w:w="9300"/>
          </w:cols>
          <w:pgMar w:left="320" w:top="274" w:right="359" w:bottom="1440" w:gutter="0" w:footer="0" w:header="0"/>
          <w:type w:val="continuous"/>
        </w:sectPr>
      </w:pPr>
    </w:p>
    <w:p>
      <w:pPr>
        <w:ind w:left="20"/>
        <w:spacing w:after="0"/>
        <w:rPr>
          <w:sz w:val="20"/>
          <w:szCs w:val="20"/>
          <w:color w:val="auto"/>
        </w:rPr>
      </w:pPr>
      <w:r>
        <w:rPr>
          <w:rFonts w:ascii="Arial" w:cs="Arial" w:eastAsia="Arial" w:hAnsi="Arial"/>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and development was $ 770,027 for the year then ended. As noted in the consolidated financial statements, research and development costs consist of expenses incurred in performing research and development activities, including</w:t>
      </w:r>
    </w:p>
    <w:p>
      <w:pPr>
        <w:spacing w:after="0" w:line="1" w:lineRule="exact"/>
        <w:rPr>
          <w:sz w:val="20"/>
          <w:szCs w:val="20"/>
          <w:color w:val="auto"/>
        </w:rPr>
      </w:pPr>
    </w:p>
    <w:p>
      <w:pPr>
        <w:sectPr>
          <w:pgSz w:w="11900" w:h="16838" w:orient="portrait"/>
          <w:cols w:equalWidth="0" w:num="2">
            <w:col w:w="1200" w:space="720"/>
            <w:col w:w="9300"/>
          </w:cols>
          <w:pgMar w:left="320" w:top="274" w:right="359" w:bottom="1440" w:gutter="0" w:footer="0" w:header="0"/>
          <w:type w:val="continuous"/>
        </w:sectPr>
      </w:pPr>
    </w:p>
    <w:p>
      <w:pPr>
        <w:ind w:left="1920"/>
        <w:spacing w:after="0" w:line="216" w:lineRule="auto"/>
        <w:rPr>
          <w:sz w:val="20"/>
          <w:szCs w:val="20"/>
          <w:color w:val="auto"/>
        </w:rPr>
      </w:pPr>
      <w:r>
        <w:rPr>
          <w:rFonts w:ascii="Arial" w:cs="Arial" w:eastAsia="Arial" w:hAnsi="Arial"/>
          <w:sz w:val="18"/>
          <w:szCs w:val="18"/>
          <w:color w:val="auto"/>
        </w:rPr>
        <w:t>pre-clinical studies and clinical trials, and these costs consist of salaries and personnel-related costs, consulting fees, fees paid for contract research services, the costs of laboratory equipment and facilities, license fees and other</w:t>
      </w:r>
    </w:p>
    <w:p>
      <w:pPr>
        <w:ind w:left="1920"/>
        <w:spacing w:after="0" w:line="235" w:lineRule="auto"/>
        <w:rPr>
          <w:sz w:val="20"/>
          <w:szCs w:val="20"/>
          <w:color w:val="auto"/>
        </w:rPr>
      </w:pPr>
      <w:r>
        <w:rPr>
          <w:rFonts w:ascii="Arial" w:cs="Arial" w:eastAsia="Arial" w:hAnsi="Arial"/>
          <w:sz w:val="18"/>
          <w:szCs w:val="18"/>
          <w:color w:val="auto"/>
        </w:rPr>
        <w:t>external costs. The Company’s preclinical and clinical trials are performed by third party contract research</w:t>
      </w:r>
    </w:p>
    <w:p>
      <w:pPr>
        <w:ind w:left="1920"/>
        <w:spacing w:after="0" w:line="226" w:lineRule="auto"/>
        <w:rPr>
          <w:sz w:val="20"/>
          <w:szCs w:val="20"/>
          <w:color w:val="auto"/>
        </w:rPr>
      </w:pPr>
      <w:r>
        <w:rPr>
          <w:rFonts w:ascii="Arial" w:cs="Arial" w:eastAsia="Arial" w:hAnsi="Arial"/>
          <w:sz w:val="18"/>
          <w:szCs w:val="18"/>
          <w:color w:val="auto"/>
        </w:rPr>
        <w:t>organizations (CROs) and/or clinical investigators, and clinical supplies are manufactured by contract manufacturing organizations (CMOs). The Company accrues expenses based upon its assessment of the status of each clinical</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trial and the work completed and upon information obtained from the CROs and CMOs.</w:t>
      </w:r>
    </w:p>
    <w:p>
      <w:pPr>
        <w:spacing w:after="0" w:line="20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Auditing the Company’s accounting for accrued third-party clinical trial research and development expenses is</w:t>
      </w:r>
    </w:p>
    <w:p>
      <w:pPr>
        <w:spacing w:after="0" w:line="14" w:lineRule="exact"/>
        <w:rPr>
          <w:sz w:val="20"/>
          <w:szCs w:val="20"/>
          <w:color w:val="auto"/>
        </w:rPr>
      </w:pPr>
    </w:p>
    <w:p>
      <w:pPr>
        <w:ind w:left="1920"/>
        <w:spacing w:after="0" w:line="226" w:lineRule="auto"/>
        <w:rPr>
          <w:sz w:val="20"/>
          <w:szCs w:val="20"/>
          <w:color w:val="auto"/>
        </w:rPr>
      </w:pPr>
      <w:r>
        <w:rPr>
          <w:rFonts w:ascii="Arial" w:cs="Arial" w:eastAsia="Arial" w:hAnsi="Arial"/>
          <w:sz w:val="18"/>
          <w:szCs w:val="18"/>
          <w:color w:val="auto"/>
        </w:rPr>
        <w:t>especially challenging because of the judgment applied by management to determine the progress or stage of completion of the activities under the Company’s research and development agreements and the cost and extent of</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work performed during the reporting period for services not yet billed by contracted third-party vendors.</w:t>
      </w:r>
    </w:p>
    <w:p>
      <w:pPr>
        <w:sectPr>
          <w:pgSz w:w="11900" w:h="16838" w:orient="portrait"/>
          <w:cols w:equalWidth="0" w:num="1">
            <w:col w:w="11220"/>
          </w:cols>
          <w:pgMar w:left="320" w:top="274" w:right="359" w:bottom="1440" w:gutter="0" w:footer="0" w:header="0"/>
          <w:type w:val="continuous"/>
        </w:sect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How We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included, among others, inspecting the terms and conditions of the Company’s contracts with</w:t>
      </w:r>
    </w:p>
    <w:p>
      <w:pPr>
        <w:spacing w:after="0" w:line="32" w:lineRule="exact"/>
        <w:rPr>
          <w:sz w:val="20"/>
          <w:szCs w:val="20"/>
          <w:color w:val="auto"/>
        </w:rPr>
      </w:pPr>
    </w:p>
    <w:p>
      <w:pPr>
        <w:sectPr>
          <w:pgSz w:w="11900" w:h="16838" w:orient="portrait"/>
          <w:cols w:equalWidth="0" w:num="2">
            <w:col w:w="1200" w:space="720"/>
            <w:col w:w="9300"/>
          </w:cols>
          <w:pgMar w:left="320" w:top="274" w:right="359" w:bottom="1440" w:gutter="0" w:footer="0" w:header="0"/>
          <w:type w:val="continuous"/>
        </w:sectPr>
      </w:pPr>
    </w:p>
    <w:p>
      <w:pPr>
        <w:ind w:left="20"/>
        <w:spacing w:after="0" w:line="226" w:lineRule="auto"/>
        <w:rPr>
          <w:sz w:val="20"/>
          <w:szCs w:val="20"/>
          <w:color w:val="auto"/>
        </w:rPr>
      </w:pPr>
      <w:r>
        <w:rPr>
          <w:rFonts w:ascii="Arial" w:cs="Arial" w:eastAsia="Arial" w:hAnsi="Arial"/>
          <w:sz w:val="18"/>
          <w:szCs w:val="18"/>
          <w:i w:val="1"/>
          <w:iCs w:val="1"/>
          <w:color w:val="auto"/>
        </w:rPr>
        <w:t>Addressed the Matter in Our Audit</w:t>
      </w:r>
    </w:p>
    <w:p>
      <w:pPr>
        <w:spacing w:after="0" w:line="20" w:lineRule="exact"/>
        <w:rPr>
          <w:sz w:val="20"/>
          <w:szCs w:val="20"/>
          <w:color w:val="auto"/>
        </w:rPr>
      </w:pPr>
      <w:r>
        <w:rPr>
          <w:sz w:val="20"/>
          <w:szCs w:val="20"/>
          <w:color w:val="auto"/>
        </w:rPr>
        <w:br w:type="column"/>
      </w:r>
    </w:p>
    <w:p>
      <w:pPr>
        <w:jc w:val="both"/>
        <w:spacing w:after="0" w:line="226" w:lineRule="auto"/>
        <w:rPr>
          <w:sz w:val="20"/>
          <w:szCs w:val="20"/>
          <w:color w:val="auto"/>
        </w:rPr>
      </w:pPr>
      <w:r>
        <w:rPr>
          <w:rFonts w:ascii="Arial" w:cs="Arial" w:eastAsia="Arial" w:hAnsi="Arial"/>
          <w:sz w:val="18"/>
          <w:szCs w:val="18"/>
          <w:color w:val="auto"/>
        </w:rPr>
        <w:t>third parties, obtaining external confirmation of key inputs to the accrual calculation on a sample basis, testing the accuracy and completeness of the underlying inputs used in management’s analysis to determine costs incurred,</w:t>
      </w:r>
    </w:p>
    <w:p>
      <w:pPr>
        <w:spacing w:after="0" w:line="2" w:lineRule="exact"/>
        <w:rPr>
          <w:sz w:val="20"/>
          <w:szCs w:val="20"/>
          <w:color w:val="auto"/>
        </w:rPr>
      </w:pPr>
    </w:p>
    <w:p>
      <w:pPr>
        <w:sectPr>
          <w:pgSz w:w="11900" w:h="16838" w:orient="portrait"/>
          <w:cols w:equalWidth="0" w:num="2">
            <w:col w:w="1540" w:space="380"/>
            <w:col w:w="9300"/>
          </w:cols>
          <w:pgMar w:left="320" w:top="274" w:right="359" w:bottom="1440" w:gutter="0" w:footer="0" w:header="0"/>
          <w:type w:val="continuous"/>
        </w:sectPr>
      </w:pPr>
    </w:p>
    <w:p>
      <w:pPr>
        <w:ind w:left="1920"/>
        <w:spacing w:after="0" w:line="216" w:lineRule="auto"/>
        <w:rPr>
          <w:sz w:val="20"/>
          <w:szCs w:val="20"/>
          <w:color w:val="auto"/>
        </w:rPr>
      </w:pPr>
      <w:r>
        <w:rPr>
          <w:rFonts w:ascii="Arial" w:cs="Arial" w:eastAsia="Arial" w:hAnsi="Arial"/>
          <w:sz w:val="18"/>
          <w:szCs w:val="18"/>
          <w:color w:val="auto"/>
        </w:rPr>
        <w:t>and clerically tested the accrual calculation. We also reviewed invoices received and subsequent disbursements made after the balance sheet date to evaluate the completeness of the research and development expenses</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recognized.</w:t>
      </w:r>
    </w:p>
    <w:p>
      <w:pPr>
        <w:sectPr>
          <w:pgSz w:w="11900" w:h="16838" w:orient="portrait"/>
          <w:cols w:equalWidth="0" w:num="1">
            <w:col w:w="11220"/>
          </w:cols>
          <w:pgMar w:left="320" w:top="274" w:right="35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34" w:lineRule="auto"/>
        <w:rPr>
          <w:sz w:val="20"/>
          <w:szCs w:val="20"/>
          <w:color w:val="auto"/>
        </w:rPr>
      </w:pPr>
      <w:r>
        <w:rPr>
          <w:rFonts w:ascii="Arial" w:cs="Arial" w:eastAsia="Arial" w:hAnsi="Arial"/>
          <w:sz w:val="18"/>
          <w:szCs w:val="18"/>
          <w:color w:val="auto"/>
        </w:rPr>
        <w:t>Houston, Texas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2,434,528</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5,899,910</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553,034</w:t>
            </w:r>
          </w:p>
        </w:tc>
        <w:tc>
          <w:tcPr>
            <w:tcW w:w="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619,763</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2,987,562</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6,519,673</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35,412</w:t>
            </w:r>
          </w:p>
        </w:tc>
        <w:tc>
          <w:tcPr>
            <w:tcW w:w="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66,850</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3,022,974</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6,586,523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936,994</w:t>
            </w:r>
          </w:p>
        </w:tc>
        <w:tc>
          <w:tcPr>
            <w:tcW w:w="2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602,853</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352,419</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406,745</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Notes payable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221,866</w:t>
            </w:r>
          </w:p>
        </w:tc>
        <w:tc>
          <w:tcPr>
            <w:tcW w:w="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289,643</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1,511,279</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1,299,241</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line="183" w:lineRule="exact"/>
              <w:rPr>
                <w:sz w:val="20"/>
                <w:szCs w:val="20"/>
                <w:color w:val="auto"/>
              </w:rPr>
            </w:pPr>
            <w:r>
              <w:rPr>
                <w:rFonts w:ascii="Arial" w:cs="Arial" w:eastAsia="Arial" w:hAnsi="Arial"/>
                <w:sz w:val="18"/>
                <w:szCs w:val="18"/>
                <w:color w:val="auto"/>
              </w:rPr>
              <w:t>Preferred stock, $0.0001 par value; 10,000,000 shares authorized; none issued or</w:t>
            </w:r>
          </w:p>
        </w:tc>
        <w:tc>
          <w:tcPr>
            <w:tcW w:w="400" w:type="dxa"/>
            <w:vAlign w:val="bottom"/>
          </w:tcPr>
          <w:p>
            <w:pPr>
              <w:spacing w:after="0"/>
              <w:rPr>
                <w:sz w:val="15"/>
                <w:szCs w:val="15"/>
                <w:color w:val="auto"/>
              </w:rPr>
            </w:pPr>
          </w:p>
        </w:tc>
        <w:tc>
          <w:tcPr>
            <w:tcW w:w="16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42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Common stock, $0.0001 par value; 100,000,000 shares authorized; 1,441,157 and 492,304</w:t>
            </w: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and outstanding at December 31, 2024 and December 31, 2023, respectively</w:t>
            </w:r>
          </w:p>
        </w:tc>
        <w:tc>
          <w:tcPr>
            <w:tcW w:w="4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83,435,169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81,635,074</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(81,923,618)</w:t>
            </w:r>
          </w:p>
        </w:tc>
        <w:tc>
          <w:tcPr>
            <w:tcW w:w="2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(76,347,841)</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1,511,695</w:t>
            </w:r>
          </w:p>
        </w:tc>
        <w:tc>
          <w:tcPr>
            <w:tcW w:w="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5,287,282</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3,022,974</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6,586,523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5"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Twelve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770,027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7,173,747</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4,964,289</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5,721,197</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5,734,316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12,894,944</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(5,734,316)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(12,894,944)</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158,539</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352,251</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(5,575,777)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(12,542,693)</w:t>
            </w:r>
          </w:p>
        </w:tc>
      </w:tr>
      <w:tr>
        <w:trPr>
          <w:trHeight w:val="250"/>
        </w:trPr>
        <w:tc>
          <w:tcPr>
            <w:tcW w:w="6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Loss attributable to common stockholders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(5,575,777)</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(12,542,693)</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r>
      <w:tr>
        <w:trPr>
          <w:trHeight w:val="203"/>
        </w:trPr>
        <w:tc>
          <w:tcPr>
            <w:tcW w:w="67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Weighted-average number of common shares outstanding — basic and diluted</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962,210</w:t>
            </w: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408,078</w:t>
            </w:r>
          </w:p>
        </w:tc>
      </w:tr>
      <w:tr>
        <w:trPr>
          <w:trHeight w:val="21"/>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274" w:right="1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5"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Twelve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(5,575,777)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(12,542,693)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273,730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524,838</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 receivable writeoff</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1,480,490</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492,471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807,770</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(2,255,477)</w:t>
            </w:r>
          </w:p>
        </w:tc>
      </w:tr>
      <w:tr>
        <w:trPr>
          <w:trHeight w:val="230"/>
        </w:trPr>
        <w:tc>
          <w:tcPr>
            <w:tcW w:w="7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(1,001,116)</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(4,525,337)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(12,846,137)</w:t>
            </w:r>
          </w:p>
        </w:tc>
      </w:tr>
      <w:tr>
        <w:trPr>
          <w:trHeight w:val="75"/>
        </w:trPr>
        <w:tc>
          <w:tcPr>
            <w:tcW w:w="7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108"/>
        </w:trPr>
        <w:tc>
          <w:tcPr>
            <w:tcW w:w="78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6,920,529</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(280,917)</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1,059,955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6,639,612</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(3,465,382)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(6,206,525)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5,899,910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12,106,435</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2,434,528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5,899,910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1"/>
        </w:trPr>
        <w:tc>
          <w:tcPr>
            <w:tcW w:w="78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14,754</w:t>
            </w:r>
          </w:p>
        </w:tc>
      </w:tr>
      <w:tr>
        <w:trPr>
          <w:trHeight w:val="210"/>
        </w:trPr>
        <w:tc>
          <w:tcPr>
            <w:tcW w:w="78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premium financed by note payable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570,560</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0340"/>
          </w:cols>
          <w:pgMar w:left="320" w:top="274"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3600" w:type="dxa"/>
            <w:vAlign w:val="bottom"/>
            <w:gridSpan w:val="6"/>
          </w:tcPr>
          <w:p>
            <w:pPr>
              <w:ind w:left="300"/>
              <w:spacing w:after="0"/>
              <w:rPr>
                <w:sz w:val="20"/>
                <w:szCs w:val="20"/>
                <w:color w:val="auto"/>
              </w:rPr>
            </w:pPr>
            <w:r>
              <w:rPr>
                <w:rFonts w:ascii="Arial" w:cs="Arial" w:eastAsia="Arial" w:hAnsi="Arial"/>
                <w:sz w:val="18"/>
                <w:szCs w:val="18"/>
                <w:b w:val="1"/>
                <w:bCs w:val="1"/>
                <w:color w:val="auto"/>
              </w:rPr>
              <w:t>SALARIUS PHARMACEUTICALS, INC.</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800" w:type="dxa"/>
            <w:vAlign w:val="bottom"/>
            <w:gridSpan w:val="9"/>
          </w:tcPr>
          <w:p>
            <w:pPr>
              <w:ind w:left="1640"/>
              <w:spacing w:after="0"/>
              <w:rPr>
                <w:sz w:val="20"/>
                <w:szCs w:val="20"/>
                <w:color w:val="auto"/>
              </w:rPr>
            </w:pPr>
            <w:r>
              <w:rPr>
                <w:rFonts w:ascii="Arial" w:cs="Arial" w:eastAsia="Arial" w:hAnsi="Arial"/>
                <w:sz w:val="18"/>
                <w:szCs w:val="18"/>
                <w:b w:val="1"/>
                <w:bCs w:val="1"/>
                <w:color w:val="auto"/>
                <w:w w:val="98"/>
              </w:rPr>
              <w:t>CONSOLIDATED STATEMENTS OF STOCKHOLDERS' EQUITY (DEFICIT)</w:t>
            </w:r>
          </w:p>
        </w:tc>
        <w:tc>
          <w:tcPr>
            <w:tcW w:w="0" w:type="dxa"/>
            <w:vAlign w:val="bottom"/>
          </w:tcPr>
          <w:p>
            <w:pPr>
              <w:spacing w:after="0"/>
              <w:rPr>
                <w:sz w:val="1"/>
                <w:szCs w:val="1"/>
                <w:color w:val="auto"/>
              </w:rPr>
            </w:pPr>
          </w:p>
        </w:tc>
      </w:tr>
      <w:tr>
        <w:trPr>
          <w:trHeight w:val="469"/>
        </w:trPr>
        <w:tc>
          <w:tcPr>
            <w:tcW w:w="2800" w:type="dxa"/>
            <w:vAlign w:val="bottom"/>
          </w:tcPr>
          <w:p>
            <w:pPr>
              <w:spacing w:after="0"/>
              <w:rPr>
                <w:sz w:val="24"/>
                <w:szCs w:val="24"/>
                <w:color w:val="auto"/>
              </w:rPr>
            </w:pPr>
          </w:p>
        </w:tc>
        <w:tc>
          <w:tcPr>
            <w:tcW w:w="2180" w:type="dxa"/>
            <w:vAlign w:val="bottom"/>
            <w:gridSpan w:val="3"/>
            <w:vMerge w:val="restart"/>
          </w:tcPr>
          <w:p>
            <w:pPr>
              <w:jc w:val="right"/>
              <w:ind w:right="33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Additional</w:t>
            </w:r>
          </w:p>
        </w:tc>
        <w:tc>
          <w:tcPr>
            <w:tcW w:w="18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159"/>
        </w:trPr>
        <w:tc>
          <w:tcPr>
            <w:tcW w:w="2800" w:type="dxa"/>
            <w:vAlign w:val="bottom"/>
          </w:tcPr>
          <w:p>
            <w:pPr>
              <w:spacing w:after="0"/>
              <w:rPr>
                <w:sz w:val="13"/>
                <w:szCs w:val="13"/>
                <w:color w:val="auto"/>
              </w:rPr>
            </w:pPr>
          </w:p>
        </w:tc>
        <w:tc>
          <w:tcPr>
            <w:tcW w:w="2180" w:type="dxa"/>
            <w:vAlign w:val="bottom"/>
            <w:tcBorders>
              <w:bottom w:val="single" w:sz="8" w:color="auto"/>
            </w:tcBorders>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120"/>
              <w:spacing w:after="0" w:line="154" w:lineRule="exact"/>
              <w:rPr>
                <w:sz w:val="20"/>
                <w:szCs w:val="20"/>
                <w:color w:val="auto"/>
              </w:rPr>
            </w:pPr>
            <w:r>
              <w:rPr>
                <w:rFonts w:ascii="Arial" w:cs="Arial" w:eastAsia="Arial" w:hAnsi="Arial"/>
                <w:sz w:val="17"/>
                <w:szCs w:val="17"/>
                <w:b w:val="1"/>
                <w:bCs w:val="1"/>
                <w:color w:val="auto"/>
              </w:rPr>
              <w:t>Paid-In</w:t>
            </w: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Capital</w:t>
            </w:r>
          </w:p>
        </w:tc>
        <w:tc>
          <w:tcPr>
            <w:tcW w:w="18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281,987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74,189,728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(63,805,148)</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800" w:type="dxa"/>
            <w:vAlign w:val="bottom"/>
          </w:tcPr>
          <w:p>
            <w:pPr>
              <w:spacing w:after="0"/>
              <w:rPr>
                <w:sz w:val="20"/>
                <w:szCs w:val="20"/>
                <w:color w:val="auto"/>
              </w:rPr>
            </w:pPr>
            <w:r>
              <w:rPr>
                <w:rFonts w:ascii="Arial" w:cs="Arial" w:eastAsia="Arial" w:hAnsi="Arial"/>
                <w:sz w:val="18"/>
                <w:szCs w:val="18"/>
                <w:color w:val="auto"/>
              </w:rPr>
              <w:t>Issuance of equity securities, net</w:t>
            </w:r>
          </w:p>
        </w:tc>
        <w:tc>
          <w:tcPr>
            <w:tcW w:w="1200" w:type="dxa"/>
            <w:vAlign w:val="bottom"/>
          </w:tcPr>
          <w:p>
            <w:pPr>
              <w:jc w:val="right"/>
              <w:spacing w:after="0"/>
              <w:rPr>
                <w:sz w:val="20"/>
                <w:szCs w:val="20"/>
                <w:color w:val="auto"/>
              </w:rPr>
            </w:pPr>
            <w:r>
              <w:rPr>
                <w:rFonts w:ascii="Arial" w:cs="Arial" w:eastAsia="Arial" w:hAnsi="Arial"/>
                <w:sz w:val="18"/>
                <w:szCs w:val="18"/>
                <w:color w:val="auto"/>
              </w:rPr>
              <w:t>201,580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6,920,509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8"/>
                <w:szCs w:val="18"/>
                <w:color w:val="auto"/>
              </w:rPr>
              <w:t>Equity-based compensation</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8,737</w:t>
            </w:r>
          </w:p>
        </w:tc>
        <w:tc>
          <w:tcPr>
            <w:tcW w:w="2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524,837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expense</w:t>
            </w:r>
          </w:p>
        </w:tc>
        <w:tc>
          <w:tcPr>
            <w:tcW w:w="12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(12,542,693)</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b w:val="1"/>
                <w:bCs w:val="1"/>
                <w:color w:val="auto"/>
              </w:rPr>
              <w:t>Balance at December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492,304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81,635,074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(76,347,841)</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800" w:type="dxa"/>
            <w:vAlign w:val="bottom"/>
          </w:tcPr>
          <w:p>
            <w:pPr>
              <w:spacing w:after="0"/>
              <w:rPr>
                <w:sz w:val="20"/>
                <w:szCs w:val="20"/>
                <w:color w:val="auto"/>
              </w:rPr>
            </w:pPr>
            <w:r>
              <w:rPr>
                <w:rFonts w:ascii="Arial" w:cs="Arial" w:eastAsia="Arial" w:hAnsi="Arial"/>
                <w:sz w:val="18"/>
                <w:szCs w:val="18"/>
                <w:color w:val="auto"/>
              </w:rPr>
              <w:t>Issuance of equity securities, net</w:t>
            </w:r>
          </w:p>
        </w:tc>
        <w:tc>
          <w:tcPr>
            <w:tcW w:w="1200" w:type="dxa"/>
            <w:vAlign w:val="bottom"/>
          </w:tcPr>
          <w:p>
            <w:pPr>
              <w:jc w:val="right"/>
              <w:spacing w:after="0"/>
              <w:rPr>
                <w:sz w:val="20"/>
                <w:szCs w:val="20"/>
                <w:color w:val="auto"/>
              </w:rPr>
            </w:pPr>
            <w:r>
              <w:rPr>
                <w:rFonts w:ascii="Arial" w:cs="Arial" w:eastAsia="Arial" w:hAnsi="Arial"/>
                <w:sz w:val="18"/>
                <w:szCs w:val="18"/>
                <w:color w:val="auto"/>
              </w:rPr>
              <w:t>948,853</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1,526,365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8"/>
                <w:szCs w:val="18"/>
                <w:color w:val="auto"/>
              </w:rPr>
              <w:t>Equity-based compensation</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273,730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800" w:type="dxa"/>
            <w:vAlign w:val="bottom"/>
          </w:tcPr>
          <w:p>
            <w:pPr>
              <w:spacing w:after="0"/>
              <w:rPr>
                <w:sz w:val="20"/>
                <w:szCs w:val="20"/>
                <w:color w:val="auto"/>
              </w:rPr>
            </w:pPr>
            <w:r>
              <w:rPr>
                <w:rFonts w:ascii="Arial" w:cs="Arial" w:eastAsia="Arial" w:hAnsi="Arial"/>
                <w:sz w:val="18"/>
                <w:szCs w:val="18"/>
                <w:color w:val="auto"/>
              </w:rPr>
              <w:t>expense</w:t>
            </w:r>
          </w:p>
        </w:tc>
        <w:tc>
          <w:tcPr>
            <w:tcW w:w="12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20"/>
                <w:szCs w:val="20"/>
                <w:color w:val="auto"/>
              </w:rPr>
            </w:pPr>
          </w:p>
        </w:tc>
        <w:tc>
          <w:tcPr>
            <w:tcW w:w="1160" w:type="dxa"/>
            <w:vAlign w:val="bottom"/>
            <w:gridSpan w:val="2"/>
          </w:tcPr>
          <w:p>
            <w:pPr>
              <w:ind w:left="8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(5,575,777)</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b w:val="1"/>
                <w:bCs w:val="1"/>
                <w:color w:val="auto"/>
              </w:rPr>
              <w:t>Balance at December 31, 2024</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1,441,157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83,435,169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(81,923,618)</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-1645285</wp:posOffset>
            </wp:positionV>
            <wp:extent cx="603504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5040" cy="14541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-1233805</wp:posOffset>
            </wp:positionV>
            <wp:extent cx="603504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5040" cy="14605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-599440</wp:posOffset>
            </wp:positionV>
            <wp:extent cx="603504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5040" cy="26543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-187960</wp:posOffset>
            </wp:positionV>
            <wp:extent cx="603504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5040" cy="17145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-916305</wp:posOffset>
            </wp:positionV>
            <wp:extent cx="603504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5040" cy="17145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-1988185</wp:posOffset>
            </wp:positionV>
            <wp:extent cx="603504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5040" cy="171450"/>
                    </a:xfrm>
                    <a:prstGeom prst="rect">
                      <a:avLst/>
                    </a:prstGeom>
                    <a:noFill/>
                  </pic:spPr>
                </pic:pic>
              </a:graphicData>
            </a:graphic>
          </wp:anchor>
        </w:drawing>
      </w:r>
    </w:p>
    <w:p>
      <w:pPr>
        <w:spacing w:after="0" w:line="27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5"/>
        <w:spacing w:after="0"/>
        <w:rPr>
          <w:sz w:val="20"/>
          <w:szCs w:val="20"/>
          <w:color w:val="auto"/>
        </w:rPr>
      </w:pPr>
      <w:r>
        <w:rPr>
          <w:rFonts w:ascii="Arial" w:cs="Arial" w:eastAsia="Arial" w:hAnsi="Arial"/>
          <w:sz w:val="18"/>
          <w:szCs w:val="18"/>
          <w:b w:val="1"/>
          <w:bCs w:val="1"/>
          <w:color w:val="auto"/>
        </w:rPr>
        <w:t>Total</w:t>
      </w:r>
    </w:p>
    <w:p>
      <w:pPr>
        <w:ind w:left="185"/>
        <w:spacing w:after="0" w:line="203" w:lineRule="auto"/>
        <w:rPr>
          <w:sz w:val="20"/>
          <w:szCs w:val="20"/>
          <w:color w:val="auto"/>
        </w:rPr>
      </w:pPr>
      <w:r>
        <w:rPr>
          <w:rFonts w:ascii="Arial" w:cs="Arial" w:eastAsia="Arial" w:hAnsi="Arial"/>
          <w:sz w:val="18"/>
          <w:szCs w:val="18"/>
          <w:b w:val="1"/>
          <w:bCs w:val="1"/>
          <w:color w:val="auto"/>
        </w:rPr>
        <w:t>Stockholders'</w:t>
      </w:r>
    </w:p>
    <w:p>
      <w:pPr>
        <w:jc w:val="right"/>
        <w:spacing w:after="0"/>
        <w:rPr>
          <w:sz w:val="20"/>
          <w:szCs w:val="20"/>
          <w:color w:val="auto"/>
        </w:rPr>
      </w:pPr>
      <w:r>
        <w:rPr>
          <w:rFonts w:ascii="Arial" w:cs="Arial" w:eastAsia="Arial" w:hAnsi="Arial"/>
          <w:sz w:val="18"/>
          <w:szCs w:val="18"/>
          <w:b w:val="1"/>
          <w:bCs w:val="1"/>
          <w:u w:val="single" w:color="auto"/>
          <w:color w:val="auto"/>
        </w:rPr>
        <w:t>Equity (Deficit)</w:t>
      </w:r>
    </w:p>
    <w:p>
      <w:pPr>
        <w:spacing w:after="0" w:line="22" w:lineRule="exact"/>
        <w:rPr>
          <w:sz w:val="20"/>
          <w:szCs w:val="20"/>
          <w:color w:val="auto"/>
        </w:rPr>
      </w:pPr>
    </w:p>
    <w:p>
      <w:pPr>
        <w:ind w:left="465" w:hanging="465"/>
        <w:spacing w:after="0"/>
        <w:tabs>
          <w:tab w:leader="none" w:pos="46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10,384,608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41275</wp:posOffset>
            </wp:positionV>
            <wp:extent cx="840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96" w:lineRule="exact"/>
        <w:rPr>
          <w:sz w:val="20"/>
          <w:szCs w:val="20"/>
          <w:color w:val="auto"/>
        </w:rPr>
      </w:pPr>
    </w:p>
    <w:p>
      <w:pPr>
        <w:ind w:left="565"/>
        <w:spacing w:after="0"/>
        <w:rPr>
          <w:sz w:val="20"/>
          <w:szCs w:val="20"/>
          <w:color w:val="auto"/>
        </w:rPr>
      </w:pPr>
      <w:r>
        <w:rPr>
          <w:rFonts w:ascii="Arial" w:cs="Arial" w:eastAsia="Arial" w:hAnsi="Arial"/>
          <w:sz w:val="18"/>
          <w:szCs w:val="18"/>
          <w:color w:val="auto"/>
        </w:rPr>
        <w:t>6,920,529</w:t>
      </w:r>
    </w:p>
    <w:p>
      <w:pPr>
        <w:spacing w:after="0" w:line="212" w:lineRule="exact"/>
        <w:rPr>
          <w:sz w:val="20"/>
          <w:szCs w:val="20"/>
          <w:color w:val="auto"/>
        </w:rPr>
      </w:pPr>
    </w:p>
    <w:p>
      <w:pPr>
        <w:ind w:left="705"/>
        <w:spacing w:after="0"/>
        <w:rPr>
          <w:sz w:val="20"/>
          <w:szCs w:val="20"/>
          <w:color w:val="auto"/>
        </w:rPr>
      </w:pPr>
      <w:r>
        <w:rPr>
          <w:rFonts w:ascii="Arial" w:cs="Arial" w:eastAsia="Arial" w:hAnsi="Arial"/>
          <w:sz w:val="18"/>
          <w:szCs w:val="18"/>
          <w:color w:val="auto"/>
        </w:rPr>
        <w:t>524,838</w:t>
      </w:r>
    </w:p>
    <w:p>
      <w:pPr>
        <w:spacing w:after="0" w:line="32" w:lineRule="exact"/>
        <w:rPr>
          <w:sz w:val="20"/>
          <w:szCs w:val="20"/>
          <w:color w:val="auto"/>
        </w:rPr>
      </w:pPr>
    </w:p>
    <w:p>
      <w:pPr>
        <w:ind w:left="385"/>
        <w:spacing w:after="0"/>
        <w:rPr>
          <w:sz w:val="20"/>
          <w:szCs w:val="20"/>
          <w:color w:val="auto"/>
        </w:rPr>
      </w:pPr>
      <w:r>
        <w:rPr>
          <w:rFonts w:ascii="Arial" w:cs="Arial" w:eastAsia="Arial" w:hAnsi="Arial"/>
          <w:sz w:val="17"/>
          <w:szCs w:val="17"/>
          <w:color w:val="auto"/>
        </w:rPr>
        <w:t>(12,542,693)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19050</wp:posOffset>
            </wp:positionV>
            <wp:extent cx="840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8" w:lineRule="exact"/>
        <w:rPr>
          <w:sz w:val="20"/>
          <w:szCs w:val="20"/>
          <w:color w:val="auto"/>
        </w:rPr>
      </w:pPr>
    </w:p>
    <w:p>
      <w:pPr>
        <w:ind w:left="565" w:hanging="565"/>
        <w:spacing w:after="0"/>
        <w:tabs>
          <w:tab w:leader="none" w:pos="56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5,287,282</w:t>
      </w:r>
    </w:p>
    <w:p>
      <w:pPr>
        <w:spacing w:after="0" w:line="319" w:lineRule="exact"/>
        <w:rPr>
          <w:rFonts w:ascii="Arial" w:cs="Arial" w:eastAsia="Arial" w:hAnsi="Arial"/>
          <w:sz w:val="18"/>
          <w:szCs w:val="18"/>
          <w:b w:val="1"/>
          <w:bCs w:val="1"/>
          <w:color w:val="auto"/>
        </w:rPr>
      </w:pPr>
    </w:p>
    <w:p>
      <w:pPr>
        <w:ind w:left="565"/>
        <w:spacing w:after="0"/>
        <w:rPr>
          <w:rFonts w:ascii="Arial" w:cs="Arial" w:eastAsia="Arial" w:hAnsi="Arial"/>
          <w:sz w:val="18"/>
          <w:szCs w:val="18"/>
          <w:b w:val="1"/>
          <w:bCs w:val="1"/>
          <w:color w:val="auto"/>
        </w:rPr>
      </w:pPr>
      <w:r>
        <w:rPr>
          <w:rFonts w:ascii="Arial" w:cs="Arial" w:eastAsia="Arial" w:hAnsi="Arial"/>
          <w:sz w:val="18"/>
          <w:szCs w:val="18"/>
          <w:color w:val="auto"/>
        </w:rPr>
        <w:t>1,526,460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-316230</wp:posOffset>
            </wp:positionV>
            <wp:extent cx="8401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92" w:lineRule="exact"/>
        <w:rPr>
          <w:sz w:val="20"/>
          <w:szCs w:val="20"/>
          <w:color w:val="auto"/>
        </w:rPr>
      </w:pPr>
    </w:p>
    <w:p>
      <w:pPr>
        <w:ind w:left="705"/>
        <w:spacing w:after="0"/>
        <w:rPr>
          <w:sz w:val="20"/>
          <w:szCs w:val="20"/>
          <w:color w:val="auto"/>
        </w:rPr>
      </w:pPr>
      <w:r>
        <w:rPr>
          <w:rFonts w:ascii="Arial" w:cs="Arial" w:eastAsia="Arial" w:hAnsi="Arial"/>
          <w:sz w:val="18"/>
          <w:szCs w:val="18"/>
          <w:color w:val="auto"/>
        </w:rPr>
        <w:t>273,730</w:t>
      </w:r>
    </w:p>
    <w:p>
      <w:pPr>
        <w:spacing w:after="0" w:line="32" w:lineRule="exact"/>
        <w:rPr>
          <w:sz w:val="20"/>
          <w:szCs w:val="20"/>
          <w:color w:val="auto"/>
        </w:rPr>
      </w:pPr>
    </w:p>
    <w:p>
      <w:pPr>
        <w:ind w:left="485"/>
        <w:spacing w:after="0"/>
        <w:rPr>
          <w:sz w:val="20"/>
          <w:szCs w:val="20"/>
          <w:color w:val="auto"/>
        </w:rPr>
      </w:pPr>
      <w:r>
        <w:rPr>
          <w:rFonts w:ascii="Arial" w:cs="Arial" w:eastAsia="Arial" w:hAnsi="Arial"/>
          <w:sz w:val="17"/>
          <w:szCs w:val="17"/>
          <w:color w:val="auto"/>
        </w:rPr>
        <w:t>(5,575,777)</w:t>
      </w:r>
    </w:p>
    <w:p>
      <w:pPr>
        <w:spacing w:after="0" w:line="38" w:lineRule="exact"/>
        <w:rPr>
          <w:sz w:val="20"/>
          <w:szCs w:val="20"/>
          <w:color w:val="auto"/>
        </w:rPr>
      </w:pPr>
    </w:p>
    <w:p>
      <w:pPr>
        <w:ind w:left="565" w:hanging="565"/>
        <w:spacing w:after="0"/>
        <w:tabs>
          <w:tab w:leader="none" w:pos="56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1,511,695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43180</wp:posOffset>
            </wp:positionV>
            <wp:extent cx="8401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780" w:lineRule="exact"/>
        <w:rPr>
          <w:sz w:val="20"/>
          <w:szCs w:val="20"/>
          <w:color w:val="auto"/>
        </w:rPr>
      </w:pPr>
    </w:p>
    <w:p>
      <w:pPr>
        <w:sectPr>
          <w:pgSz w:w="11900" w:h="16838" w:orient="portrait"/>
          <w:cols w:equalWidth="0" w:num="2">
            <w:col w:w="8700" w:space="235"/>
            <w:col w:w="1405"/>
          </w:cols>
          <w:pgMar w:left="320" w:top="274" w:right="1239" w:bottom="1440" w:gutter="0" w:footer="0" w:header="0"/>
          <w:type w:val="continuous"/>
        </w:sect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274" w:right="1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that has been focused on developing effective treatments for patients with cancer with high, unmet medical need. Specifically, Salarius has been concentrated on developing treatments for cancers caused by dysregulated gene expression (i.e., genes which are incorrectly turned on or off). Salarius has two classes of drugs that address gene dysregulation: targeted protein inhibitors and targeted protein degraders. Salarius’ technologies have the potential to work in both liquid and solid tumors. Salarius’ current pipeline consists of two small molecule drugs: (1) SP-3164, a targeted protein degrader, and (2)</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seclidemstat (“SP-2577”), a targeted protein inhibitor. The Company is located in Houston, Texas. On August 8, 2023, the Company announced that it retained Canaccord Genuity, LLC to lead a comprehensive review of strategic alternatives focusing on maximizing</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stockholder value, including but not limited to, an acquisition, merger, reverse merger, divestiture of assets, licensing, or other strategic transactions involving the Company. In connection with the evaluation of strategic alternatives and in order to extend Company resources, the Company implemented multiple cost-savings plans to extend the Company’s expected cash runway into the later part of the second quarter of 2025.</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10, 2025, Salarius entered into an Agreement and Plan of Merger (the “Merger Agreement”) with Decoy Therapeutics MergerSub I, Inc., a Delaware corporation and a wholly owned subsidiary of Salarius (“First Merger Sub”), Decoy Therapeutics MergerSub II, LLC, a Delaware limited liability company and wholly owned subsidiary of Salarius (“Second Merger Sub”), and Decoy. Pursuant to the Merger Agreement, and subject to the satisfaction and waiver of certain conditions set forth in the Merger Agreement, Salarius will combine with Decoy (the “Merger”) by causing First Merger Sub to be merged with and into Decoy, with Decoy surviving the merger as a wholly owned subsidiary of Salarius (the “First Merger”). Immediately following the First Merger, Decoy will merge with and into Second Merger Sub,</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 xml:space="preserve">with Second Merger Sub being the surviving entity and continuing under the name “Decoy Therapeutics, LLC” as a wholly owned subsidiary of Salarius. See Note 11,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further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the Company is unable to consummate the Merger or obtain additional capital in the very near term, it will be forced to cease operations, liquidate its assets and pursue the winding down and dissolution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14, 2024, the Company filed a Certificate of Amendment to the Company’s restated certificate of incorporation, as amended, with the Secretary of State of the State of Delaware to effect a 1-for-8 reverse stock split of the Company’s issued and outstanding shares of common stock, par value $0.0001 per share (the “2024 Reverse Stock Split”) which became effective as of June 14, 2024.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“2022 Reverse Stock Split” and together with the 2024 Reverse Stock Split, the “Reverse Stock Splits”) which became effective as of October 14,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 historical share and per share amounts reflected throughout this report have been adjusted to reflect the Reverse Stock Splits.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considered its going concern disclosure requirements in accordance with ASC 205-40-50.The Company has performed an analysis and concluded substantial doubt exists with respect to the Company being able to continue as a going concern through one year from the date of issuance of the consolidated financial statements for the year ended December 31, 2024.</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during the twelve months ended December 31, 2024 and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The Company records revenue and a corresponding grants receivable when qualifying costs are incurred before the grants are received. The Company's CPRIT grant expired during 2023 and no additional amounts are expected to be recognized or received.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include expected volatility calculated based on implied volatility from traded stocks of peer companies, dividend yield and risk-free interest rate. Additionally, forfeitures are accounted for in compensation cost as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 maker, or CODM, in making decisions on how to allocate resources and assess performance. The CODM is the Company’s Chief Executive Officer. The Company views its operations as and manages its business in one operating segment, focused on the discovery and development therapeutics for patients with cancer with high, unmet medical need. The Company operates in one geographic segment. Segment information is further described in Note 10, “Segment Reporting”.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number of anti-dilutive shares, consisting of common shares underlying (i) common stock options, (ii) stock purchase warrants, (iii) unvested restricted stock and (iv) rights entitling holders to receive warrants to purchase the Company's common shares, which have been excluded from the computation of diluted loss per share, was 592,524 and 1,366,892 shares as of December 31, 2024 and 2023,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Income taxes are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2024 and 2023,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2023, the Financial Accounting Standards Board (FASB) issued Accounting Standards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 Improvements to Income Tax Disclosures</w:t>
      </w:r>
      <w:r>
        <w:rPr>
          <w:rFonts w:ascii="Arial" w:cs="Arial" w:eastAsia="Arial" w:hAnsi="Arial"/>
          <w:sz w:val="18"/>
          <w:szCs w:val="18"/>
          <w:color w:val="auto"/>
        </w:rPr>
        <w:t>, which is intended to improve the transparency of income tax disclosures by</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consistent categories and greater disaggregation of information in the effective tax rate reconciliation and income taxes paid by jurisdiction. The ASU is effective for public business entities for annual periods beginning after December 15, 2024, with early adoption permitted. The Company will adopt ASU No. 2023-09 prospectively in its fiscal year 2025.</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2024, the FASB issued ASU No. 2024-03, Income Statement - Reporting Comprehensive Income - Expense Disaggregation Disclosures (Subtopic 220-40): Disaggregation of Income Statement Expenses (“ASU No. 2024-03”), which requires disaggregated disclosure of certain costs and expenses, including purchases of inventory, employee compensation, depreciation, amortization and depletion, within relevant income statement captions. ASU No. 2024-03 is effective for annual periods beginning after December 15, 2026 and for interim periods beginning after December 15, 2027 on a retrospective or prospective basis, with early adoption permitted. The Company is evaluating the effect that ASU No. 2024-03 will have on its financial statement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November 2023, the Financial Accounting Standards Board (“FASB”) issued Accounting Standards Update (“ASU”) No. 2023-07, “</w:t>
      </w:r>
      <w:r>
        <w:rPr>
          <w:rFonts w:ascii="Arial" w:cs="Arial" w:eastAsia="Arial" w:hAnsi="Arial"/>
          <w:sz w:val="18"/>
          <w:szCs w:val="18"/>
          <w:i w:val="1"/>
          <w:iCs w:val="1"/>
          <w:color w:val="auto"/>
        </w:rPr>
        <w:t>Segment Reporting - Improvements to Reportable Segment Disclosures,</w:t>
      </w:r>
      <w:r>
        <w:rPr>
          <w:rFonts w:ascii="Arial" w:cs="Arial" w:eastAsia="Arial" w:hAnsi="Arial"/>
          <w:sz w:val="18"/>
          <w:szCs w:val="18"/>
          <w:color w:val="auto"/>
        </w:rPr>
        <w:t>” which requires disclosure of incremental segment information on an annual and interim basis and also requires companies with a single reportable segment to provide all disclosures required by this ASU</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all existing segment disclosures in Accounting Standard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The requirements of the ASU are effective for fiscal years beginning after December 15, 2023 and interim periods beginning after December 15, 2024. The adoption of the standard did not have a material impact on the Company's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 - Credit Losses, Derivatives and Hedging (Topic 815), and Financial Instruments (Topic 825),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was effective for the Company on January 1, 2023. The adoption of this standard did not have a material impact to this Company's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GRANTS RECEIVABLE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Grants receivable represents qualifying costs incurred where there is reasonable assurance that conditions of the grant have been met but the corresponding funds have not been received as of the reporting date. Grants receivable balances were $0 as of December 31, 2024 and December 31, 2023, respectively. The Company received $1.5 million from the Cancer Prevention and Research Institute of Texas on February 15, 2023.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8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6580" w:type="dxa"/>
            <w:vAlign w:val="bottom"/>
          </w:tcPr>
          <w:p>
            <w:pPr>
              <w:spacing w:after="0"/>
              <w:rPr>
                <w:sz w:val="20"/>
                <w:szCs w:val="20"/>
                <w:color w:val="auto"/>
              </w:rPr>
            </w:pPr>
            <w:r>
              <w:rPr>
                <w:rFonts w:ascii="Arial" w:cs="Arial" w:eastAsia="Arial" w:hAnsi="Arial"/>
                <w:sz w:val="18"/>
                <w:szCs w:val="18"/>
                <w:color w:val="auto"/>
              </w:rPr>
              <w:t>Prepaid   expenses   and   other   current   assets   at   December   31,</w:t>
            </w:r>
          </w:p>
        </w:tc>
        <w:tc>
          <w:tcPr>
            <w:tcW w:w="1920" w:type="dxa"/>
            <w:vAlign w:val="bottom"/>
            <w:gridSpan w:val="2"/>
          </w:tcPr>
          <w:p>
            <w:pPr>
              <w:jc w:val="right"/>
              <w:ind w:right="110"/>
              <w:spacing w:after="0"/>
              <w:rPr>
                <w:sz w:val="20"/>
                <w:szCs w:val="20"/>
                <w:color w:val="auto"/>
              </w:rPr>
            </w:pPr>
            <w:r>
              <w:rPr>
                <w:rFonts w:ascii="Arial" w:cs="Arial" w:eastAsia="Arial" w:hAnsi="Arial"/>
                <w:sz w:val="18"/>
                <w:szCs w:val="18"/>
                <w:color w:val="auto"/>
              </w:rPr>
              <w:t>2024   and   2023</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9"/>
              </w:rPr>
              <w:t>consisted</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of</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the   following:</w:t>
            </w: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3"/>
                <w:szCs w:val="23"/>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2024</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28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58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7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287,785</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Deferred offering cost</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221,580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7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78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553,034</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Prepaid insurance is mainly comprised of prepaid directors' and officers' insurance. In July 2024 and 2023, the Company financed its directors and officers' insurance premium with a short term note the principal amount of which is approximately $0.4 million and $0.6 million bearing interest at a rate of 9.74% and 7.87%, respectively. The note payable balance, which was included within Current Liabilities on the Consolidated Balance Sheet was $0.2 million and $0.3 million as of December 31, 2024 and 2023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Cancer Prevention and Research Institute of Texas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further modified to $16.1 million to fund development of LSD 1 inhibitor. The grant expired during 2023.</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3-Significant unobservable inputs including Salarius’ own assumptions in determining fair value.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760" w:firstLine="8"/>
        <w:spacing w:after="0" w:line="500" w:lineRule="auto"/>
        <w:tabs>
          <w:tab w:leader="none" w:pos="2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 Issuances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5, 2021, the Company entered into an At the Market Offering Agreement ("ATM") with Ladenburg Thalmann &amp; Co. Inc. Under this agreement the Company is able to issue and sell, from time to time, shares of its common stock. On February 5, 2021 and July 2, 2021, the Company filed prospectus supplements with the SEC to register the offering and sale of Common Stock having an aggregate offering price of up to $6.3 million and $25.0 million, respectively. During the twelve months ended December 31, 2024 and 2023, the Company sold 608,949 and 87,034 shares of common stock under the At the Market Offering Agreement with gross proceeds of $1.7 million and $1.7 million, respectively.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11, 2023, the Company entered into a Securities Purchase Agreement (the “Purchase Agreement”) with an accredited investor (the “Investor”), pursuant to which the Company agreed to issue and sell to the Investor in a private placement (the “Offering”) (i) 41,250 shares (the “Shares”) of the Company’s common stock, par $0.0001 per share (the “Common Stock”), (ii) pre-funded warrants (the “Pre-Funded Warrants”) to purchase up to 413,296 shares of Common Stock, (iii) Series A-1 warrants (the “Series A-1 Warrants”) to purchase up to 454,546 shares of Common Stock and (iv) Series A-2 warrants (the “Series A-2 Warrants”) and together with the Series A-1 Warrants, the “Common Stock Warrants,” and together with the Pre-Funded Warrants, the “Warrants”) to purchase up to 454,546 shares of Common Stock, at a purchase price of (a) $13.2 per Share and accompanying Common Stock Warrants and (b) $13.1992 per Pre-Funded Warrant and accompanying Common Stock Warrants. The aggregate gross proceeds from the Offering were approximately $6 million, exclusive of placement agent fees and expenses and other offering expenses. The Offering closed on May 16, 2023. All of the Series A-2 Warrants had expired as of December 31,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of Pre-Funded Warrants were fully exercised as of December 31,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12, 2024, the Company entered into a securities purchase agreement (the “Purchase Agreement”) with C/M Capital Master Fund, LP (the “Purchaser”), pursuant to which the Company, subject to the restrictions and satisfaction of the conditions in the Purchase Agreement, has the right, but not the obligation, to sell to the Purchaser, and the Purchaser is obligated to purchase, up to the lesser of (i) $10 million of newly issued shares (the “Purchase Shares”) of the Company’s common stock, $0.0001 par value per share (the “Common Stock”) and (ii) a specified cap dictated by the rules of the Nasdaq Stock Market. As consideration for the Purchaser’s execution and delivery of the Purchase Agreement, the Company has agreed to issue to the Purchaser, simultaneously with the delivery of any and all Purchase Shares purchased under the Purchase Agreement, a number of shares of Common Stock equal to one percent (1%) of the number of Purchase Shares actually sold in each sale under the Purchase Agreement (the “Commitment Shares” and, together with the Purchase Shares, the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five-year warrants outstanding that were issued in February 2020 and subsequently modified in December 2020 in connection with the issuance of additional inducement warrants. The warrants are exercisable at a price per share of $230.00. The inducement warrants expire on June 11, 2026, and are exercisable at a price per share of $236.40. The Company has 35,023 warrants outstanding that were issued in April 2022, with an exercise price of $67.98 per share. The warrants were exercisable six months following the issuance date and will expire five and one-half years from the issuance date. During the twelve months ended December 31, 2024 and 2023, no warrants were exercised.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2023, the Company issued Series A-1 Warrants that are exercisable for a period of five and one-half (5.5) years from the issuance date at an exercise price of $ 11.2 per share. Series A-2 Warrants are exercisable for a period of eighteen (18) months from the issuance date at an exercise price of $11.2 per share. Each Pre-Funded Warrant was sold in lieu of shares of Common Stock, are exercisable immediately upon issuance, have an exercise price of $ 0.0001 per share and expire when exercised in full. During the twelve months ended December 31, 2024 and 2023, no Series A-1 or A-2 warrants were exercised. All of the Series A-2 Warrants had expired as of December 31, 2024.</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above mentioned Offering, the Company issued warrants to its exclusive placement agency H.C Wainwright &amp; Co., LLC to purchase up to 31,818 shares of common stock at an exercise price per share of $16.5 and a term of five and one-half (5.5) years. During the twelve months ended December 31, 2024 and 2023, no warrants were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and 2023, approximately 560,839 and 1,355,598 warrants remained outstanding, respectively.</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The terms of the warrants could also impede the Company's ability to enter into certain transactions or obtain additional financing in the future.</w:t>
      </w:r>
    </w:p>
    <w:p>
      <w:pPr>
        <w:spacing w:after="0" w:line="190" w:lineRule="exact"/>
        <w:rPr>
          <w:sz w:val="20"/>
          <w:szCs w:val="20"/>
          <w:color w:val="auto"/>
        </w:rPr>
      </w:pPr>
    </w:p>
    <w:p>
      <w:pPr>
        <w:ind w:right="8180" w:firstLine="8"/>
        <w:spacing w:after="0" w:line="530" w:lineRule="auto"/>
        <w:tabs>
          <w:tab w:leader="none" w:pos="2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 Equity Incentive Plans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December 31, 2024 and 2023, there were 9,844 and 10,542 shares, respectively, remaining available for the grant of stock option under the 2015 Plan. The 2015 Plan expired in accordance with its terms in January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twelve months ended December 31, 2024 and 2023, the Company awarded 21,125 and 0, respectively,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of $0.1 million has been estimated with the following assumptions for the year ended December 31, 2024:</w:t>
      </w:r>
    </w:p>
    <w:p>
      <w:pPr>
        <w:spacing w:after="0" w:line="225"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3740" w:type="dxa"/>
            <w:vAlign w:val="bottom"/>
            <w:shd w:val="clear" w:color="auto" w:fill="CCEEFF"/>
          </w:tcPr>
          <w:p>
            <w:pPr>
              <w:spacing w:after="0"/>
              <w:rPr>
                <w:sz w:val="19"/>
                <w:szCs w:val="19"/>
                <w:color w:val="auto"/>
              </w:rPr>
            </w:pPr>
          </w:p>
        </w:tc>
        <w:tc>
          <w:tcPr>
            <w:tcW w:w="3440" w:type="dxa"/>
            <w:vAlign w:val="bottom"/>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2024</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440" w:type="dxa"/>
            <w:vAlign w:val="bottom"/>
          </w:tcPr>
          <w:p>
            <w:pPr>
              <w:jc w:val="right"/>
              <w:spacing w:after="0"/>
              <w:rPr>
                <w:sz w:val="20"/>
                <w:szCs w:val="20"/>
                <w:color w:val="auto"/>
              </w:rPr>
            </w:pPr>
            <w:r>
              <w:rPr>
                <w:rFonts w:ascii="Arial" w:cs="Arial" w:eastAsia="Arial" w:hAnsi="Arial"/>
                <w:sz w:val="18"/>
                <w:szCs w:val="18"/>
                <w:color w:val="auto"/>
              </w:rPr>
              <w:t>4.25%-4.61%</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 - 123.31%</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3440" w:type="dxa"/>
            <w:vAlign w:val="bottom"/>
          </w:tcPr>
          <w:p>
            <w:pPr>
              <w:jc w:val="right"/>
              <w:spacing w:after="0"/>
              <w:rPr>
                <w:sz w:val="20"/>
                <w:szCs w:val="20"/>
                <w:color w:val="auto"/>
              </w:rPr>
            </w:pPr>
            <w:r>
              <w:rPr>
                <w:rFonts w:ascii="Arial" w:cs="Arial" w:eastAsia="Arial" w:hAnsi="Arial"/>
                <w:sz w:val="18"/>
                <w:szCs w:val="18"/>
                <w:color w:val="auto"/>
              </w:rPr>
              <w:t>5 -6 years</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twelve months ended December 31, 2024 and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1"/>
        </w:trPr>
        <w:tc>
          <w:tcPr>
            <w:tcW w:w="5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Weighted-</w:t>
            </w:r>
          </w:p>
        </w:tc>
        <w:tc>
          <w:tcPr>
            <w:tcW w:w="154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4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Contractual</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Exercise Price</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Term (in years)</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December 31, 2022</w:t>
            </w: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Outstanding at December 31, 2023</w:t>
            </w:r>
          </w:p>
        </w:tc>
        <w:tc>
          <w:tcPr>
            <w:tcW w:w="1420" w:type="dxa"/>
            <w:vAlign w:val="bottom"/>
          </w:tcPr>
          <w:p>
            <w:pPr>
              <w:jc w:val="right"/>
              <w:spacing w:after="0"/>
              <w:rPr>
                <w:sz w:val="20"/>
                <w:szCs w:val="20"/>
                <w:color w:val="auto"/>
              </w:rPr>
            </w:pPr>
            <w:r>
              <w:rPr>
                <w:rFonts w:ascii="Arial" w:cs="Arial" w:eastAsia="Arial" w:hAnsi="Arial"/>
                <w:sz w:val="18"/>
                <w:szCs w:val="18"/>
                <w:color w:val="auto"/>
              </w:rPr>
              <w:t>11,164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at December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500" w:type="dxa"/>
            <w:vAlign w:val="bottom"/>
          </w:tcPr>
          <w:p>
            <w:pPr>
              <w:jc w:val="right"/>
              <w:spacing w:after="0"/>
              <w:rPr>
                <w:sz w:val="20"/>
                <w:szCs w:val="20"/>
                <w:color w:val="auto"/>
              </w:rPr>
            </w:pPr>
            <w:r>
              <w:rPr>
                <w:rFonts w:ascii="Arial" w:cs="Arial" w:eastAsia="Arial" w:hAnsi="Arial"/>
                <w:sz w:val="18"/>
                <w:szCs w:val="18"/>
                <w:color w:val="auto"/>
                <w:w w:val="97"/>
              </w:rPr>
              <w:t>2023:</w:t>
            </w:r>
          </w:p>
        </w:tc>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Exercisable at December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9,435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203.06</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and 2023, there was approximately $0.1 million and $0.3 million of total unrecognized compensation cost, respectively, related to unvested stock options. Total unrecognized compensation cost will be adjusted for future changes in employee and non-employee forfeitures, if any. The Company expects to recognize that cost over a remaining weighted-average period of 0.51 years.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no current or deferred tax expense due to its current year loss and its overall net operating loss position. A reconciliation of the federal statutory tax rate and the effective tax rates for the year ended December 31, 2024 and 2023 is as follows:</w:t>
      </w:r>
    </w:p>
    <w:p>
      <w:pPr>
        <w:spacing w:after="0" w:line="199" w:lineRule="exact"/>
        <w:rPr>
          <w:sz w:val="20"/>
          <w:szCs w:val="20"/>
          <w:color w:val="auto"/>
        </w:rPr>
      </w:pPr>
    </w:p>
    <w:tbl>
      <w:tblPr>
        <w:tblLayout w:type="fixed"/>
        <w:tblInd w:w="880" w:type="dxa"/>
        <w:tblCellMar>
          <w:top w:w="0" w:type="dxa"/>
          <w:left w:w="0" w:type="dxa"/>
          <w:bottom w:w="0" w:type="dxa"/>
          <w:right w:w="0" w:type="dxa"/>
        </w:tblCellMar>
      </w:tblPr>
      <w:tr>
        <w:trPr>
          <w:trHeight w:val="229"/>
        </w:trPr>
        <w:tc>
          <w:tcPr>
            <w:tcW w:w="50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50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9"/>
              </w:rPr>
              <w:t>2024</w:t>
            </w:r>
          </w:p>
        </w:tc>
        <w:tc>
          <w:tcPr>
            <w:tcW w:w="29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9"/>
              </w:rPr>
              <w:t>2023</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5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rPr>
              <w:t>21.00%</w:t>
            </w:r>
          </w:p>
        </w:tc>
        <w:tc>
          <w:tcPr>
            <w:tcW w:w="29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8"/>
              </w:rPr>
              <w:t>21.00%</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Permanent</w:t>
            </w:r>
          </w:p>
        </w:tc>
        <w:tc>
          <w:tcPr>
            <w:tcW w:w="1580" w:type="dxa"/>
            <w:vAlign w:val="bottom"/>
          </w:tcPr>
          <w:p>
            <w:pPr>
              <w:jc w:val="center"/>
              <w:ind w:left="550"/>
              <w:spacing w:after="0"/>
              <w:rPr>
                <w:sz w:val="20"/>
                <w:szCs w:val="20"/>
                <w:color w:val="auto"/>
              </w:rPr>
            </w:pPr>
            <w:r>
              <w:rPr>
                <w:rFonts w:ascii="Arial" w:cs="Arial" w:eastAsia="Arial" w:hAnsi="Arial"/>
                <w:sz w:val="18"/>
                <w:szCs w:val="18"/>
                <w:color w:val="auto"/>
                <w:w w:val="98"/>
              </w:rPr>
              <w:t>(0.83)%</w:t>
            </w:r>
          </w:p>
        </w:tc>
        <w:tc>
          <w:tcPr>
            <w:tcW w:w="2900" w:type="dxa"/>
            <w:vAlign w:val="bottom"/>
          </w:tcPr>
          <w:p>
            <w:pPr>
              <w:jc w:val="center"/>
              <w:ind w:left="570"/>
              <w:spacing w:after="0"/>
              <w:rPr>
                <w:sz w:val="20"/>
                <w:szCs w:val="20"/>
                <w:color w:val="auto"/>
              </w:rPr>
            </w:pPr>
            <w:r>
              <w:rPr>
                <w:rFonts w:ascii="Arial" w:cs="Arial" w:eastAsia="Arial" w:hAnsi="Arial"/>
                <w:sz w:val="18"/>
                <w:szCs w:val="18"/>
                <w:color w:val="auto"/>
              </w:rPr>
              <w:t>(0.89)%</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5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rPr>
              <w:t>(21.51)%</w:t>
            </w:r>
          </w:p>
        </w:tc>
        <w:tc>
          <w:tcPr>
            <w:tcW w:w="29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8"/>
              </w:rPr>
              <w:t>(22.77)%</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True Ups</w:t>
            </w:r>
          </w:p>
        </w:tc>
        <w:tc>
          <w:tcPr>
            <w:tcW w:w="1580" w:type="dxa"/>
            <w:vAlign w:val="bottom"/>
          </w:tcPr>
          <w:p>
            <w:pPr>
              <w:jc w:val="center"/>
              <w:ind w:left="550"/>
              <w:spacing w:after="0"/>
              <w:rPr>
                <w:sz w:val="20"/>
                <w:szCs w:val="20"/>
                <w:color w:val="auto"/>
              </w:rPr>
            </w:pPr>
            <w:r>
              <w:rPr>
                <w:rFonts w:ascii="Arial" w:cs="Arial" w:eastAsia="Arial" w:hAnsi="Arial"/>
                <w:sz w:val="18"/>
                <w:szCs w:val="18"/>
                <w:color w:val="auto"/>
                <w:w w:val="99"/>
              </w:rPr>
              <w:t>—%</w:t>
            </w:r>
          </w:p>
        </w:tc>
        <w:tc>
          <w:tcPr>
            <w:tcW w:w="2900" w:type="dxa"/>
            <w:vAlign w:val="bottom"/>
          </w:tcPr>
          <w:p>
            <w:pPr>
              <w:jc w:val="center"/>
              <w:ind w:left="550"/>
              <w:spacing w:after="0"/>
              <w:rPr>
                <w:sz w:val="20"/>
                <w:szCs w:val="20"/>
                <w:color w:val="auto"/>
              </w:rPr>
            </w:pPr>
            <w:r>
              <w:rPr>
                <w:rFonts w:ascii="Arial" w:cs="Arial" w:eastAsia="Arial" w:hAnsi="Arial"/>
                <w:sz w:val="18"/>
                <w:szCs w:val="18"/>
                <w:color w:val="auto"/>
                <w:w w:val="99"/>
              </w:rPr>
              <w:t>—%</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Credit</w:t>
            </w:r>
          </w:p>
        </w:tc>
        <w:tc>
          <w:tcPr>
            <w:tcW w:w="158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7"/>
              </w:rPr>
              <w:t>1.34%</w:t>
            </w:r>
          </w:p>
        </w:tc>
        <w:tc>
          <w:tcPr>
            <w:tcW w:w="29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rPr>
              <w:t>2.66%</w:t>
            </w:r>
          </w:p>
        </w:tc>
      </w:tr>
      <w:tr>
        <w:trPr>
          <w:trHeight w:val="250"/>
        </w:trPr>
        <w:tc>
          <w:tcPr>
            <w:tcW w:w="50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8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c>
          <w:tcPr>
            <w:tcW w:w="2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were as follows:</w:t>
      </w:r>
    </w:p>
    <w:p>
      <w:pPr>
        <w:spacing w:after="0" w:line="257" w:lineRule="exact"/>
        <w:rPr>
          <w:sz w:val="20"/>
          <w:szCs w:val="20"/>
          <w:color w:val="auto"/>
        </w:rPr>
      </w:pPr>
    </w:p>
    <w:tbl>
      <w:tblPr>
        <w:tblLayout w:type="fixed"/>
        <w:tblInd w:w="2040" w:type="dxa"/>
        <w:tblCellMar>
          <w:top w:w="0" w:type="dxa"/>
          <w:left w:w="0" w:type="dxa"/>
          <w:bottom w:w="0" w:type="dxa"/>
          <w:right w:w="0" w:type="dxa"/>
        </w:tblCellMar>
      </w:tblPr>
      <w:tr>
        <w:trPr>
          <w:trHeight w:val="229"/>
        </w:trPr>
        <w:tc>
          <w:tcPr>
            <w:tcW w:w="3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vMerge w:val="restart"/>
          </w:tcPr>
          <w:p>
            <w:pPr>
              <w:ind w:left="20"/>
              <w:spacing w:after="0"/>
              <w:rPr>
                <w:sz w:val="20"/>
                <w:szCs w:val="20"/>
                <w:color w:val="auto"/>
              </w:rPr>
            </w:pPr>
            <w:r>
              <w:rPr>
                <w:rFonts w:ascii="Arial" w:cs="Arial" w:eastAsia="Arial" w:hAnsi="Arial"/>
                <w:sz w:val="18"/>
                <w:szCs w:val="18"/>
                <w:color w:val="auto"/>
              </w:rPr>
              <w:t>Capitalized R&amp;D Expenses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370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4,565,699</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5,610,221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Deferred Items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43,982</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44,193</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437,328</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455,192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 US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8,349,314</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6,161,916</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R&amp;D Credits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3,701,895</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3,627,377</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17,098,218</w:t>
            </w:r>
          </w:p>
        </w:tc>
        <w:tc>
          <w:tcPr>
            <w:tcW w:w="6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15,898,899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(17,098,218)</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(15,898,899)</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assets (liabilities)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valuation allowance recorded by the Company as of December 31, 2024 and December 31, 2023 resulted from the uncertainties of the future utilization of deferred tax assets relating from NOL carry forwards for federal and state income tax purposes. Realization of the NOL carry forwards is contingent on future taxable earnings. The deferred tax asset was reviewed for expected utilization using a “more likely than not” approach by assessing the available positive and negative evidence surrounding its recoverability. Accordingly, a full valuation allowance continues to be recorded against the Company’s deferred tax asset, as it was determined based upon past and projected future losses that it was “more likely than not” that the Company’s deferred tax assets would not be realized. In future years, if the deferred tax assets are determined by management to be “more likely than not” to be realized, the recognized tax benefits relating to the reversal of the valuation allowance will be recorded. The Company will continue to assess and evaluate strategies that will enable the deferred tax asset, or portion thereof, to be utilized, and will reduce the valuation allowance appropriately as such time when it is determined that the “more likely than not” criteria is satisfied.</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federal net operating loss carryforwards of $ 39.8 million have an indefinite life, but the R&amp;D credits of $3.5 million begin to expire in 2039. Due to the change in ownership provisions of the Internal Revenue Code, the availability of the Company’s net operating loss carry forwards could be subject to annual limitations against taxable income in future periods, which could substantially limit the eventual utilization of such carry forwards. The Company has not analyzed the historical or potential impact of its equity financings on beneficial ownership and therefore no determination has been made whether the net operating loss carry forward is subject to any Internal Revenue Code Section 382 limitation. To the extent there is a limitation, there could be a reduction in the deferred tax asset with an offsetting reduction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an interest and penalties expense in the current year. There were no uncertain tax positions that require accrual or disclosure to the financial statements as of December 31,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200" w:lineRule="exact"/>
        <w:rPr>
          <w:sz w:val="20"/>
          <w:szCs w:val="20"/>
          <w:color w:val="auto"/>
        </w:rPr>
      </w:pPr>
    </w:p>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been concentrated on developing treatments for cancers caused by dysregulated gene expression. The current pipeline consists of two small molecule drugs: (1) SP-3164, a targeted protein degrader, and (2) seclidemstat (“SP-2577”), a targeted protein inhibitor. The Company does not have any revenue generating products.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year ended December 31, 2024 and December 31, 2023, the Company identified one operating and reportable segment relating to its operations. The Company defines its operating segment based on internally reported financial information that is regularly reviewed by the Chief Operating Decision Maker (the CODM), its Chief Executive Officer. The CODM reviews the segment’s loss based on net loss reported on the consolidated statement of operations.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CODM views specific categories within research and development expenses and general and administrative expenses as significant given the direct correlation between cash burn as a pre-revenue company. The table below is a summary of the segment loss, including significant segment expenses:</w:t>
      </w:r>
    </w:p>
    <w:p>
      <w:pPr>
        <w:spacing w:after="0" w:line="11" w:lineRule="exact"/>
        <w:rPr>
          <w:sz w:val="20"/>
          <w:szCs w:val="20"/>
          <w:color w:val="auto"/>
        </w:rPr>
      </w:pPr>
    </w:p>
    <w:p>
      <w:pPr>
        <w:ind w:left="6360"/>
        <w:spacing w:after="0"/>
        <w:rPr>
          <w:sz w:val="20"/>
          <w:szCs w:val="20"/>
          <w:color w:val="auto"/>
        </w:rPr>
      </w:pPr>
      <w:r>
        <w:rPr>
          <w:rFonts w:ascii="Arial" w:cs="Arial" w:eastAsia="Arial" w:hAnsi="Arial"/>
          <w:sz w:val="22"/>
          <w:szCs w:val="2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-158750</wp:posOffset>
            </wp:positionV>
            <wp:extent cx="48863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86325" cy="188595"/>
                    </a:xfrm>
                    <a:prstGeom prst="rect">
                      <a:avLst/>
                    </a:prstGeom>
                    <a:noFill/>
                  </pic:spPr>
                </pic:pic>
              </a:graphicData>
            </a:graphic>
          </wp:anchor>
        </w:drawing>
      </w:r>
    </w:p>
    <w:p>
      <w:pPr>
        <w:spacing w:after="0" w:line="34" w:lineRule="exact"/>
        <w:rPr>
          <w:sz w:val="20"/>
          <w:szCs w:val="20"/>
          <w:color w:val="auto"/>
        </w:rPr>
      </w:pPr>
    </w:p>
    <w:tbl>
      <w:tblPr>
        <w:tblLayout w:type="fixed"/>
        <w:tblInd w:w="1780" w:type="dxa"/>
        <w:tblCellMar>
          <w:top w:w="0" w:type="dxa"/>
          <w:left w:w="0" w:type="dxa"/>
          <w:bottom w:w="0" w:type="dxa"/>
          <w:right w:w="0" w:type="dxa"/>
        </w:tblCellMar>
      </w:tblPr>
      <w:tr>
        <w:trPr>
          <w:trHeight w:val="248"/>
        </w:trPr>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71"/>
        </w:trPr>
        <w:tc>
          <w:tcPr>
            <w:tcW w:w="3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2"/>
        </w:trPr>
        <w:tc>
          <w:tcPr>
            <w:tcW w:w="3780" w:type="dxa"/>
            <w:vAlign w:val="bottom"/>
          </w:tcPr>
          <w:p>
            <w:pPr>
              <w:ind w:left="120"/>
              <w:spacing w:after="0"/>
              <w:rPr>
                <w:sz w:val="20"/>
                <w:szCs w:val="20"/>
                <w:color w:val="auto"/>
              </w:rPr>
            </w:pPr>
            <w:r>
              <w:rPr>
                <w:rFonts w:ascii="Arial" w:cs="Arial" w:eastAsia="Arial" w:hAnsi="Arial"/>
                <w:sz w:val="18"/>
                <w:szCs w:val="18"/>
                <w:color w:val="auto"/>
              </w:rPr>
              <w:t>SP-3164</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345,580</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4,129,308</w:t>
            </w:r>
          </w:p>
        </w:tc>
      </w:tr>
      <w:tr>
        <w:trPr>
          <w:trHeight w:val="261"/>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SP-2577</w:t>
            </w: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424,447</w:t>
            </w: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3,044,439</w:t>
            </w:r>
          </w:p>
        </w:tc>
      </w:tr>
      <w:tr>
        <w:trPr>
          <w:trHeight w:val="252"/>
        </w:trPr>
        <w:tc>
          <w:tcPr>
            <w:tcW w:w="3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1"/>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Professional services and Consulting</w:t>
            </w: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2,692,815</w:t>
            </w: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2,456,319</w:t>
            </w:r>
          </w:p>
        </w:tc>
      </w:tr>
      <w:tr>
        <w:trPr>
          <w:trHeight w:val="252"/>
        </w:trPr>
        <w:tc>
          <w:tcPr>
            <w:tcW w:w="3780" w:type="dxa"/>
            <w:vAlign w:val="bottom"/>
          </w:tcPr>
          <w:p>
            <w:pPr>
              <w:ind w:left="120"/>
              <w:spacing w:after="0"/>
              <w:rPr>
                <w:sz w:val="20"/>
                <w:szCs w:val="20"/>
                <w:color w:val="auto"/>
              </w:rPr>
            </w:pPr>
            <w:r>
              <w:rPr>
                <w:rFonts w:ascii="Arial" w:cs="Arial" w:eastAsia="Arial" w:hAnsi="Arial"/>
                <w:sz w:val="18"/>
                <w:szCs w:val="18"/>
                <w:color w:val="auto"/>
              </w:rPr>
              <w:t>Personnel cost</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1,472,811</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1,658,839</w:t>
            </w:r>
          </w:p>
        </w:tc>
      </w:tr>
      <w:tr>
        <w:trPr>
          <w:trHeight w:val="261"/>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Facility cost and other</w:t>
            </w:r>
          </w:p>
        </w:tc>
        <w:tc>
          <w:tcPr>
            <w:tcW w:w="2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798,663</w:t>
            </w:r>
          </w:p>
        </w:tc>
        <w:tc>
          <w:tcPr>
            <w:tcW w:w="2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1,606,039</w:t>
            </w:r>
          </w:p>
        </w:tc>
      </w:tr>
      <w:tr>
        <w:trPr>
          <w:trHeight w:val="245"/>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5,734,316</w:t>
            </w: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12,894,944</w:t>
            </w:r>
          </w:p>
        </w:tc>
      </w:tr>
      <w:tr>
        <w:trPr>
          <w:trHeight w:val="255"/>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158,539</w:t>
            </w:r>
          </w:p>
        </w:tc>
        <w:tc>
          <w:tcPr>
            <w:tcW w:w="2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352,251</w:t>
            </w:r>
          </w:p>
        </w:tc>
      </w:tr>
      <w:tr>
        <w:trPr>
          <w:trHeight w:val="264"/>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5,575,777</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12,542,693</w:t>
            </w: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10, 2025, we entered into an Agreement and Plan of Merger (the “Merger Agreement”) with Decoy Therapeutics MergerSub I, Inc., a Delaware corporation and a wholly owned subsidiary of the Company (“First Merger Sub”), Decoy Therapeutics MergerSub II, LLC, a Delaware limited liability company and wholly owned subsidiary of the Company (“Second Merger Sub”), and Decoy. Pursuant to the Merger Agreement, the Company will combine with Decoy (the “Merger”) by causing First Merger Sub to be merged with and into Decoy, with Decoy surviving the merger as a wholly owned subsidiary of the Company (the “First Merger”). Immediately following the First Merger, Decoy will merge with and into Second Merger Sub, with Second Merger Sub being the surviving entity and continuing under the name “Decoy Therapeutics, LLC” as a wholly-owned subsidiary of the Company.</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Merger is structured as a stock-for-stock transaction pursuant to which all of Decoy’s outstanding equity interests will be exchanged based on an exchange ratio for consideration of a combination of (a) shares of the Company’s common stock par value $0.0001 (the “Common Stock”) in an amount up to (i) 19.9% of the Company’s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shares outstanding as of January 10, 2025 minus (ii) any shares of Salarius' Common Stock issued in any private placement between January 10, 2025 and the effective time of the First Merger (the "First Effective Time"), and (b) shares of Series A Preferred Stock, which is a newly designated series of preferred stock (“Preferred Stock”) that is intended to have economic rights equivalent to the Common Stock, but with only limited voting rights, in addition to the assumption of outstanding and unexercised stock options to purchase shares of Common Stock from the Decoy Therapeutics Inc. 2020 Equity Incentive Plan. The number of shares of common stock to be issued at the Closing and the number of shares of common stock underlying the Series A Preferred Stock to be issued at Closing is based on an exchange ratio which assumes a base value of $28.0 million for Decoy and $4.6 million for Salarius, subject in each case to adjustment based on the balance sheet cash available to each Salarius and Decoy at Closing (excluding any proceeds raised in in the Qualified Financing, as defined below). Based on these relative values, before taking into account the dilutive effects of the Qualified Financing, Salarius’ legacy stockholders would retain approximately 14.1% of Salarius on an as-converted-to-common basis and, after giving effect to the exchange ratio and the conversion of the Series A Preferred Stock, Decoy stockholders would own approximately 85.9% of Salarius.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rights of the Series A Preferred Stock will be set forth in a Certificate of Designation of Preferences, Rights and Limitations that we will file with the Secretary of State of the State of Delaware (the “Certificate of Designation”). The Certificate of Designation provides that the preferred stock will be convertible into shares of Common stock on a 1-for-1000 basis, subject to stockholder approval. Please see “Description of Series A Preferred Stock” for a complete description of the Certificate of Designation and the rights of the Series A Preferred Stock. The Merger was approved by our Board of Directors and the board of directors of Decoy. In addition, following the consummation of the Merger, the Company has agreed to call a special stockholder meeting to approve (i) the conversion of the preferred stock to be issued at the Closing into shares of Common Stock (the “Conversion Proposal”), (ii) a new equity incentive plan in form reasonably agreed to by the parties (the “Equity Plan Proposal”), and (iii) if necessary and advisable, a reverse stock split in a ratio to be approved by our Board of Directors (the “Reverse Stock Split Proposal” and together with the Conversion Proposal and the Equity Plan Proposal, the “Company Stockholder Matters”).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Merger Agreement contains customary representations and warranties by each of the Company and Decoy, as well as covenants relating to operating each respective business in the ordinary course prior to closing. The closing is conditioned upon, among other things, minimum proceeds from future offerings of at least $6.0 million (collectively, the “Qualified Financing”) and the continued listing of our Common Stock on Nasdaq.</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10, 2025, the Company entered into a Warrant Cancellation Agreement. Pursuant to the agreement, a Series A-1 Common Stock Purchase Warrant exercisable for 454,546 shares of the Company's common stock was canceled in exchange for cash of $0.35 million.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issued 286,772 shares of common stock with proceeds of $0.7 million during the period subsequent to December 31, 2024 according to the Purchase Agreement entered into on December 12, 2024 with C/M Capital Master Fund, 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24,390 shares of its common stock under the ATM Agreement with Ladenburg Thalmann &amp; Co. Inc in March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maintain a system of disclosure controls and procedures that is designed to ensure that information required to be disclosed in our Exchange Act reports is recorded, processed, summarized and reported within the time periods specified in the rules and forms of the SEC, and that such information is accumulated and communicated to our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including our principal executive officer and principal financial officer, as appropriate, to allow timely decisions regarding required disclosures.</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2024, our management, including our principal executive officer and principal financial officer, had evaluated the effectiveness of the design and operation of our disclosure controls and procedures (as defined in Exchange Act Rules 13a-15(e) and 15d-15(e)) pursuant to Rule 13a-15(b) under the Exchange Act. Based upon and as of the date of the evaluation, our principal executive officer and principal financial officer concluded that information required to be disclosed is recorded, processed, summarized and reported within the specified periods and is accumulated and communicated to management, including our principal executive officer and principal financial officer, to allow for timely decisions regarding required disclosure of material information required to be included in our periodic SEC reports. Based on the foregoing, our management determined that our disclosure controls and procedures were effective as of December 31, 2024.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change in our company’s internal control over financial reporting (as defined in Rules 13a-15(f) and 15d-15(f) under the Exchange Act) occurred during the quarter ended December 31, 2024, that has materially affected, or is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2024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the three months ended December 31, 2024, no director or officer of the Company, nor the Company itself, adopted or terminated a “Rule 10b5-1 trading arrangement” or "non-Rule 10b5-1 trading arrangement," as each term is defined in Item 408(a)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Salarius’ board of directors consists of seven (7) directors which are divided into three classes: Class I, Class II, and Class III. Each class has a three-year term:</w:t>
      </w:r>
    </w:p>
    <w:p>
      <w:pPr>
        <w:spacing w:after="0" w:line="194" w:lineRule="exact"/>
        <w:rPr>
          <w:sz w:val="20"/>
          <w:szCs w:val="20"/>
          <w:color w:val="auto"/>
        </w:rPr>
      </w:pPr>
    </w:p>
    <w:p>
      <w:pPr>
        <w:ind w:left="660" w:right="100" w:hanging="328"/>
        <w:spacing w:after="0" w:line="230"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Class I directors are Arnold C. Hanish and William K. McVicar and their terms will expire at the annual meeting of stockholders to be held in 2025.</w:t>
      </w:r>
    </w:p>
    <w:p>
      <w:pPr>
        <w:spacing w:after="0" w:line="4" w:lineRule="exact"/>
        <w:rPr>
          <w:rFonts w:ascii="Arial" w:cs="Arial" w:eastAsia="Arial" w:hAnsi="Arial"/>
          <w:sz w:val="22"/>
          <w:szCs w:val="22"/>
          <w:color w:val="auto"/>
        </w:rPr>
      </w:pPr>
    </w:p>
    <w:p>
      <w:pPr>
        <w:ind w:left="660" w:right="280" w:hanging="328"/>
        <w:spacing w:after="0" w:line="230"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Class II directors are David J. Arthur, Bruce J. McCreedy, and Jonathan Lieber and their terms will expire at the annual meeting of stockholders to be held in 2026.</w:t>
      </w:r>
    </w:p>
    <w:p>
      <w:pPr>
        <w:spacing w:after="0" w:line="4" w:lineRule="exact"/>
        <w:rPr>
          <w:rFonts w:ascii="Arial" w:cs="Arial" w:eastAsia="Arial" w:hAnsi="Arial"/>
          <w:sz w:val="22"/>
          <w:szCs w:val="22"/>
          <w:color w:val="auto"/>
        </w:rPr>
      </w:pPr>
    </w:p>
    <w:p>
      <w:pPr>
        <w:ind w:left="660" w:right="180" w:hanging="328"/>
        <w:spacing w:after="0" w:line="230"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Class III directors are Tess Burleson and Paul Lammers and their terms will expire at the annual meeting of stockholders to be held in 2027.</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the Company. Our directors may be removed for cause by the affirmative vote of the holders of at least two-thirds of our voting stock of the capital stock issued and outstanding then entitled to vote at an election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committee appointments of each of Salarius’ current directors as of March 17,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57"/>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J. Arthur</w:t>
            </w: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22"/>
                <w:szCs w:val="22"/>
                <w:color w:val="auto"/>
              </w:rPr>
            </w:pPr>
          </w:p>
        </w:tc>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48"/>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William K. McVicar</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Chair</w:t>
            </w:r>
          </w:p>
        </w:tc>
      </w:tr>
      <w:tr>
        <w:trPr>
          <w:trHeight w:val="265"/>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Tess Burleson</w:t>
            </w:r>
            <w:r>
              <w:rPr>
                <w:rFonts w:ascii="Arial" w:cs="Arial" w:eastAsia="Arial" w:hAnsi="Arial"/>
                <w:sz w:val="23"/>
                <w:szCs w:val="23"/>
                <w:color w:val="auto"/>
                <w:vertAlign w:val="superscript"/>
              </w:rPr>
              <w:t>(1)(2)(3)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57"/>
        </w:trPr>
        <w:tc>
          <w:tcPr>
            <w:tcW w:w="33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Arnold C. Hanish</w:t>
            </w:r>
            <w:r>
              <w:rPr>
                <w:rFonts w:ascii="Arial" w:cs="Arial" w:eastAsia="Arial" w:hAnsi="Arial"/>
                <w:sz w:val="23"/>
                <w:szCs w:val="23"/>
                <w:color w:val="auto"/>
                <w:vertAlign w:val="superscript"/>
              </w:rPr>
              <w:t>(1)(3)</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57"/>
        </w:trPr>
        <w:tc>
          <w:tcPr>
            <w:tcW w:w="33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Paul Lammers</w:t>
            </w:r>
            <w:r>
              <w:rPr>
                <w:rFonts w:ascii="Arial" w:cs="Arial" w:eastAsia="Arial" w:hAnsi="Arial"/>
                <w:sz w:val="23"/>
                <w:szCs w:val="23"/>
                <w:color w:val="auto"/>
                <w:vertAlign w:val="superscript"/>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57"/>
        </w:trPr>
        <w:tc>
          <w:tcPr>
            <w:tcW w:w="33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Jonathan Lieber</w:t>
            </w:r>
            <w:r>
              <w:rPr>
                <w:rFonts w:ascii="Arial" w:cs="Arial" w:eastAsia="Arial" w:hAnsi="Arial"/>
                <w:sz w:val="23"/>
                <w:szCs w:val="23"/>
                <w:color w:val="auto"/>
                <w:vertAlign w:val="superscript"/>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56"/>
        </w:trPr>
        <w:tc>
          <w:tcPr>
            <w:tcW w:w="33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Bruce J. McCreedy </w:t>
            </w:r>
            <w:r>
              <w:rPr>
                <w:rFonts w:ascii="Arial" w:cs="Arial" w:eastAsia="Arial" w:hAnsi="Arial"/>
                <w:sz w:val="23"/>
                <w:szCs w:val="23"/>
                <w:color w:val="auto"/>
                <w:vertAlign w:val="superscript"/>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78"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640" w:hanging="308"/>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names of the nominees and certain biographical information about each current director, including a description of his or her business experience, qualifications, education and skills that led Salarius’ board of directors to conclude that such individual should serve as a member of Salarius’ board of directors, are set forth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Arnold Hanish</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Mr. Hanish has served as a member of the Salarius board of directors since July 2019. Mr. Hanish served in various management roles at Eli Lilly and Company, a pharmaceutical company, including Vice President and Chief Accounting Officer. Prior to Eli Lilly and Company, Mr. Hanish held numerous positions at Arthur Young &amp; Company (currently Ernst &amp; Young) from 1970-1984, including being the Director of Tax in the Indianapolis office from 1979-1984. Mr. Hanish served as a member of the Deloitte and Touche, LLP, a professional services company,</w:t>
      </w:r>
    </w:p>
    <w:p>
      <w:pPr>
        <w:jc w:val="both"/>
        <w:spacing w:after="0" w:line="226" w:lineRule="auto"/>
        <w:rPr>
          <w:sz w:val="20"/>
          <w:szCs w:val="20"/>
          <w:color w:val="auto"/>
        </w:rPr>
      </w:pPr>
      <w:r>
        <w:rPr>
          <w:rFonts w:ascii="Arial" w:cs="Arial" w:eastAsia="Arial" w:hAnsi="Arial"/>
          <w:sz w:val="18"/>
          <w:szCs w:val="18"/>
          <w:color w:val="auto"/>
        </w:rPr>
        <w:t>Audit Quality Review Council from 2013 to 2023. In addition, Since September 2012, Mr. Hanish has served on the board of directors of Omeros Corporation (Nasdaq:OMER), a biopharmaceutical company, and Chairs its Audit Committee. From 2007 to 2010, Mr. Hanish</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served as the Chairperson of the Financial Executives International Committee on Corporate Reporting and was on their SEC and Public Company Accounting Oversight Board (“PCAOB”) subcommittees. In 2016, Mr. Hanish was inducted into the Financial Executives International Hall of Fame. From 2004 to 2008 and again in 2011 and 2012, Mr. Hanish was a member of the Standing Advisory Group of the PCAOB, a nonprofit audit oversight organization. Since 2010, Mr. Hanish has served on the Dean of the College of Businesses, Business Advisory Council and recently received the Distinguished Service Award from the college of business at the University of Cincinnati. Mr. Hanish earned a B.B.A. in Accounting from the University of Cincinnati and is a licensed CPA in Indiana and Ohio.</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Salarius’ board of directors believes that Mr. Hanish is qualified to serve on the Salarius board of directors as a result of his experience in the pharmaceutical industry, as well as deep experience in accounting and public company financial matters.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McVicar, Ph.D.</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Dr. McVicar has served as a member of the Salarius board of directors since the completion of the reverse acquisition in July 2019. Prior to completion of the acquisition, Dr. McVicar served as a member of the board of directors of Flex Pharma, Inc. (“Flex Pharma”) since August</w:t>
      </w:r>
    </w:p>
    <w:p>
      <w:pPr>
        <w:jc w:val="both"/>
        <w:spacing w:after="0" w:line="226" w:lineRule="auto"/>
        <w:rPr>
          <w:sz w:val="20"/>
          <w:szCs w:val="20"/>
          <w:color w:val="auto"/>
        </w:rPr>
      </w:pPr>
      <w:r>
        <w:rPr>
          <w:rFonts w:ascii="Arial" w:cs="Arial" w:eastAsia="Arial" w:hAnsi="Arial"/>
          <w:sz w:val="18"/>
          <w:szCs w:val="18"/>
          <w:color w:val="auto"/>
        </w:rPr>
        <w:t>2017, and served as its chief executive officer from July 2017 to July 2019. Dr. McVicar joined Flex Pharma in April 2017 as President of Research &amp; Development. Prior to joining Flex Pharma, Dr. McVicar also serves as president and CEO of Neuromity Therapeutics, LLC</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since November 2021 and serves as Chief Operating Officer (acting) at Satellos Biosciences, Inc. since July 2020. Additionally, Dr. McVicar served as Executive Vice President of pharmaceutical development, chief scientific officer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president during his tenure at Inotek Pharmaceuticals Corporation from September 2007 to April 2017. Dr. McVicar also held various positions at Sepracor, Inc, Novartis AG and RPR Gencell, the Gene and Cell Therapy Division of Rhone Poulenc Rorer. Dr. McVicar earned his B.S. in Chemistry from the State University of New York College at Oneonta and his Ph.D. in Chemistry from the University of Vermont.</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Salarius’ board of directors believes that Dr. McVicar is qualified to sit on the Salarius board of directors due to his over 30 years of biologic and drug development experience and his experience as a senior executive.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J. Arthur</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Mr. Arthur has served as Salarius’ President and Chief Executive Officer and a director since July 2019 and as the Chief Executive Officer of Salarius’ predecessor since November 2015 and as a manager of Salarius’ predecessor’s board of managers since January 2017. Mr. Arthur’s full-time employment with Salarius ended, effective February 2024, but he continues to serve as Chief Executive Officer of Salarius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his role as a part-time consultant. From January 2012 to October 2015, Mr. Arthur served as managing director of Dacon Pharma, LLC, a life science focused strategy, planning and evaluation company. From 1990 to 2010, Mr. Arthur served in a number of executive roles at Eli</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Lilly and Company and from 2010 to 2011 served in executive roles with Boehringer Ingelheim GmbH. Mr. Arthur earned a B.S. in Chemical Engineering from North Carolina State University and an M.B.A. from the Duke University Fuqua School of Business.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board of directors believes that Mr. Arthur’s experience as Salarius’ Chief Executive Officer, and his past experience as a life sciences executive and as a committee chairman and member on the executive committees of a variety of major pharmaceutical alliances, including Eli Lilly/BioMS, Eli Lilly/Amylin and Boehringer Ingelheim/Eli Lilly qualify him to serve on Salarius’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Jonathan Lieber</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Lieber has served as a member of the Salarius board of directors since June 2020. Since February 2023, he has served as Chief Financial Officer and Treasurer of Rallybio Corporation (Nasdaq: RLYB), a clinical-stage biotechnology company committed to identifying and accelerating the development of life-transforming therapies for patients with severe and rare diseases. From September 2021 until its sale in November 2022, he served as Chief Financial Officer of Applied Genetic Technologies Corporation (Nasdaq: AGTC), a clinical stage biotechnology company focused on the development and commercialization of adeno-associated virus (AAV)-based gene therapies for the</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treatment of rare and debilitating diseases. From December 2018 through September 2021, Mr. Lieber served as a Managing Director of Danforth Advisors LLC, a firm that provides strategic CFO advisory and outsourced accounting services to healthcare companies. In that</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capacity, he served as interim CFO for several private and public healthcare companies. From July 2015 through September 2019, Mr. Lieber was Chief Financial Officer of Histogenics Corporation (Nasdaq: HSGX) a cell therapy company developing products for the orthopedics market. Mr. Lieber received an M.B.A. in finance from the Stern School of Business of New York University and a B.S. in business administration from Boston University.</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Salarius’ board of directors believes that Mr. Lieber is qualified to serve on the Salarius board of directors due to his experience in the healthcare industry, which will enable him to contribute important strategic insights to Salarius.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Bruce J. McCreedy, Ph.D.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Dr. McCreedy has served as a member the Salarius board of directors since July 2019 and has served as Chief Scientific Officer of ONK Therapeutics, Inc. effective December 1, 2022. Prior to that, Dr. McCreedy served as the Chief Scientific Officer of Myeloid Therapeutics, Inc. from April of 2021 until November, 2022. Dr. McCreedy served as Salarius' interim Chief Science Officer from January 2020 through March 30, 2021 and was the Senior Vice President of Cell Therapy at Precision Biosciences, Inc. from 2015 to 2020. Prior to his position at</w:t>
      </w:r>
    </w:p>
    <w:p>
      <w:pPr>
        <w:jc w:val="both"/>
        <w:spacing w:after="0" w:line="226" w:lineRule="auto"/>
        <w:rPr>
          <w:sz w:val="20"/>
          <w:szCs w:val="20"/>
          <w:color w:val="auto"/>
        </w:rPr>
      </w:pPr>
      <w:r>
        <w:rPr>
          <w:rFonts w:ascii="Arial" w:cs="Arial" w:eastAsia="Arial" w:hAnsi="Arial"/>
          <w:sz w:val="18"/>
          <w:szCs w:val="18"/>
          <w:color w:val="auto"/>
        </w:rPr>
        <w:t>Precision Biosciences, Dr. McCreedy served as the Executive Vice President of Research and Development and Chief Development Officer of Neximmune, Inc., a biotechnology company, from April 2011 to August 2015, and the Managing Partner of PharmaNav, LLC, a</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biotechnology company, from 2008 to 2011. From 2006 to 2008, Dr. McCreedy served as Vice President of Strategic and Clinical Development at Metabolon, Inc., a metabolomics company and from 2002 to 2006 served as the President, Chief Executive Officer and a Director for Fulcrum Pharma Developments, Inc., a drug development company (acquired by Icon plc). Prior to 2002, Dr. McCreedy has also served as Vice President at Triangle Pharmaceuticals, Inc., a pharmaceutical company (acquired by Gilead Sciences, Inc.), CEO of Therapyedge, Inc., a healthcare and information services company (acquired by Advanced Biological Laboratories S.A.), and Associate Vice President of Laboratory Corporation of America Holdings, 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clinical laboratory network, and Roche Biomedical Laboratories, Inc., a drug development company. Dr. McCreedy earned a B.S. in Medical Microbiology from Wake Forest University and a Ph.D. in Microbiology and Immunology from Wake Forest University School of Medicine.</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Salarius’ board of directors believes that Dr. McCreedy is qualified to serve on the Salarius board of directors due to deep experience in the biotechnology industry, which will enable him to contribute important strategic insights to Salarius.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Tess Burleson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Ms. Burleson has served as a member of the Salarius board of directors since July 2019. Ms. Burleson has served as the chief operating officer of TGen, a Medical R&amp;D organization, since 2007, and has served as the president of TGen Health Ventures, LLC a venture capital company, since 2009. She also serves as an advisor to bankers and investors in the life sciences industry. Prior to joining TGen, Ms. Burleson served as the chief financial officer at Lovelace Health System enterprises from 1997 to 2007, president at Lovelace Scientific</w:t>
      </w:r>
    </w:p>
    <w:p>
      <w:pPr>
        <w:jc w:val="both"/>
        <w:spacing w:after="0" w:line="226" w:lineRule="auto"/>
        <w:rPr>
          <w:sz w:val="20"/>
          <w:szCs w:val="20"/>
          <w:color w:val="auto"/>
        </w:rPr>
      </w:pPr>
      <w:r>
        <w:rPr>
          <w:rFonts w:ascii="Arial" w:cs="Arial" w:eastAsia="Arial" w:hAnsi="Arial"/>
          <w:sz w:val="18"/>
          <w:szCs w:val="18"/>
          <w:color w:val="auto"/>
        </w:rPr>
        <w:t>Resources from 1993 to 1997, and as a senior associate at KPMG from 1990 to 1993. Ms. Burleson earned a B.B.A from Robert O. Anderson School of Business at University of New Mexico and her M.B.A. from the Anderson Graduate School of Management at University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New Mexico.</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Salarius’ board of directors believes that Ms. Burleson is qualified to serve on the Salarius board of directors as a result of her extensive operational experience in the biotechnology industry and experience in financial and accounting matters.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Paul Lammers, MD, MSc</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Dr. Lammers has served as a member of the Salarius board of directors since July 2019 and previously served as Salarius’ lead independent director. In February 2024, Dr. Lammers retired as CEO of Triumvira Immunologics, a privately held engineered T cell therapy company and for which he raised over $125 million from leading venture firms, where he served starting in 2018. Before Triumvira, Dr. Lammers served as President &amp; CEO at Mirna Therapeutics, for which company he raised $160 million through venture capital and Federal and State government funding, as well as a public listing (Nasdaq: MRNA) in 2015. Previously, he served as Chief Medical Officer and Head of US Product Development for EMD Serono. During his early industry tenure, Dr. Lammers also held various executive/senior management positions in clinical development, medical and regulatory affairs, at different pharmaceutical companies, as well as at small public and</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privately held biotechnology companies. Dr. Lammers serves as Director for private oncology biotechnology company, Immunomet Therapeutics, and private oncology biotechnology company, Diakonos Oncology. Dr. Lammers obtained both his Master of Science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Biology, and his Medical Degree from Radboud University, Nijmegen, The Netherlands.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Salarius’ board of directors believes that Dr. Lammers is qualified to serve on the Salarius board of directors as a result of his extensive experience in the pharmaceutical industry and deep understanding of oncology drugs.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about Salarius’ executive officers as of March 17,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57"/>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J. Arthur</w:t>
            </w: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22"/>
                <w:szCs w:val="22"/>
                <w:color w:val="auto"/>
              </w:rPr>
            </w:pPr>
          </w:p>
        </w:tc>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Mark J. Rosenblum</w:t>
            </w: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Executive Vice President of Finance and Chief Financial Officer</w:t>
            </w:r>
          </w:p>
        </w:tc>
      </w:tr>
    </w:tbl>
    <w:p>
      <w:pPr>
        <w:spacing w:after="0" w:line="3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biographical information for each of Salarius’ executive officers in the table above, other than for Mr. Arthur, whose information is presented above.</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Mark J. Rosenblum</w:t>
      </w:r>
      <w:r>
        <w:rPr>
          <w:rFonts w:ascii="Arial" w:cs="Arial" w:eastAsia="Arial" w:hAnsi="Arial"/>
          <w:sz w:val="18"/>
          <w:szCs w:val="18"/>
          <w:color w:val="auto"/>
        </w:rPr>
        <w:t>. Mr. Rosenblum has served as Salarius’ Executive Vice President Finance and Chief Financial Officer since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Prior to September 2019, Mr. Rosenblum served as a financial consultant to Salarius since February 2019. Prior to joining Salarius, Mr. Rosenblum served as chairman, chief executive officer and a director of ActiveCare, Inc. (Nasdaq: ACAR), a healthcare company, from December 2017 to March 2019, which was sold to Biotelemetry, Inc (now Royal Philips (NYSE: PHG). Mr. Rosenblum worked as a financial consultant for various companies from 2014 to 2017. Prior to that, Mr. Rosenblum served as the chief financial officer of Advaxis,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Inc. (Nasdaq: ADXS), a biotechnology company, from January 2010 to April 2014. From 1985 through 2003, Mr. Rosenblum was employed by Wellman, Inc., a global public chemical manufacturer, which was subsequently acquired by DAK Americas, serving in various capacities including chief accounting officer. Mr. Rosenblum holds both a Masters in Accountancy and a B.S. degree in Accounting from the University of South Carolina. Mr. Rosenblum began his career in 1977 with Haskins &amp; Sells, CPA (currently known as Deloitte), was a licensed Certified Public Accountant for over 30 years, and is currently a member of the American Institute of Certified Public Accountants.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Salarius’ directors or executive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Officers and Directors</w:t>
      </w:r>
    </w:p>
    <w:p>
      <w:pPr>
        <w:spacing w:after="0" w:line="212"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To Salarius’ knowledge, there is no arrangement or understanding between any of Salarius’ officers and any other person, including directors, pursuant to which the officer was selected to serve as an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Salarius’ business and affairs are organized under the direction of the Salarius board of directors, which currently consists of seven members. Dr. McVicar currently serves as the Chair of Salarius’ board of directors. The primary responsibilities of Salarius’ board of directors are to provide oversight, strategic guidance, counseling, and direction to Salarius’ management. Salarius’ board of directors meets on a regular basis and additionally as required.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Nasdaq Listing Rules generally require that a majority of the members of a listed company’s board of directors must qualify as “independent” as affirmatively determined by its board of directors. The Salarius board of directors consults with Salarius’ counsel to ensure that the Salarius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Salarius’ board of directors has undertaken a review of its composition, the composition of its committees and the independence of each director and director nominee. Based upon information requested from and provided by each director concerning his or her background,</w:t>
      </w:r>
    </w:p>
    <w:p>
      <w:pPr>
        <w:jc w:val="both"/>
        <w:spacing w:after="0"/>
        <w:rPr>
          <w:sz w:val="20"/>
          <w:szCs w:val="20"/>
          <w:color w:val="auto"/>
        </w:rPr>
      </w:pPr>
      <w:r>
        <w:rPr>
          <w:rFonts w:ascii="Arial" w:cs="Arial" w:eastAsia="Arial" w:hAnsi="Arial"/>
          <w:sz w:val="17"/>
          <w:szCs w:val="17"/>
          <w:color w:val="auto"/>
        </w:rPr>
        <w:t>employment and affiliations, including family relationships, Salarius’ board of directors has determined that six of Salarius’ current directors, including Mr. McVicar, Ms. Burleson, Mr. Hanish, Dr. Lammers, Dr. McCreedy and Mr. Lieber, are “independent” as that term is defined under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rules and regulations of the SEC and the listing requirements of Nasdaq.</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Salarius’ board of directors has determined that Mr. Arthur, Chief Executive Officer of Salarius in his role as a part-time consultant, is not independent under the applicable rules and regulations of the SEC and Nasdaq Listing Rules. In making these determinations, Salarius’ board of directors considered the current and prior relationships that each non-employee director has with Salarius and all other facts and circumstances Salarius’ board of directors deemed relevant in determining their independence, including the beneficial ownership of our capital stock by each non-employee 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Bylaws provide that if a chair of the Board of Directors is appointed, that person will preside at all meetings of the Board of Directors at which they are present. Currently, the position of chair of our Board of Directors is filled by Dr. McVicar.</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periodically reviews its leadership structure and developments in the area of corporate governance to ensure that this approach continues to strike the appropriate balance for the Company and our stockholders.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Anti-Hedging Policy; Policy on Pledging</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have an insider trading policy that sets forth guidelines and restrictions applicable to transactions involving our stock by our directors, officers and employees. Among other things, this policy prohibits our directors, officers 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employees from engaging in purchases or sales of puts, calls, options or other derivative securities based on the Company’s securities. These hedging transactions are prohibited because they would allow directors, officers and employees to continue to own the covered securities, but without the full risks and rewards of ownership. When that occurs, their interests and the interests of the Company and its stockholders may be misaligned and may signal a message to the trading market that may not be in the best interests of the Company and its stockholders at the time it is conveyed. The insider trading policy also prohibits directors and officers from engaging in short sales of the Company’s securities. Our Insider Trading Policy does not cover transactions of our securities by the Company itself.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Board of Directors in Risk Oversight</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One of the key functions of the Board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monitoring and assessing strategic risk exposure and our Audit Committee has the responsibility to consider and discuss our major financial risk exposures and the steps our management has taken to monitor and control these exposures, including guidelines and policies to govern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Board has established an Audit Committee, a Compensation Committee, and a Nominating and Corporate Governance Committee. Our Board has adopted a charter for each of these committees, each of which complies with the applicable requirements of current Nasdaq rules. We intend to comply with future requirements to the extent they are applicable to us. Copies of the charters for each committee are available on the investor relations portion of our website at http://investors.salariuspharma.com/corporate-governance/highlights.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Audit Committee currently consists of Ms. Burleson, Mr. Hanish, and Mr. Lieber. Mr. Hanish serves as the chair of our Audit Committee. The Board of Directors has determined that each of the members of the Audit Committee satisfies Nasdaq and SEC independence</w:t>
      </w:r>
    </w:p>
    <w:p>
      <w:pPr>
        <w:jc w:val="both"/>
        <w:spacing w:after="0" w:line="226" w:lineRule="auto"/>
        <w:rPr>
          <w:sz w:val="20"/>
          <w:szCs w:val="20"/>
          <w:color w:val="auto"/>
        </w:rPr>
      </w:pPr>
      <w:r>
        <w:rPr>
          <w:rFonts w:ascii="Arial" w:cs="Arial" w:eastAsia="Arial" w:hAnsi="Arial"/>
          <w:sz w:val="18"/>
          <w:szCs w:val="18"/>
          <w:color w:val="auto"/>
        </w:rPr>
        <w:t>requirements. The Board of Directors has determined that Mr. Hanish qualifies as an audit committee financial expert within the meaning of SEC regulations and meets the financial sophistication requirements of the Nasdaq Listing Rules. In making this determination, the Board of</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Directors has considered Mr. Hanish’s business background and previous experience. Both our independent registered public accounting firm and management periodically meet with the Audit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3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selecting, on behalf of the Board of Directors, an independent public accounting firm to audit our financial statements;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our financial reporting processes and disclosure controls;</w:t>
      </w:r>
    </w:p>
    <w:p>
      <w:pPr>
        <w:spacing w:after="0" w:line="8" w:lineRule="exact"/>
        <w:rPr>
          <w:rFonts w:ascii="Times New Roman" w:cs="Times New Roman" w:eastAsia="Times New Roman" w:hAnsi="Times New Roman"/>
          <w:sz w:val="22"/>
          <w:szCs w:val="22"/>
          <w:color w:val="auto"/>
        </w:rPr>
      </w:pPr>
    </w:p>
    <w:p>
      <w:pPr>
        <w:ind w:left="660" w:hanging="328"/>
        <w:spacing w:after="0" w:line="228" w:lineRule="auto"/>
        <w:tabs>
          <w:tab w:leader="none" w:pos="655"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discussing with the independent auditors their independence, reviews and discusses our audited financial statements with the independent auditors and management;</w:t>
      </w:r>
    </w:p>
    <w:p>
      <w:pPr>
        <w:spacing w:after="0" w:line="4"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recommending to the Board of Directors whether the audited financials should be included our annual reports to be filed with the SEC;</w:t>
      </w:r>
    </w:p>
    <w:p>
      <w:pPr>
        <w:ind w:left="660" w:hanging="328"/>
        <w:spacing w:after="0" w:line="230"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overseeing management’s identification, evaluation, and mitigation of major risks to the Company;</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and considering “related person transactions” under our Related Person Transaction Policy; and</w:t>
      </w:r>
    </w:p>
    <w:p>
      <w:pPr>
        <w:spacing w:after="0" w:line="8" w:lineRule="exact"/>
        <w:rPr>
          <w:rFonts w:ascii="Times New Roman" w:cs="Times New Roman" w:eastAsia="Times New Roman" w:hAnsi="Times New Roman"/>
          <w:sz w:val="22"/>
          <w:szCs w:val="22"/>
          <w:color w:val="auto"/>
        </w:rPr>
      </w:pPr>
    </w:p>
    <w:p>
      <w:pPr>
        <w:ind w:left="660" w:hanging="328"/>
        <w:spacing w:after="0" w:line="221" w:lineRule="auto"/>
        <w:tabs>
          <w:tab w:leader="none" w:pos="655"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any proposed waiver of our Code of Business Conduct and Ethics and Code of Ethics for Senior Financial Officers and making recommendations to the Board of Directors with respect to the disposition of any proposed waiver.</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the composition and functioning of our Audit Committee complies with all applicable requirements of the Sarbanes-Oxley Act of 2002, as amended (the “Sarbanes-Oxley Act”) and all applicable SEC rules and regulations. We intend to comply with future requirements to the extent they become applicable to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Compensation Committee currently consists of Ms. Burleson, Mr. Hanish, and Dr. Lammers. Dr. Lammers serves as the chair of our Compensation Committee. The Board of Directors has determined that each of the members of the Compensation Committee is a non-employee director, as defined in Rule 16b-3 of the Securities Exchange Act of 1934, as amended (the "Exchange Act"). Additionally, the Board has determined that each of the members of the Compensation Committee satisfies Nasdaq and SEC independence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3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reviewing and approving the corporate objectives that pertain to the determination of executive compensation;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and approving the compensation and other terms of employment of our executive officers;</w:t>
      </w:r>
    </w:p>
    <w:p>
      <w:pPr>
        <w:spacing w:after="0" w:line="8" w:lineRule="exact"/>
        <w:rPr>
          <w:rFonts w:ascii="Times New Roman" w:cs="Times New Roman" w:eastAsia="Times New Roman" w:hAnsi="Times New Roman"/>
          <w:sz w:val="22"/>
          <w:szCs w:val="22"/>
          <w:color w:val="auto"/>
        </w:rPr>
      </w:pPr>
    </w:p>
    <w:p>
      <w:pPr>
        <w:ind w:left="660" w:right="20" w:hanging="328"/>
        <w:spacing w:after="0" w:line="228"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and approving performance goals and objectives relevant to the compensation of our executive officers and assessing their performance against these goals and objectives;</w:t>
      </w:r>
    </w:p>
    <w:p>
      <w:pPr>
        <w:spacing w:after="0" w:line="4"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making recommendations to our Board regarding the adoption or amendment of equity and cash incentive plans and approving amendments to such plans to the extent authorized by our Board;</w:t>
      </w:r>
    </w:p>
    <w:p>
      <w:pPr>
        <w:ind w:left="660" w:hanging="328"/>
        <w:spacing w:after="0" w:line="225"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and making recommendations to our Board regarding the type and amount of compensation to be paid or awarded to our non-employee board members;</w:t>
      </w:r>
    </w:p>
    <w:p>
      <w:pPr>
        <w:spacing w:after="0" w:line="4"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approving equity compensation plans and the grant of equity awards not subject to stockholder approval under applicable listing standards;</w:t>
      </w:r>
    </w:p>
    <w:p>
      <w:pPr>
        <w:ind w:left="660" w:hanging="328"/>
        <w:spacing w:after="0" w:line="230" w:lineRule="auto"/>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overseeing the administration of our employee benefit plans;</w:t>
      </w:r>
    </w:p>
    <w:p>
      <w:pPr>
        <w:spacing w:after="0" w:line="8" w:lineRule="exact"/>
        <w:rPr>
          <w:rFonts w:ascii="Times New Roman" w:cs="Times New Roman" w:eastAsia="Times New Roman" w:hAnsi="Times New Roman"/>
          <w:sz w:val="22"/>
          <w:szCs w:val="22"/>
          <w:color w:val="auto"/>
        </w:rPr>
      </w:pPr>
    </w:p>
    <w:p>
      <w:pPr>
        <w:ind w:left="660" w:hanging="328"/>
        <w:spacing w:after="0" w:line="228"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4"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and approving the terms of any employment agreements, severance arrangements, change in control protections, indemnification agreements, and any other material arrangements for our executive officers;</w:t>
      </w:r>
    </w:p>
    <w:p>
      <w:pPr>
        <w:spacing w:after="0" w:line="4"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with management our disclosures under the caption “Compensation Discussion and Analysis” in our periodic reports or proxy statements to be filed with the SEC, to the extent such caption is included in any such report or proxy statement;</w:t>
      </w:r>
    </w:p>
    <w:p>
      <w:pPr>
        <w:spacing w:after="0" w:line="4"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monitoring our compliance with the requirements under the Sarbanes-Oxley Act relating to loans to directors and officers, and with all other applicable laws affecting employee compensation and benefit;</w:t>
      </w:r>
    </w:p>
    <w:p>
      <w:pPr>
        <w:ind w:left="660" w:hanging="328"/>
        <w:spacing w:after="0" w:line="217" w:lineRule="auto"/>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preparing an annual report on executive compensation that the SEC requires in our annual proxy statement; and</w:t>
      </w:r>
    </w:p>
    <w:p>
      <w:pPr>
        <w:spacing w:after="0" w:line="8" w:lineRule="exact"/>
        <w:rPr>
          <w:rFonts w:ascii="Times New Roman" w:cs="Times New Roman" w:eastAsia="Times New Roman" w:hAnsi="Times New Roman"/>
          <w:sz w:val="22"/>
          <w:szCs w:val="22"/>
          <w:color w:val="auto"/>
        </w:rPr>
      </w:pPr>
    </w:p>
    <w:p>
      <w:pPr>
        <w:ind w:left="660" w:right="20" w:hanging="328"/>
        <w:spacing w:after="0" w:line="228" w:lineRule="auto"/>
        <w:tabs>
          <w:tab w:leader="none" w:pos="655"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and evaluating on an annual basis the performance of the Compensation Committee and recommending such changes as deemed necessary with our Board.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Nominating and Corporate Governance Committee consists of Ms. Burleson, Dr. McCreedy and Mr. Lieber. Ms. Burleson serves as the chair of our Nominating and Corporate Governance Committee. The Board has determined that each of the members of the Nominating and Corporate Governance Committee satisfies Nasdaq and SEC independence requirements. The functions of this committee include, among other things:</w:t>
      </w:r>
    </w:p>
    <w:p>
      <w:pPr>
        <w:spacing w:after="0" w:line="20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identifying, reviewing, and making recommendations of candidates to serve on our Board;</w:t>
      </w:r>
    </w:p>
    <w:p>
      <w:pPr>
        <w:spacing w:after="0" w:line="10" w:lineRule="exact"/>
        <w:rPr>
          <w:rFonts w:ascii="Arial" w:cs="Arial" w:eastAsia="Arial" w:hAnsi="Arial"/>
          <w:sz w:val="22"/>
          <w:szCs w:val="22"/>
          <w:color w:val="auto"/>
        </w:rPr>
      </w:pPr>
    </w:p>
    <w:p>
      <w:pPr>
        <w:ind w:left="660" w:hanging="328"/>
        <w:spacing w:after="0" w:line="220" w:lineRule="auto"/>
        <w:tabs>
          <w:tab w:leader="none" w:pos="655"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evaluating the performance of our Board, committees of the Board, and individual directors and determining whether continued service on our board is appropriate;</w:t>
      </w:r>
    </w:p>
    <w:p>
      <w:pPr>
        <w:ind w:left="660" w:hanging="328"/>
        <w:spacing w:after="0" w:line="230" w:lineRule="auto"/>
        <w:tabs>
          <w:tab w:leader="none" w:pos="66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establishing procedures for nominations by stockholders of candidates for election to the Board;</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evaluating nominations by stockholders of candidates for election to the Board;</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overseeing the self-evaluation process of the Board and each of its committees;</w:t>
      </w:r>
    </w:p>
    <w:p>
      <w:pPr>
        <w:spacing w:after="0" w:line="8" w:lineRule="exact"/>
        <w:rPr>
          <w:rFonts w:ascii="Times New Roman" w:cs="Times New Roman" w:eastAsia="Times New Roman" w:hAnsi="Times New Roman"/>
          <w:sz w:val="22"/>
          <w:szCs w:val="22"/>
          <w:color w:val="auto"/>
        </w:rPr>
      </w:pPr>
    </w:p>
    <w:p>
      <w:pPr>
        <w:ind w:left="660" w:hanging="328"/>
        <w:spacing w:after="0" w:line="228" w:lineRule="auto"/>
        <w:tabs>
          <w:tab w:leader="none" w:pos="655"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evaluating the current size, composition, and organization of our Board and its committees and making recommendations to our Board for approvals;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line="230" w:lineRule="auto"/>
        <w:tabs>
          <w:tab w:leader="none" w:pos="655" w:val="left"/>
        </w:tabs>
        <w:numPr>
          <w:ilvl w:val="0"/>
          <w:numId w:val="32"/>
        </w:numPr>
        <w:rPr>
          <w:rFonts w:ascii="Times New Roman" w:cs="Times New Roman" w:eastAsia="Times New Roman" w:hAnsi="Times New Roman"/>
          <w:sz w:val="22"/>
          <w:szCs w:val="22"/>
          <w:color w:val="auto"/>
        </w:rPr>
      </w:pPr>
      <w:r>
        <w:rPr>
          <w:rFonts w:ascii="Arial" w:cs="Arial" w:eastAsia="Arial" w:hAnsi="Arial"/>
          <w:sz w:val="18"/>
          <w:szCs w:val="18"/>
          <w:color w:val="auto"/>
        </w:rPr>
        <w:t>developing a set of corporate governance policies and principles and recommending to our Board any changes to such policies and principles;</w:t>
      </w:r>
    </w:p>
    <w:p>
      <w:pPr>
        <w:spacing w:after="0" w:line="4"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32"/>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issues and developments related to corporate governance and identifying and bringing to the attention of our Board current and emerging corporate governance trends; and</w:t>
      </w:r>
    </w:p>
    <w:p>
      <w:pPr>
        <w:spacing w:after="0" w:line="4"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32"/>
        </w:numPr>
        <w:rPr>
          <w:rFonts w:ascii="Times New Roman" w:cs="Times New Roman" w:eastAsia="Times New Roman" w:hAnsi="Times New Roman"/>
          <w:sz w:val="22"/>
          <w:szCs w:val="22"/>
          <w:color w:val="auto"/>
        </w:rPr>
      </w:pPr>
      <w:r>
        <w:rPr>
          <w:rFonts w:ascii="Arial" w:cs="Arial" w:eastAsia="Arial" w:hAnsi="Arial"/>
          <w:sz w:val="18"/>
          <w:szCs w:val="18"/>
          <w:color w:val="auto"/>
        </w:rPr>
        <w:t>reviewing periodically the Nominating and Corporate Governance Committee charter, structure, and membership requirements and recommending any proposed changes to our Board, including undertaking an annual review of its own performance.</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 Attendance</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2024, our Board held five meetings. Each of our directors attended at least 75% of the aggregate number of meetings of our Board and meetings of any committee of which he or she was a member, which were held during the time in which he or she was a director or a</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committee member, as applicable. Our non-management directors meet in regularly scheduled sessions without the presence of management in executive sessions. Our Audit Committee held four meetings, our Compensation Committee held two meetings in 2024 and our Nominating and Corporate Governance Committee held zero meetings in 2024. Directors are encouraged to attend our annual meeting of stockholders, either via webcast or telephonically.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has adopted a Code of Business Conduct and Ethics (the “Code of Conduct”) applicable to all of our employees, executive officers, and directors. The Code of Conduct is available on our website at www.salariuspharma.com. Information contained on or accessible through our website is not a part of this report, and the inclusion of our website address in this report is an inactive textual reference only. The Nominating and Corporate Governance Committee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implemented whistleblower procedures that establish formal protocols for receiving and handling complaints from employees. Any concerns regarding accounting or auditing matters reported under these procedures will be communicated promptly to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nominates directors for election at each annual meeting of stockholders and elects new directors to fill vacancies when they arise. Our Nominating and Corporate Governance Committee has the responsibility to identify, evaluate, recruit, and recommend qualified candidates to our Board for nomination or election.</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Director Criteria</w:t>
      </w:r>
      <w:r>
        <w:rPr>
          <w:rFonts w:ascii="Arial" w:cs="Arial" w:eastAsia="Arial" w:hAnsi="Arial"/>
          <w:sz w:val="18"/>
          <w:szCs w:val="18"/>
          <w:color w:val="auto"/>
        </w:rPr>
        <w:t>. Our Nominating and Corporate Governance Committee has a policy regarding consideration of director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recommended by stockholders. Our Nominating and Corporate Governance Committee reviews suggestions for director candidates recommended by stockholders and considers such candidates for recommendation based upon an appropriate balance of knowledge, experience, and capability. In addition to considering an appropriate balance of knowledge, experience, and capability, our Board has as an objective that its membership be composed of experienced and dedicated individuals with diverse backgrounds, perspectives, skills, genders, and ethnicities. Our Nominating and Corporate Governance Committee selects director candidates based on the candidate possessing relevant market and technological expertise upon which to be able to offer advice and guidance to management, having sufficient</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time to devote to the affairs of the Company, demonstrated excellence in his or her field, having the ability to exercise sound business judgment, diversity, potential for long-term contribution to the Company’s business, and having the commitment and vision to rigorously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represent the long-term interests of the Company’s stockholders. Our Nominating and Corporate Governance Committee believes it is appropriate for a majority of the members of our Board to meet the definition of “independent director” under the Nasdaq rules. Our Nominating and Corporate Governance Committee also believes it appropriate for our Chief Executive Officer to participate as a member of our Board.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each annual meeting of stockholders, our Nominating and Corporate Governance Committee first identifies nominees by reviewing the current directors whose terms expire at the annual meeting of stockholders and who are willing to continue in service. These candidates are evaluated based on the criteria described above, including as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demonstrated by the candidate’s prior service as a director, and the needs of our Board, with respect to the particular talents and experience of its directors. If a director does not wish to continue in service, the Nominating and Corporate Governance Committee determines not to nominate the director, or a vacancy is created on our Board as a result of a resignation, an increase in the size of our Board or other event, the Nominating and Corporate Governance Committee will consider various candidates for Board membership, including those suggested by members of the Nominating and Corporate Governance Committee, by other members of our Board, by any executive search firm engaged by the Nominating and Corporate Governance Committee, and by stockholders. A stockholder who wishes to suggest a prospective nominee for our Board should notify our Secretary, any member of the Nominating and Corporate Governance Committee, or the persons referenced below in “Communications with our Board of Directors” in writing with any supporting material the stockholder considers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Nominees.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Bylaws contain provisions that address the process by which a stockholder may nominate an individual to stand for election</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to our Board at our annual meeting of stockholders. In order to nominate a candidate for director, a stockholder must give timely notice in writing to our Secretary and otherwise comply with the provisions of our Bylaws. To be timely, our Bylaws provide that we must have received</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stockholder’s notice not more than 120 days nor less than 90 days prior to the anniversary of the previous year’s proxy statement provided in connection with the previous year’s annual meeting of stockholders. Information required by our Bylaws to be in the notice include the name and contact information for the candidate and the person making the nomination and other information about the nominee that must be disclosed in proxy solicitations under Section 14 of the Exchange Act and the related rules and regulations under that section.</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Stockholder nominations must be made in accordance with the procedures outlined in, and include the information required by, our Bylaws and must be addressed to: Secretary, Salarius Pharmaceuticals, Inc., 2450 Holcombe Blvd. Suite X, Houston, TX 77021. You can obtain a copy of our Bylaws by writing to the Secretary at this address.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Our Independent Directors and Communications with our Board of Directors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meetings of the Board, the independent directors meet regularly in an executive session without management or management directors present. The purpose of these executive sessions is to promote open and candid discussion among the non-management directors. Our Board recommends that stockholders and other interested parties initiate communications with our Board, the independent directors,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Chair, or any committee of our Board in writing to the attention of our Secretary, Salarius Pharmaceuticals, Inc., 2450 Holcombe Blvd. Suite X, Houston, TX 77021. This process will assist our Board in reviewing and responding to stockholder communications in an appropriate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manner. Our Board has instructed our Secretary to review such correspondence and, at his discretion, not to forward items if he deems them to be of a commercial or frivolous nature or otherwise inappropriate for our Board’s consideration such as spam, junk mail and mass mailings, product complaints, personal employee complaints, product inquiries, new product suggestions, resumes and other forms of job inquiries, surveys, business solicitations, or advertisements.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Salarius’ “named executive officers” for the year ended December 31, 2024, were:</w:t>
      </w:r>
    </w:p>
    <w:p>
      <w:pPr>
        <w:spacing w:after="0" w:line="2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David J. Arthur, Salarius’ President and Chief Executive Officer;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Mark J. Rosenblum, Salarius’ Executive Vice President of Finance and Chief Financial Officer.</w:t>
      </w:r>
    </w:p>
    <w:p>
      <w:pPr>
        <w:spacing w:after="0" w:line="19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February 20, 2024, Salarius entered into a separation and release agreement with Mr. Arthur, as more fully described below in “Employment and Separation Agreements.”</w:t>
      </w:r>
    </w:p>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February 20, 2024, Salarius and Mr. Rosenblum, entered into that certain Amendment to Executive Employment Agreement, which amends that certain Executive Employment Agreement, dated April 24, 2020, by and between Salarius and Mr. Rosenblum solely to provide Mr. Rosenblum with the option to receive any severance that may be owed to Mr. Rosenblum pursuant to Section 5I(i) thereof in in equal installments over a period of time or in a lump-sum amount.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Investors are encouraged to read the compensation discussion below under “Narrative Disclosure to Summary Compensation Table” in conjunction with the summary compensation tables and related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compensation for services rendered in all capacities to Salarius for the years ended December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Arial" w:cs="Arial" w:eastAsia="Arial" w:hAnsi="Arial"/>
                <w:sz w:val="18"/>
                <w:szCs w:val="18"/>
                <w:color w:val="auto"/>
              </w:rPr>
              <w:t>and</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for</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Salarius’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named</w:t>
            </w:r>
          </w:p>
        </w:tc>
        <w:tc>
          <w:tcPr>
            <w:tcW w:w="180" w:type="dxa"/>
            <w:vAlign w:val="bottom"/>
          </w:tcPr>
          <w:p>
            <w:pPr>
              <w:spacing w:after="0"/>
              <w:rPr>
                <w:sz w:val="20"/>
                <w:szCs w:val="20"/>
                <w:color w:val="auto"/>
              </w:rPr>
            </w:pPr>
          </w:p>
        </w:tc>
        <w:tc>
          <w:tcPr>
            <w:tcW w:w="1460" w:type="dxa"/>
            <w:vAlign w:val="bottom"/>
            <w:gridSpan w:val="2"/>
          </w:tcPr>
          <w:p>
            <w:pPr>
              <w:jc w:val="right"/>
              <w:ind w:right="282"/>
              <w:spacing w:after="0"/>
              <w:rPr>
                <w:sz w:val="20"/>
                <w:szCs w:val="20"/>
                <w:color w:val="auto"/>
              </w:rPr>
            </w:pPr>
            <w:r>
              <w:rPr>
                <w:rFonts w:ascii="Arial" w:cs="Arial" w:eastAsia="Arial" w:hAnsi="Arial"/>
                <w:sz w:val="18"/>
                <w:szCs w:val="18"/>
                <w:color w:val="auto"/>
              </w:rPr>
              <w:t>executive</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181"/>
        </w:trPr>
        <w:tc>
          <w:tcPr>
            <w:tcW w:w="2160" w:type="dxa"/>
            <w:vAlign w:val="bottom"/>
            <w:gridSpan w:val="4"/>
          </w:tcPr>
          <w:p>
            <w:pPr>
              <w:ind w:left="20"/>
              <w:spacing w:after="0" w:line="181" w:lineRule="exact"/>
              <w:rPr>
                <w:sz w:val="20"/>
                <w:szCs w:val="20"/>
                <w:color w:val="auto"/>
              </w:rPr>
            </w:pPr>
            <w:r>
              <w:rPr>
                <w:rFonts w:ascii="Arial" w:cs="Arial" w:eastAsia="Arial" w:hAnsi="Arial"/>
                <w:sz w:val="18"/>
                <w:szCs w:val="18"/>
                <w:b w:val="1"/>
                <w:bCs w:val="1"/>
                <w:color w:val="auto"/>
              </w:rPr>
              <w:t>Name and Principal</w:t>
            </w:r>
          </w:p>
        </w:tc>
        <w:tc>
          <w:tcPr>
            <w:tcW w:w="1080" w:type="dxa"/>
            <w:vAlign w:val="bottom"/>
            <w:gridSpan w:val="2"/>
          </w:tcPr>
          <w:p>
            <w:pPr>
              <w:ind w:left="160"/>
              <w:spacing w:after="0" w:line="181" w:lineRule="exact"/>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Salary</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100"/>
              <w:spacing w:after="0" w:line="181" w:lineRule="exact"/>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20"/>
                <w:szCs w:val="20"/>
                <w:b w:val="1"/>
                <w:bCs w:val="1"/>
                <w:color w:val="auto"/>
                <w:vertAlign w:val="superscript"/>
              </w:rPr>
              <w:t>(2)</w:t>
            </w:r>
          </w:p>
        </w:tc>
        <w:tc>
          <w:tcPr>
            <w:tcW w:w="1540" w:type="dxa"/>
            <w:vAlign w:val="bottom"/>
            <w:gridSpan w:val="3"/>
          </w:tcPr>
          <w:p>
            <w:pPr>
              <w:ind w:left="100"/>
              <w:spacing w:after="0" w:line="181" w:lineRule="exact"/>
              <w:rPr>
                <w:sz w:val="20"/>
                <w:szCs w:val="20"/>
                <w:color w:val="auto"/>
              </w:rPr>
            </w:pPr>
            <w:r>
              <w:rPr>
                <w:rFonts w:ascii="Arial" w:cs="Arial" w:eastAsia="Arial" w:hAnsi="Arial"/>
                <w:sz w:val="18"/>
                <w:szCs w:val="18"/>
                <w:b w:val="1"/>
                <w:bCs w:val="1"/>
                <w:color w:val="auto"/>
              </w:rPr>
              <w:t>Option Awards</w:t>
            </w:r>
          </w:p>
        </w:tc>
        <w:tc>
          <w:tcPr>
            <w:tcW w:w="180" w:type="dxa"/>
            <w:vAlign w:val="bottom"/>
          </w:tcPr>
          <w:p>
            <w:pPr>
              <w:spacing w:after="0"/>
              <w:rPr>
                <w:sz w:val="15"/>
                <w:szCs w:val="15"/>
                <w:color w:val="auto"/>
              </w:rPr>
            </w:pPr>
          </w:p>
        </w:tc>
        <w:tc>
          <w:tcPr>
            <w:tcW w:w="1460" w:type="dxa"/>
            <w:vAlign w:val="bottom"/>
            <w:gridSpan w:val="2"/>
          </w:tcPr>
          <w:p>
            <w:pPr>
              <w:jc w:val="right"/>
              <w:ind w:right="322"/>
              <w:spacing w:after="0" w:line="181" w:lineRule="exact"/>
              <w:rPr>
                <w:sz w:val="20"/>
                <w:szCs w:val="20"/>
                <w:color w:val="auto"/>
              </w:rPr>
            </w:pPr>
            <w:r>
              <w:rPr>
                <w:rFonts w:ascii="Arial" w:cs="Arial" w:eastAsia="Arial" w:hAnsi="Arial"/>
                <w:sz w:val="18"/>
                <w:szCs w:val="18"/>
                <w:b w:val="1"/>
                <w:bCs w:val="1"/>
                <w:color w:val="auto"/>
              </w:rPr>
              <w:t>All Other</w:t>
            </w:r>
          </w:p>
        </w:tc>
        <w:tc>
          <w:tcPr>
            <w:tcW w:w="440" w:type="dxa"/>
            <w:vAlign w:val="bottom"/>
          </w:tcPr>
          <w:p>
            <w:pPr>
              <w:spacing w:after="0"/>
              <w:rPr>
                <w:sz w:val="15"/>
                <w:szCs w:val="15"/>
                <w:color w:val="auto"/>
              </w:rPr>
            </w:pPr>
          </w:p>
        </w:tc>
        <w:tc>
          <w:tcPr>
            <w:tcW w:w="1140" w:type="dxa"/>
            <w:vAlign w:val="bottom"/>
          </w:tcPr>
          <w:p>
            <w:pPr>
              <w:jc w:val="right"/>
              <w:ind w:right="43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9"/>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Position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578"/>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vMerge w:val="restart"/>
          </w:tcPr>
          <w:p>
            <w:pPr>
              <w:jc w:val="right"/>
              <w:ind w:right="82"/>
              <w:spacing w:after="0"/>
              <w:rPr>
                <w:sz w:val="20"/>
                <w:szCs w:val="20"/>
                <w:color w:val="auto"/>
              </w:rPr>
            </w:pPr>
            <w:r>
              <w:rPr>
                <w:rFonts w:ascii="Arial" w:cs="Arial" w:eastAsia="Arial" w:hAnsi="Arial"/>
                <w:sz w:val="18"/>
                <w:szCs w:val="18"/>
                <w:b w:val="1"/>
                <w:bCs w:val="1"/>
                <w:color w:val="auto"/>
              </w:rPr>
              <w:t>Compensation</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176,153</w:t>
            </w:r>
          </w:p>
        </w:tc>
        <w:tc>
          <w:tcPr>
            <w:tcW w:w="380" w:type="dxa"/>
            <w:vAlign w:val="bottom"/>
            <w:vMerge w:val="restart"/>
          </w:tcPr>
          <w:p>
            <w:pPr>
              <w:jc w:val="right"/>
              <w:ind w:right="14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550,032</w:t>
            </w:r>
          </w:p>
        </w:tc>
        <w:tc>
          <w:tcPr>
            <w:tcW w:w="480" w:type="dxa"/>
            <w:vAlign w:val="bottom"/>
            <w:vMerge w:val="restart"/>
          </w:tcPr>
          <w:p>
            <w:pPr>
              <w:jc w:val="right"/>
              <w:ind w:right="242"/>
              <w:spacing w:after="0"/>
              <w:rPr>
                <w:sz w:val="20"/>
                <w:szCs w:val="20"/>
                <w:color w:val="auto"/>
              </w:rPr>
            </w:pPr>
            <w:r>
              <w:rPr>
                <w:rFonts w:ascii="Arial" w:cs="Arial" w:eastAsia="Arial" w:hAnsi="Arial"/>
                <w:sz w:val="12"/>
                <w:szCs w:val="12"/>
                <w:color w:val="auto"/>
              </w:rPr>
              <w:t>(4)</w:t>
            </w:r>
          </w:p>
        </w:tc>
        <w:tc>
          <w:tcPr>
            <w:tcW w:w="4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734,450</w:t>
            </w:r>
          </w:p>
        </w:tc>
        <w:tc>
          <w:tcPr>
            <w:tcW w:w="0" w:type="dxa"/>
            <w:vAlign w:val="bottom"/>
          </w:tcPr>
          <w:p>
            <w:pPr>
              <w:spacing w:after="0"/>
              <w:rPr>
                <w:sz w:val="1"/>
                <w:szCs w:val="1"/>
                <w:color w:val="auto"/>
              </w:rPr>
            </w:pPr>
          </w:p>
        </w:tc>
      </w:tr>
      <w:tr>
        <w:trPr>
          <w:trHeight w:val="193"/>
        </w:trPr>
        <w:tc>
          <w:tcPr>
            <w:tcW w:w="1400" w:type="dxa"/>
            <w:vAlign w:val="bottom"/>
          </w:tcPr>
          <w:p>
            <w:pPr>
              <w:ind w:left="20"/>
              <w:spacing w:after="0" w:line="193" w:lineRule="exact"/>
              <w:rPr>
                <w:sz w:val="20"/>
                <w:szCs w:val="20"/>
                <w:color w:val="auto"/>
              </w:rPr>
            </w:pPr>
            <w:r>
              <w:rPr>
                <w:rFonts w:ascii="Arial" w:cs="Arial" w:eastAsia="Arial" w:hAnsi="Arial"/>
                <w:sz w:val="18"/>
                <w:szCs w:val="18"/>
                <w:color w:val="auto"/>
              </w:rPr>
              <w:t>David J. Arthur</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160"/>
              <w:spacing w:after="0" w:line="193"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3" w:lineRule="exact"/>
              <w:rPr>
                <w:sz w:val="20"/>
                <w:szCs w:val="20"/>
                <w:color w:val="auto"/>
              </w:rPr>
            </w:pPr>
            <w:r>
              <w:rPr>
                <w:rFonts w:ascii="Arial" w:cs="Arial" w:eastAsia="Arial" w:hAnsi="Arial"/>
                <w:sz w:val="18"/>
                <w:szCs w:val="18"/>
                <w:color w:val="auto"/>
              </w:rPr>
              <w:t>8,265</w:t>
            </w: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gridSpan w:val="4"/>
          </w:tcPr>
          <w:p>
            <w:pPr>
              <w:ind w:left="20"/>
              <w:spacing w:after="0" w:line="202" w:lineRule="exact"/>
              <w:rPr>
                <w:sz w:val="20"/>
                <w:szCs w:val="20"/>
                <w:color w:val="auto"/>
              </w:rPr>
            </w:pPr>
            <w:r>
              <w:rPr>
                <w:rFonts w:ascii="Arial" w:cs="Arial" w:eastAsia="Arial" w:hAnsi="Arial"/>
                <w:sz w:val="18"/>
                <w:szCs w:val="18"/>
                <w:i w:val="1"/>
                <w:iCs w:val="1"/>
                <w:color w:val="auto"/>
              </w:rPr>
              <w:t>President and Chief</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vMerge w:val="restart"/>
          </w:tcPr>
          <w:p>
            <w:pPr>
              <w:jc w:val="right"/>
              <w:ind w:right="242"/>
              <w:spacing w:after="0"/>
              <w:rPr>
                <w:sz w:val="20"/>
                <w:szCs w:val="20"/>
                <w:color w:val="auto"/>
              </w:rPr>
            </w:pPr>
            <w:r>
              <w:rPr>
                <w:rFonts w:ascii="Arial" w:cs="Arial" w:eastAsia="Arial" w:hAnsi="Arial"/>
                <w:sz w:val="12"/>
                <w:szCs w:val="12"/>
                <w:color w:val="auto"/>
              </w:rPr>
              <w:t>(5)</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00" w:type="dxa"/>
            <w:vAlign w:val="bottom"/>
          </w:tcPr>
          <w:p>
            <w:pPr>
              <w:ind w:left="20"/>
              <w:spacing w:after="0"/>
              <w:rPr>
                <w:sz w:val="20"/>
                <w:szCs w:val="20"/>
                <w:color w:val="auto"/>
              </w:rPr>
            </w:pPr>
            <w:r>
              <w:rPr>
                <w:rFonts w:ascii="Arial" w:cs="Arial" w:eastAsia="Arial" w:hAnsi="Arial"/>
                <w:sz w:val="18"/>
                <w:szCs w:val="18"/>
                <w:i w:val="1"/>
                <w:iCs w:val="1"/>
                <w:color w:val="auto"/>
              </w:rPr>
              <w:t>Executive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380" w:type="dxa"/>
            <w:vAlign w:val="bottom"/>
          </w:tcPr>
          <w:p>
            <w:pPr>
              <w:spacing w:after="0"/>
              <w:rPr>
                <w:sz w:val="19"/>
                <w:szCs w:val="19"/>
                <w:color w:val="auto"/>
              </w:rPr>
            </w:pPr>
          </w:p>
        </w:tc>
        <w:tc>
          <w:tcPr>
            <w:tcW w:w="900" w:type="dxa"/>
            <w:vAlign w:val="bottom"/>
            <w:gridSpan w:val="2"/>
          </w:tcPr>
          <w:p>
            <w:pPr>
              <w:jc w:val="right"/>
              <w:ind w:right="60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13,200</w:t>
            </w:r>
          </w:p>
        </w:tc>
        <w:tc>
          <w:tcPr>
            <w:tcW w:w="480" w:type="dxa"/>
            <w:vAlign w:val="bottom"/>
            <w:vMerge w:val="continue"/>
          </w:tcPr>
          <w:p>
            <w:pPr>
              <w:spacing w:after="0"/>
              <w:rPr>
                <w:sz w:val="19"/>
                <w:szCs w:val="19"/>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544,600</w:t>
            </w:r>
          </w:p>
        </w:tc>
        <w:tc>
          <w:tcPr>
            <w:tcW w:w="0" w:type="dxa"/>
            <w:vAlign w:val="bottom"/>
          </w:tcPr>
          <w:p>
            <w:pPr>
              <w:spacing w:after="0"/>
              <w:rPr>
                <w:sz w:val="1"/>
                <w:szCs w:val="1"/>
                <w:color w:val="auto"/>
              </w:rPr>
            </w:pPr>
          </w:p>
        </w:tc>
      </w:tr>
      <w:tr>
        <w:trPr>
          <w:trHeight w:val="245"/>
        </w:trPr>
        <w:tc>
          <w:tcPr>
            <w:tcW w:w="2160" w:type="dxa"/>
            <w:vAlign w:val="bottom"/>
            <w:gridSpan w:val="4"/>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r>
              <w:rPr>
                <w:rFonts w:ascii="Arial" w:cs="Arial" w:eastAsia="Arial" w:hAnsi="Arial"/>
                <w:sz w:val="21"/>
                <w:szCs w:val="21"/>
                <w:color w:val="auto"/>
              </w:rPr>
              <w:t>..................</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-558165</wp:posOffset>
            </wp:positionV>
            <wp:extent cx="2040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40255"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-558165</wp:posOffset>
            </wp:positionV>
            <wp:extent cx="9340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auto"/>
              </w:rPr>
              <w:t>Mark J. Rosenblum</w:t>
            </w: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330,000</w:t>
            </w:r>
          </w:p>
        </w:tc>
        <w:tc>
          <w:tcPr>
            <w:tcW w:w="800" w:type="dxa"/>
            <w:vAlign w:val="bottom"/>
          </w:tcPr>
          <w:p>
            <w:pPr>
              <w:spacing w:after="0"/>
              <w:rPr>
                <w:sz w:val="17"/>
                <w:szCs w:val="17"/>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11,372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Executive Vice</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President, Finance</w:t>
            </w: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330,000</w:t>
            </w:r>
          </w:p>
        </w:tc>
        <w:tc>
          <w:tcPr>
            <w:tcW w:w="8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550"/>
              <w:spacing w:after="0"/>
              <w:rPr>
                <w:sz w:val="20"/>
                <w:szCs w:val="20"/>
                <w:color w:val="auto"/>
              </w:rPr>
            </w:pPr>
            <w:r>
              <w:rPr>
                <w:rFonts w:ascii="Arial" w:cs="Arial" w:eastAsia="Arial" w:hAnsi="Arial"/>
                <w:sz w:val="18"/>
                <w:szCs w:val="18"/>
                <w:color w:val="auto"/>
              </w:rPr>
              <w:t>12,560</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164"/>
        </w:trPr>
        <w:tc>
          <w:tcPr>
            <w:tcW w:w="1920" w:type="dxa"/>
            <w:vAlign w:val="bottom"/>
            <w:vMerge w:val="restart"/>
          </w:tcPr>
          <w:p>
            <w:pPr>
              <w:spacing w:after="0"/>
              <w:rPr>
                <w:sz w:val="20"/>
                <w:szCs w:val="20"/>
                <w:color w:val="auto"/>
              </w:rPr>
            </w:pPr>
            <w:r>
              <w:rPr>
                <w:rFonts w:ascii="Arial" w:cs="Arial" w:eastAsia="Arial" w:hAnsi="Arial"/>
                <w:sz w:val="18"/>
                <w:szCs w:val="18"/>
                <w:i w:val="1"/>
                <w:iCs w:val="1"/>
                <w:color w:val="auto"/>
              </w:rPr>
              <w:t>and Chief Financial</w:t>
            </w:r>
          </w:p>
        </w:tc>
        <w:tc>
          <w:tcPr>
            <w:tcW w:w="10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9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(5)</w:t>
      </w: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734" w:hanging="734"/>
        <w:spacing w:after="0"/>
        <w:tabs>
          <w:tab w:leader="none" w:pos="7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350,422</w:t>
      </w:r>
    </w:p>
    <w:p>
      <w:pPr>
        <w:spacing w:after="0" w:line="331" w:lineRule="exact"/>
        <w:rPr>
          <w:rFonts w:ascii="Arial" w:cs="Arial" w:eastAsia="Arial" w:hAnsi="Arial"/>
          <w:sz w:val="17"/>
          <w:szCs w:val="17"/>
          <w:color w:val="auto"/>
        </w:rPr>
      </w:pPr>
    </w:p>
    <w:p>
      <w:pPr>
        <w:ind w:left="734" w:hanging="734"/>
        <w:spacing w:after="0"/>
        <w:tabs>
          <w:tab w:leader="none" w:pos="7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355,760</w:t>
      </w:r>
    </w:p>
    <w:p>
      <w:pPr>
        <w:spacing w:after="0" w:line="513" w:lineRule="exact"/>
        <w:rPr>
          <w:sz w:val="20"/>
          <w:szCs w:val="20"/>
          <w:color w:val="auto"/>
        </w:rPr>
      </w:pPr>
    </w:p>
    <w:p>
      <w:pPr>
        <w:sectPr>
          <w:pgSz w:w="11900" w:h="16838" w:orient="portrait"/>
          <w:cols w:equalWidth="0" w:num="3">
            <w:col w:w="9120" w:space="100"/>
            <w:col w:w="140" w:space="426"/>
            <w:col w:w="1454"/>
          </w:cols>
          <w:pgMar w:left="320" w:top="274" w:right="339" w:bottom="1440" w:gutter="0" w:footer="0" w:header="0"/>
          <w:type w:val="continuous"/>
        </w:sectPr>
      </w:pPr>
    </w:p>
    <w:p>
      <w:pPr>
        <w:spacing w:after="0" w:line="129" w:lineRule="exact"/>
        <w:rPr>
          <w:sz w:val="20"/>
          <w:szCs w:val="20"/>
          <w:color w:val="auto"/>
        </w:rPr>
      </w:pPr>
    </w:p>
    <w:p>
      <w:pPr>
        <w:jc w:val="both"/>
        <w:ind w:left="660" w:hanging="328"/>
        <w:spacing w:after="0" w:line="257"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shown comprises $68,750 in salary earned and paid in 2024 to Mr. Arthur pursuant to his employment agreement and $107,403 in consulting fees earned and paid to him pursuant to that certain Consulting Agreement. dated February 20, 2024, by and between Salarius and Mr. Arthur.</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grant date fair value of the restricted stock granted, calculated in accordance with FASB ASC Topic 718 using the close price of Salarius’ common stock on the grant date.</w:t>
      </w:r>
    </w:p>
    <w:p>
      <w:pPr>
        <w:jc w:val="both"/>
        <w:ind w:left="660" w:hanging="328"/>
        <w:spacing w:after="0" w:line="250"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grant date fair value of stock options using the Black-Scholes option-pricing model computed in accordance with FASB ASC Topic 718. See Note 8 to Salarius’ financial statements contained in this Annual Report on Form 10-K for the assumptions used in such valuation.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shown represents Mr. Arthur’s severance payment of $500,000, unused paid time off of $5,341 and COBRA premiums of $19,691 paid in 2024 pursuant to that certain Separation and Release Agreement, dated February 20, 2024, between Salarius and Mr. Arthur, $2,500 in matching contributions by Salarius pursuant to its 401(k) plan, and $22,500 of director fee earned in 2024 following Mr. Arthur’s termination of employment.</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shown represents matching contributions by Salarius pursuant to its 401(k)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process of determining compensation for Salarius’ named executive officers, the Compensation Committee considers the current financial position of Salarius, the strategic goals of Salarius, and the performance of each of Salarius’ named executive officers. In addition, from time to time, the Compensation Committee considers the various components (described below) of Salarius’ compensation program for executives in relation to compensation paid by other public companies, compensation data, their historical review of all executive officer compensation, and recommendations from Salarius Chief Executive Officer (other than for his own salary). The Compensation Committee has the sole authority to select, compensate and terminate its external advisors.</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Compensation Committee utilizes the following components of compensation (described further below) to strike an appropriate balance between promoting sustainable and excellent performance and discouraging any excessive risk-taking behavior:</w:t>
      </w:r>
    </w:p>
    <w:p>
      <w:pPr>
        <w:spacing w:after="0" w:line="17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Base Salary;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Non-equity incentive plan compensation;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Annual long-term equity compensation;</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Personal benefits and perquisites;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Acceleration and severance agreements tied to changes in control of Salarius.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Salaries</w:t>
      </w:r>
    </w:p>
    <w:p>
      <w:pPr>
        <w:sectPr>
          <w:pgSz w:w="11900" w:h="16838" w:orient="portrait"/>
          <w:cols w:equalWidth="0" w:num="1">
            <w:col w:w="11240"/>
          </w:cols>
          <w:pgMar w:left="320" w:top="2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Salarius’ named executive officers receive base salaries as set forth in their respective employment or consulting agreements. Each named executive officer is eligible for annual raises subject to review and approval of the Compensation Committee. There were no salary raises in 2024. Mr. Arthur’s base salary was $500,000 for the portion of 2024 during which he served as an employee and, following his termination, Mr. Arthur received $10,417 per month pursuant to the terms of his consulting agreement. Mr. Rosenblum’s base salary was $330,000 for 2024.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2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Target bonuses are reviewed annually and established as a percentage of the executives’ base salaries, generally based upon seniority of the officer and targeted at or near the median of the peer group (with reference to Salarius’ corporate compensation philosophy) and relevant survey data. Each year, the Compensation Committee establishes corporate and individual objectives and respective target percentages, taking into account recommendations from Salarius’ Chief Executive Officer as it relates to executive positions other than the Chief Executive Officer’s compensation. Salarius’ Chief Executive Officer’s target bonus is set by the Compensation Committee to align entirely with Salarius’ overall corporate objectives. At the end of each fiscal year-end, Salarius’ Chief Executive Officer provides the Compensation Committee with a written evaluation showing actual performance as compared to corporate and/or individual objectives, and the Compensation Committee uses that information, along with the overall corporate performance, to determine what percentage of each executive’s bonus target will be paid out as a bonus for that year. Overall, the Compensation Committee seeks to establish the corporate and individual functional goals to be highly challenging yet attainable.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Arthur’s and Mr. Rosenblum’s target bonus’ for both 2024 and 2023 as a percentage of base salary was 50% and 35%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Neither named executive officer received a bonus for Salarius’ 2023 and 2024 fiscal years.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2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Salarius designed its long-term equity grant program to further align the interests of its executives with those of its stockholders and to reward the executives’ longer-term performance. Historically, the Compensation Committee has granted stock options, although from time-to-time, to further increase the emphasis on compensation tied to performance, the Compensation Committee may grant other equity awards as allowed by the Salarius Pharmaceuticals 2015 Equity Incentive Plan. The Compensation Committee may grant stock options, restricted stock, restricted stock units and similar equity awards permitted under Salarius’ plans based on its judgment as to whether the complete compensation packages to Salarius’ executives, including prior equity awards, are appropriate and sufficient to retain and incentivize the executives and whether the grants balance long-term versus short-term compensation. The Compensation Committee also considers Salarius’ overall performance as well as the individual performance of each of Salarius’ named executive officers, the potential dilutive effect of restricted stock awards, the dilutive and overhang effect of the equity awards, and recommendations from the Chief Executive Officer (other than with respect to his own equity awards).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 are granted with an exercise price equal to the fair market value of Salarius’ common stock on the date of grant.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is granted at the closing price of Salarius’ common stock on the grant date.</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February 20, 2024, the Compensation Committee granted Mr. Rosenblum an option to purchase 2,813 shares of Salarius common stock at an exercise price of $4.5688 per share. 25% of the options vests on February 20, 2025 and the remaining 1/36 of the remaining option vests on each monthly anniversary thereafter for 36 months.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April 11, 2024, the Compensation Committee granted Mr. Arthur an option to purchase 2,563 shares of Salarius common stock at an exercise price of $4.08 per share. 100% of the option vest on April 11, 2025.</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Personal Benefits and Perquisites</w:t>
      </w:r>
    </w:p>
    <w:p>
      <w:pPr>
        <w:spacing w:after="0" w:line="22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All of Salarius’ executives are eligible to participate in Salarius’ employee benefit plans, including medical, dental, vision, life insurance, short-term and long-term disability insurance, flexible spending accounts, 401(k), and an employee stock purchase program. These plans are available to all full-time employees. In keeping with Salarius’ philosophy to provide total compensation that is competitive within Salarius’ industry, Salarius offers limited personal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benefits and perquisites to its executive officers. You can find more information on the amounts paid for these perquisites to or on behalf of Salarius’ named executive officers in Salarius’ Summary Compensation Table.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2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None of Salarius’ named executive officers participates in or has account balances in nonqualified defined contribution plans or other nonqualified deferred compensation plans maintained by Salarius. Salarius’ board of directors may elect to provide its officers and other employees with nonqualified defined contribution or other nonqualified deferred compensation benefits in the future if it determines that doing so is in Salarius’ best interests.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concerning equity awards held by Salarius’ named executive officers as of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Option Awards</w:t>
            </w:r>
          </w:p>
        </w:tc>
        <w:tc>
          <w:tcPr>
            <w:tcW w:w="1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2520" w:type="dxa"/>
            <w:vAlign w:val="bottom"/>
            <w:gridSpan w:val="2"/>
          </w:tcPr>
          <w:p>
            <w:pPr>
              <w:ind w:left="20"/>
              <w:spacing w:after="0" w:line="197" w:lineRule="exact"/>
              <w:rPr>
                <w:sz w:val="20"/>
                <w:szCs w:val="20"/>
                <w:color w:val="auto"/>
              </w:rPr>
            </w:pPr>
            <w:r>
              <w:rPr>
                <w:rFonts w:ascii="Arial" w:cs="Arial" w:eastAsia="Arial" w:hAnsi="Arial"/>
                <w:sz w:val="18"/>
                <w:szCs w:val="18"/>
                <w:b w:val="1"/>
                <w:bCs w:val="1"/>
                <w:color w:val="auto"/>
              </w:rPr>
              <w:t>Name</w:t>
            </w:r>
          </w:p>
        </w:tc>
        <w:tc>
          <w:tcPr>
            <w:tcW w:w="1080" w:type="dxa"/>
            <w:vAlign w:val="bottom"/>
          </w:tcPr>
          <w:p>
            <w:pPr>
              <w:ind w:left="100"/>
              <w:spacing w:after="0" w:line="197" w:lineRule="exact"/>
              <w:rPr>
                <w:sz w:val="20"/>
                <w:szCs w:val="20"/>
                <w:color w:val="auto"/>
              </w:rPr>
            </w:pPr>
            <w:r>
              <w:rPr>
                <w:rFonts w:ascii="Arial" w:cs="Arial" w:eastAsia="Arial" w:hAnsi="Arial"/>
                <w:sz w:val="18"/>
                <w:szCs w:val="18"/>
                <w:b w:val="1"/>
                <w:bCs w:val="1"/>
                <w:color w:val="auto"/>
              </w:rPr>
              <w:t>Grant Date</w:t>
            </w:r>
          </w:p>
        </w:tc>
        <w:tc>
          <w:tcPr>
            <w:tcW w:w="116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9"/>
              </w:rPr>
              <w:t>Number of</w:t>
            </w:r>
          </w:p>
        </w:tc>
        <w:tc>
          <w:tcPr>
            <w:tcW w:w="1360" w:type="dxa"/>
            <w:vAlign w:val="bottom"/>
            <w:gridSpan w:val="2"/>
          </w:tcPr>
          <w:p>
            <w:pPr>
              <w:jc w:val="center"/>
              <w:spacing w:after="0" w:line="197" w:lineRule="exact"/>
              <w:rPr>
                <w:sz w:val="20"/>
                <w:szCs w:val="20"/>
                <w:color w:val="auto"/>
              </w:rPr>
            </w:pPr>
            <w:r>
              <w:rPr>
                <w:rFonts w:ascii="Arial" w:cs="Arial" w:eastAsia="Arial" w:hAnsi="Arial"/>
                <w:sz w:val="18"/>
                <w:szCs w:val="18"/>
                <w:b w:val="1"/>
                <w:bCs w:val="1"/>
                <w:color w:val="auto"/>
                <w:w w:val="99"/>
              </w:rPr>
              <w:t>Number of</w:t>
            </w:r>
          </w:p>
        </w:tc>
        <w:tc>
          <w:tcPr>
            <w:tcW w:w="1540" w:type="dxa"/>
            <w:vAlign w:val="bottom"/>
            <w:gridSpan w:val="2"/>
          </w:tcPr>
          <w:p>
            <w:pPr>
              <w:jc w:val="right"/>
              <w:ind w:right="10"/>
              <w:spacing w:after="0" w:line="197" w:lineRule="exact"/>
              <w:rPr>
                <w:sz w:val="20"/>
                <w:szCs w:val="20"/>
                <w:color w:val="auto"/>
              </w:rPr>
            </w:pPr>
            <w:r>
              <w:rPr>
                <w:rFonts w:ascii="Arial" w:cs="Arial" w:eastAsia="Arial" w:hAnsi="Arial"/>
                <w:sz w:val="18"/>
                <w:szCs w:val="18"/>
                <w:b w:val="1"/>
                <w:bCs w:val="1"/>
                <w:color w:val="auto"/>
              </w:rPr>
              <w:t>Option exercise</w:t>
            </w:r>
          </w:p>
        </w:tc>
        <w:tc>
          <w:tcPr>
            <w:tcW w:w="108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9"/>
              </w:rPr>
              <w:t>Option</w:t>
            </w:r>
          </w:p>
        </w:tc>
        <w:tc>
          <w:tcPr>
            <w:tcW w:w="100" w:type="dxa"/>
            <w:vAlign w:val="bottom"/>
          </w:tcPr>
          <w:p>
            <w:pPr>
              <w:spacing w:after="0"/>
              <w:rPr>
                <w:sz w:val="17"/>
                <w:szCs w:val="17"/>
                <w:color w:val="auto"/>
              </w:rPr>
            </w:pPr>
          </w:p>
        </w:tc>
        <w:tc>
          <w:tcPr>
            <w:tcW w:w="72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17"/>
                <w:szCs w:val="17"/>
                <w:color w:val="auto"/>
              </w:rPr>
            </w:pPr>
          </w:p>
        </w:tc>
        <w:tc>
          <w:tcPr>
            <w:tcW w:w="880" w:type="dxa"/>
            <w:vAlign w:val="bottom"/>
          </w:tcPr>
          <w:p>
            <w:pPr>
              <w:jc w:val="center"/>
              <w:ind w:right="10"/>
              <w:spacing w:after="0" w:line="197" w:lineRule="exact"/>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w:t>
            </w:r>
          </w:p>
        </w:tc>
        <w:tc>
          <w:tcPr>
            <w:tcW w:w="13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securities</w:t>
            </w:r>
          </w:p>
        </w:tc>
        <w:tc>
          <w:tcPr>
            <w:tcW w:w="340" w:type="dxa"/>
            <w:vAlign w:val="bottom"/>
          </w:tcPr>
          <w:p>
            <w:pPr>
              <w:spacing w:after="0"/>
              <w:rPr>
                <w:sz w:val="17"/>
                <w:szCs w:val="17"/>
                <w:color w:val="auto"/>
              </w:rPr>
            </w:pPr>
          </w:p>
        </w:tc>
        <w:tc>
          <w:tcPr>
            <w:tcW w:w="120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Price</w:t>
            </w:r>
          </w:p>
        </w:tc>
        <w:tc>
          <w:tcPr>
            <w:tcW w:w="11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expiration</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of</w:t>
            </w:r>
          </w:p>
        </w:tc>
        <w:tc>
          <w:tcPr>
            <w:tcW w:w="120" w:type="dxa"/>
            <w:vAlign w:val="bottom"/>
          </w:tcPr>
          <w:p>
            <w:pPr>
              <w:spacing w:after="0"/>
              <w:rPr>
                <w:sz w:val="17"/>
                <w:szCs w:val="17"/>
                <w:color w:val="auto"/>
              </w:rPr>
            </w:pPr>
          </w:p>
        </w:tc>
        <w:tc>
          <w:tcPr>
            <w:tcW w:w="8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value of</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underlying</w:t>
            </w:r>
          </w:p>
        </w:tc>
        <w:tc>
          <w:tcPr>
            <w:tcW w:w="13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underlying</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date</w:t>
            </w: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shares or</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unexercised</w:t>
            </w:r>
          </w:p>
        </w:tc>
        <w:tc>
          <w:tcPr>
            <w:tcW w:w="13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unexercised</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or units</w:t>
            </w:r>
          </w:p>
        </w:tc>
        <w:tc>
          <w:tcPr>
            <w:tcW w:w="120" w:type="dxa"/>
            <w:vAlign w:val="bottom"/>
          </w:tcPr>
          <w:p>
            <w:pPr>
              <w:spacing w:after="0"/>
              <w:rPr>
                <w:sz w:val="17"/>
                <w:szCs w:val="17"/>
                <w:color w:val="auto"/>
              </w:rPr>
            </w:pPr>
          </w:p>
        </w:tc>
        <w:tc>
          <w:tcPr>
            <w:tcW w:w="88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units of</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options that options that are</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of stock stock that</w:t>
            </w: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rPr>
              <w:t>are</w:t>
            </w:r>
          </w:p>
        </w:tc>
        <w:tc>
          <w:tcPr>
            <w:tcW w:w="1360" w:type="dxa"/>
            <w:vAlign w:val="bottom"/>
            <w:gridSpan w:val="2"/>
          </w:tcPr>
          <w:p>
            <w:pPr>
              <w:jc w:val="center"/>
              <w:spacing w:after="0" w:line="199" w:lineRule="exact"/>
              <w:rPr>
                <w:sz w:val="20"/>
                <w:szCs w:val="20"/>
                <w:color w:val="auto"/>
              </w:rPr>
            </w:pPr>
            <w:r>
              <w:rPr>
                <w:rFonts w:ascii="Arial" w:cs="Arial" w:eastAsia="Arial" w:hAnsi="Arial"/>
                <w:sz w:val="18"/>
                <w:szCs w:val="18"/>
                <w:b w:val="1"/>
                <w:bCs w:val="1"/>
                <w:color w:val="auto"/>
                <w:w w:val="99"/>
              </w:rPr>
              <w:t>unexercisable</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rPr>
              <w:t>that</w:t>
            </w:r>
          </w:p>
        </w:tc>
        <w:tc>
          <w:tcPr>
            <w:tcW w:w="120" w:type="dxa"/>
            <w:vAlign w:val="bottom"/>
          </w:tcPr>
          <w:p>
            <w:pPr>
              <w:spacing w:after="0"/>
              <w:rPr>
                <w:sz w:val="17"/>
                <w:szCs w:val="17"/>
                <w:color w:val="auto"/>
              </w:rPr>
            </w:pPr>
          </w:p>
        </w:tc>
        <w:tc>
          <w:tcPr>
            <w:tcW w:w="880" w:type="dxa"/>
            <w:vAlign w:val="bottom"/>
          </w:tcPr>
          <w:p>
            <w:pPr>
              <w:jc w:val="center"/>
              <w:ind w:right="10"/>
              <w:spacing w:after="0" w:line="199" w:lineRule="exact"/>
              <w:rPr>
                <w:sz w:val="20"/>
                <w:szCs w:val="20"/>
                <w:color w:val="auto"/>
              </w:rPr>
            </w:pPr>
            <w:r>
              <w:rPr>
                <w:rFonts w:ascii="Arial" w:cs="Arial" w:eastAsia="Arial" w:hAnsi="Arial"/>
                <w:sz w:val="18"/>
                <w:szCs w:val="18"/>
                <w:b w:val="1"/>
                <w:bCs w:val="1"/>
                <w:color w:val="auto"/>
                <w:w w:val="99"/>
              </w:rPr>
              <w:t>have not</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exercisable</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have</w:t>
            </w:r>
          </w:p>
        </w:tc>
        <w:tc>
          <w:tcPr>
            <w:tcW w:w="120" w:type="dxa"/>
            <w:vAlign w:val="bottom"/>
          </w:tcPr>
          <w:p>
            <w:pPr>
              <w:spacing w:after="0"/>
              <w:rPr>
                <w:sz w:val="17"/>
                <w:szCs w:val="17"/>
                <w:color w:val="auto"/>
              </w:rPr>
            </w:pPr>
          </w:p>
        </w:tc>
        <w:tc>
          <w:tcPr>
            <w:tcW w:w="880" w:type="dxa"/>
            <w:vAlign w:val="bottom"/>
          </w:tcPr>
          <w:p>
            <w:pPr>
              <w:jc w:val="center"/>
              <w:ind w:right="10"/>
              <w:spacing w:after="0" w:line="207" w:lineRule="exact"/>
              <w:rPr>
                <w:sz w:val="20"/>
                <w:szCs w:val="20"/>
                <w:color w:val="auto"/>
              </w:rPr>
            </w:pPr>
            <w:r>
              <w:rPr>
                <w:rFonts w:ascii="Arial" w:cs="Arial" w:eastAsia="Arial" w:hAnsi="Arial"/>
                <w:sz w:val="18"/>
                <w:szCs w:val="18"/>
                <w:b w:val="1"/>
                <w:bCs w:val="1"/>
                <w:color w:val="auto"/>
                <w:w w:val="96"/>
              </w:rPr>
              <w:t xml:space="preserve">vested </w:t>
            </w:r>
            <w:r>
              <w:rPr>
                <w:rFonts w:ascii="Arial" w:cs="Arial" w:eastAsia="Arial" w:hAnsi="Arial"/>
                <w:sz w:val="23"/>
                <w:szCs w:val="23"/>
                <w:b w:val="1"/>
                <w:bCs w:val="1"/>
                <w:color w:val="auto"/>
                <w:w w:val="96"/>
                <w:vertAlign w:val="superscript"/>
              </w:rPr>
              <w:t>(4)</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not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vested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460" w:type="dxa"/>
            <w:vAlign w:val="bottom"/>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2440" w:type="dxa"/>
            <w:vAlign w:val="bottom"/>
          </w:tcPr>
          <w:p>
            <w:pPr>
              <w:ind w:left="20"/>
              <w:spacing w:after="0" w:line="196" w:lineRule="exact"/>
              <w:rPr>
                <w:sz w:val="20"/>
                <w:szCs w:val="20"/>
                <w:color w:val="auto"/>
              </w:rPr>
            </w:pPr>
            <w:r>
              <w:rPr>
                <w:rFonts w:ascii="Arial" w:cs="Arial" w:eastAsia="Arial" w:hAnsi="Arial"/>
                <w:sz w:val="18"/>
                <w:szCs w:val="18"/>
                <w:color w:val="auto"/>
              </w:rPr>
              <w:t>David J.</w:t>
            </w:r>
          </w:p>
        </w:tc>
        <w:tc>
          <w:tcPr>
            <w:tcW w:w="8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9"/>
              </w:rPr>
              <w:t>9/10/2019</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1,600</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9"/>
              </w:rPr>
              <w:t>9/10/2029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Arthur</w:t>
            </w:r>
            <w:r>
              <w:rPr>
                <w:rFonts w:ascii="Arial" w:cs="Arial" w:eastAsia="Arial" w:hAnsi="Arial"/>
                <w:sz w:val="21"/>
                <w:szCs w:val="21"/>
                <w:color w:val="auto"/>
              </w:rPr>
              <w:t>.........................</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3/23/2020</w:t>
            </w: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3/22/2030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7/14/2020</w:t>
            </w:r>
          </w:p>
        </w:tc>
        <w:tc>
          <w:tcPr>
            <w:tcW w:w="1160" w:type="dxa"/>
            <w:vAlign w:val="bottom"/>
          </w:tcPr>
          <w:p>
            <w:pPr>
              <w:jc w:val="right"/>
              <w:spacing w:after="0"/>
              <w:rPr>
                <w:sz w:val="20"/>
                <w:szCs w:val="20"/>
                <w:color w:val="auto"/>
              </w:rPr>
            </w:pPr>
            <w:r>
              <w:rPr>
                <w:rFonts w:ascii="Arial" w:cs="Arial" w:eastAsia="Arial" w:hAnsi="Arial"/>
                <w:sz w:val="18"/>
                <w:szCs w:val="18"/>
                <w:color w:val="auto"/>
              </w:rPr>
              <w:t>1,697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7/13/2030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12/2/2020</w:t>
            </w:r>
          </w:p>
        </w:tc>
        <w:tc>
          <w:tcPr>
            <w:tcW w:w="1160" w:type="dxa"/>
            <w:vAlign w:val="bottom"/>
          </w:tcPr>
          <w:p>
            <w:pPr>
              <w:jc w:val="right"/>
              <w:spacing w:after="0"/>
              <w:rPr>
                <w:sz w:val="20"/>
                <w:szCs w:val="20"/>
                <w:color w:val="auto"/>
              </w:rPr>
            </w:pPr>
            <w:r>
              <w:rPr>
                <w:rFonts w:ascii="Arial" w:cs="Arial" w:eastAsia="Arial" w:hAnsi="Arial"/>
                <w:sz w:val="18"/>
                <w:szCs w:val="18"/>
                <w:color w:val="auto"/>
              </w:rPr>
              <w:t>1,375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322"/>
              <w:spacing w:after="0"/>
              <w:rPr>
                <w:sz w:val="20"/>
                <w:szCs w:val="20"/>
                <w:color w:val="auto"/>
              </w:rPr>
            </w:pPr>
            <w:r>
              <w:rPr>
                <w:rFonts w:ascii="Arial" w:cs="Arial" w:eastAsia="Arial" w:hAnsi="Arial"/>
                <w:sz w:val="12"/>
                <w:szCs w:val="12"/>
                <w:color w:val="auto"/>
                <w:w w:val="95"/>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12/1/2030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1/20/2022</w:t>
            </w:r>
          </w:p>
        </w:tc>
        <w:tc>
          <w:tcPr>
            <w:tcW w:w="1160" w:type="dxa"/>
            <w:vAlign w:val="bottom"/>
          </w:tcPr>
          <w:p>
            <w:pPr>
              <w:jc w:val="right"/>
              <w:spacing w:after="0"/>
              <w:rPr>
                <w:sz w:val="20"/>
                <w:szCs w:val="20"/>
                <w:color w:val="auto"/>
              </w:rPr>
            </w:pPr>
            <w:r>
              <w:rPr>
                <w:rFonts w:ascii="Arial" w:cs="Arial" w:eastAsia="Arial" w:hAnsi="Arial"/>
                <w:sz w:val="18"/>
                <w:szCs w:val="18"/>
                <w:color w:val="auto"/>
              </w:rPr>
              <w:t>1,822</w:t>
            </w:r>
          </w:p>
        </w:tc>
        <w:tc>
          <w:tcPr>
            <w:tcW w:w="820" w:type="dxa"/>
            <w:vAlign w:val="bottom"/>
          </w:tcPr>
          <w:p>
            <w:pPr>
              <w:jc w:val="right"/>
              <w:spacing w:after="0"/>
              <w:rPr>
                <w:sz w:val="20"/>
                <w:szCs w:val="20"/>
                <w:color w:val="auto"/>
              </w:rPr>
            </w:pPr>
            <w:r>
              <w:rPr>
                <w:rFonts w:ascii="Arial" w:cs="Arial" w:eastAsia="Arial" w:hAnsi="Arial"/>
                <w:sz w:val="18"/>
                <w:szCs w:val="18"/>
                <w:color w:val="auto"/>
              </w:rPr>
              <w:t>678</w:t>
            </w:r>
          </w:p>
        </w:tc>
        <w:tc>
          <w:tcPr>
            <w:tcW w:w="540" w:type="dxa"/>
            <w:vAlign w:val="bottom"/>
            <w:vMerge w:val="continue"/>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1/19/2032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1/3/2023</w:t>
            </w: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vMerge w:val="restart"/>
          </w:tcPr>
          <w:p>
            <w:pPr>
              <w:jc w:val="right"/>
              <w:ind w:right="322"/>
              <w:spacing w:after="0"/>
              <w:rPr>
                <w:sz w:val="20"/>
                <w:szCs w:val="20"/>
                <w:color w:val="auto"/>
              </w:rPr>
            </w:pPr>
            <w:r>
              <w:rPr>
                <w:rFonts w:ascii="Arial" w:cs="Arial" w:eastAsia="Arial" w:hAnsi="Arial"/>
                <w:sz w:val="12"/>
                <w:szCs w:val="12"/>
                <w:color w:val="auto"/>
                <w:w w:val="95"/>
              </w:rPr>
              <w:t>(2)</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4/11/2024</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2,563</w:t>
            </w:r>
          </w:p>
        </w:tc>
        <w:tc>
          <w:tcPr>
            <w:tcW w:w="540" w:type="dxa"/>
            <w:vAlign w:val="bottom"/>
            <w:vMerge w:val="continue"/>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4/11/2034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Mark J.</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9/10/2019</w:t>
            </w: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9/10/2029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Rosenblum</w:t>
            </w:r>
            <w:r>
              <w:rPr>
                <w:rFonts w:ascii="Arial" w:cs="Arial" w:eastAsia="Arial" w:hAnsi="Arial"/>
                <w:sz w:val="21"/>
                <w:szCs w:val="21"/>
                <w:color w:val="auto"/>
              </w:rPr>
              <w:t>.........................</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3/23/2020</w:t>
            </w: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3/22/2030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7/14/2020</w:t>
            </w: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7/13/2030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12/2/2020</w:t>
            </w: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322"/>
              <w:spacing w:after="0"/>
              <w:rPr>
                <w:sz w:val="20"/>
                <w:szCs w:val="20"/>
                <w:color w:val="auto"/>
              </w:rPr>
            </w:pPr>
            <w:r>
              <w:rPr>
                <w:rFonts w:ascii="Arial" w:cs="Arial" w:eastAsia="Arial" w:hAnsi="Arial"/>
                <w:sz w:val="12"/>
                <w:szCs w:val="12"/>
                <w:color w:val="auto"/>
                <w:w w:val="95"/>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12/1/2030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1/20/2022</w:t>
            </w:r>
          </w:p>
        </w:tc>
        <w:tc>
          <w:tcPr>
            <w:tcW w:w="1160" w:type="dxa"/>
            <w:vAlign w:val="bottom"/>
          </w:tcPr>
          <w:p>
            <w:pPr>
              <w:jc w:val="right"/>
              <w:spacing w:after="0"/>
              <w:rPr>
                <w:sz w:val="20"/>
                <w:szCs w:val="20"/>
                <w:color w:val="auto"/>
              </w:rPr>
            </w:pPr>
            <w:r>
              <w:rPr>
                <w:rFonts w:ascii="Arial" w:cs="Arial" w:eastAsia="Arial" w:hAnsi="Arial"/>
                <w:sz w:val="18"/>
                <w:szCs w:val="18"/>
                <w:color w:val="auto"/>
              </w:rPr>
              <w:t>729</w:t>
            </w: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540" w:type="dxa"/>
            <w:vAlign w:val="bottom"/>
            <w:vMerge w:val="continue"/>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1/19/2032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1/3/2023</w:t>
            </w: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vMerge w:val="restart"/>
          </w:tcPr>
          <w:p>
            <w:pPr>
              <w:jc w:val="right"/>
              <w:ind w:right="322"/>
              <w:spacing w:after="0"/>
              <w:rPr>
                <w:sz w:val="20"/>
                <w:szCs w:val="20"/>
                <w:color w:val="auto"/>
              </w:rPr>
            </w:pPr>
            <w:r>
              <w:rPr>
                <w:rFonts w:ascii="Arial" w:cs="Arial" w:eastAsia="Arial" w:hAnsi="Arial"/>
                <w:sz w:val="12"/>
                <w:szCs w:val="12"/>
                <w:color w:val="auto"/>
                <w:w w:val="95"/>
              </w:rPr>
              <w:t>(1)</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2900" w:type="dxa"/>
            <w:vAlign w:val="bottom"/>
            <w:gridSpan w:val="2"/>
            <w:vMerge w:val="restart"/>
          </w:tcPr>
          <w:p>
            <w:pPr>
              <w:jc w:val="right"/>
              <w:ind w:right="2350"/>
              <w:spacing w:after="0"/>
              <w:rPr>
                <w:sz w:val="20"/>
                <w:szCs w:val="20"/>
                <w:color w:val="auto"/>
              </w:rPr>
            </w:pPr>
            <w:r>
              <w:rPr>
                <w:rFonts w:ascii="Arial" w:cs="Arial" w:eastAsia="Arial" w:hAnsi="Arial"/>
                <w:sz w:val="18"/>
                <w:szCs w:val="18"/>
                <w:color w:val="auto"/>
                <w:w w:val="97"/>
              </w:rPr>
              <w:t>2024:</w:t>
            </w: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2/20/2024</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2,813</w:t>
            </w:r>
          </w:p>
        </w:tc>
        <w:tc>
          <w:tcPr>
            <w:tcW w:w="540" w:type="dxa"/>
            <w:vAlign w:val="bottom"/>
            <w:vMerge w:val="continue"/>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2/20/2034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20" w:hanging="328"/>
        <w:spacing w:after="0" w:line="260"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options of which 25% will become exercisable on the one-year anniversary with the remainder becoming exercisable in equal 1/36th installments on the last day of each calendar month thereafter.</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 of the options will become exercisable on the one-year anniversary of the grant date.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25% of the shares of restricted stock vested on January 2, 2024 and 1/36 of the remaining shares of restricted stock will vest on monthly anniversaries thereafter.</w:t>
      </w:r>
    </w:p>
    <w:p>
      <w:pPr>
        <w:ind w:left="660" w:right="20" w:hanging="328"/>
        <w:spacing w:after="0" w:line="266"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value of unvested stock awards is based on the closing market price of Salarius’ common stock on December 31, 2024 of $1.84.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Separation Agreements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Below are descriptions of the employment or separation agreements with Salarius’ named executive officers. Furthermore, each of Salarius’ executive officers has executed a form of Salarius’ standard proprietary information and inventions assignment agreement.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David J. Arthur Separation Agreement</w:t>
      </w:r>
    </w:p>
    <w:p>
      <w:pPr>
        <w:spacing w:after="0" w:line="2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20, 2024 (the “Separation Date”), Salarius entered into a separation and release agreement (the “Separation Agreement”) with David J. Arthur, Salarius’ President and Chief Executive Officer, which provides for Mr. Arthur’s separation of employment, effective as of the Separation Date. Under the Separation Agreement, Salarius paid Mr. Arthur a lump-sum payment equal to the amounts owed to him pursuant to Section 5(c)(ii) of that certain Amended and Restated Employment Agreement. Under the terms of the Separation Agreement, Mr. Arthur elected to receive such amounts in a lump sum.</w:t>
      </w:r>
    </w:p>
    <w:p>
      <w:pPr>
        <w:spacing w:after="0" w:line="1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Mr. Arthur has remained as Salarius’ principal executive officer and provide services to Salarius in such capacity pursuant to a Consulting Agreement, dated February 20, 2024 (the “Consulting Agreement”). Pursuant to the Consulting Agreement, Mr. Arthur is required to devote at least one-fourth (1/4) of his time on a weekly basis (on average 10 or more hours/week) to performing the services set forth in the Consulting Agreement. In exchange for Mr. Arthur’s services as set forth in the Consulting Agreement, Mr. Arthur will receive $10,417 per month. The term of the Consulting Agreement expires on February 20, 2025, unless earlier terminated by either party in accordance with the terms of the Consulting Agreement. On February 20, 2025, Salarius entered into the Amendment 1 to the Consulting Agreement (the "Amendment"). In exchange for Mr. Arthur’s services as set forth in the Amendment, Mr. Arthur will receive $500 per hour.</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on the Separation Date, Salarius entered into a Notice of Stock Option Amendment with Mr. Arthur (the “Notice of Stock Option Amendment”), pursuant to which the Salarius board of directors amended the stock options to purchase shares of common stock granted to Mr. Arthur on September 10, 2019, March 23, 2020, July 14, 2020, December 2, 2020 and January 20, 2022 pursuant to Salarius’ 2015 Equity Incentive Plan (the “Plan”) to extend the post-termination exercise period from 90 days to 18 months upon the termination of Mr. Arthur’s “Continuous Service” (as defined in the Plan) for any reason other than for “Cause” (as defined in the Plan), but not beyond the term of the applicable stock option, and subject to earlier termination (such as in connection with a “Corporate Transaction” (as defined in the Plan) as provided under the Plan.</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Mr. Arthur also entered into an updated indemnification agreement with Salarius (the “Indemnification Agreement”) to reflect his change in status from an employee of Salarius to a consultant.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 J. Rosenblum</w:t>
      </w:r>
    </w:p>
    <w:p>
      <w:pPr>
        <w:spacing w:after="0" w:line="2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24, 2020, Salarius entered into an Executive Employment Agreement with Mark J. Rosenblum, its Executive Vice President of Finance and Chief Financial Officer (the “Rosenblum Agreement”). Under the Rosenblum Agreement, Mr. Rosenblum was originally entitled to an annual base salary of $265,000. Mr. Rosenblum is also eligible to participate in, subject to applicable eligibility requirements, all of Salarius’ benefits plans and fringe benefits and programs that may be provided to Salarius executives from time to time. In December 2021 Mr. Rosenblum’s base salary was increased to $300,000, which increase became effective January 1, 2022. In November 2022 Mr. Rosenblum’s base salary was increased to $330,000, which increase became effective January 1, 2023. On February 20, 2024, Salarius entered into an amendment to the Rosenblum Agreement to provide Mr. Rosenblum with the option to receive any severance that may be owed to him pursuant to Section 5(c)(i) thereof in equal installments over a period of time or in a lump-sum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Salarius has a compensation recoupment, or clawback, policy, which Salarius adopted to comply with Nasdaq listing standards implementing Exchange Act Rule 10D-1. The clawback policy includes mandatory recoupment of excess incentive-based compensation received by a covered executive (including the Named Executive Officers) on or after October 2, 2023 in the event of a restatement of Salarius’ financial statements due to material non-compliance with any financial reporting requirement under federal securities laws, as required by Exchange Act Rule 10D-1.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Narrative Disclosure: Termination-Based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Rosenblum Agreement provides that, so long as Mr. Rosenblum executes a release and settlement agreement with Salarius, and subject to applicable withholdings, he would be entitled to receive a cash severance and an amount for premium payments under COBRA. Under the Rosenblum Agreement, the cash severance is equal to 9 months and if Mr. Rosenblum elects continuation coverage under COBRA or state law equivalent or enrollment in an individual marketplace, Salarius will pay him an amount equal to the 9 months’ worth of total premium payments (or until the date the executive secures reasonably comparable coverage with another employer, if sooner). These payments to Mr. Rosenblum are required to be made upon the following termination events:</w:t>
      </w:r>
    </w:p>
    <w:p>
      <w:pPr>
        <w:spacing w:after="0" w:line="223" w:lineRule="exact"/>
        <w:rPr>
          <w:sz w:val="20"/>
          <w:szCs w:val="20"/>
          <w:color w:val="auto"/>
        </w:rPr>
      </w:pPr>
    </w:p>
    <w:p>
      <w:pPr>
        <w:ind w:left="660" w:hanging="328"/>
        <w:spacing w:after="0" w:line="244"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In the event Salarius or a successor entity terminates the executive’s employment for any reason other than a termination for Cause, or in connection with death, a permanent disability, or Salarius’ dissolution; and</w:t>
      </w:r>
    </w:p>
    <w:p>
      <w:pPr>
        <w:spacing w:after="0" w:line="18"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In the event that, within the 18-month period following a Change in Control of Salarius or a successor entity terminates the executive’s employment for any reason other than a termination for Cause or in connection with death, a permanent disability, or Salarius’ dissolution, or if the executive terminates his employment for Good Reason.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definitions have been adopted in the Rosenblum Agreement:</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“for Cause” shall be determined by the board of directors by a majority vote (not including such employee with respect to an event related to him) and shall mean:</w:t>
      </w:r>
    </w:p>
    <w:p>
      <w:pPr>
        <w:spacing w:after="0" w:line="193" w:lineRule="exact"/>
        <w:rPr>
          <w:sz w:val="20"/>
          <w:szCs w:val="20"/>
          <w:color w:val="auto"/>
        </w:rPr>
      </w:pPr>
    </w:p>
    <w:p>
      <w:pPr>
        <w:jc w:val="both"/>
        <w:ind w:left="660" w:hanging="328"/>
        <w:spacing w:after="0" w:line="241"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any material breach, which is not cured within 30 days after written notice thereof, of the terms of Rosenblum Agreement by the executive, or the failure of the executive to diligently and properly perform his duties, or the executive’s failure to achieve the objectives specified by the board of managers;</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the executive’s misappropriation or unauthorized use of the tangible or intangible property of Salarius, or any other similar agreement regarding confidentiality, intellectual property rights, non-competition or non-solicitation;</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any material failure to comply with Salarius company policies or any other policies and/or directives of the board of managers, which failure is not cured within 30 days after written notice thereof, provided that no cure period is available for a failure to comply with policies related to harassment, unlawful discrimination, retaliation or workplace violence;</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the executive’s use of illegal drugs or any illegal substance, or alcohol in any manner that materially interferes with the performance of his duties under the Rosenblum Agreement;</w:t>
      </w:r>
    </w:p>
    <w:p>
      <w:pPr>
        <w:spacing w:after="0" w:line="18"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any dishonest or illegal action (including, without limitation, embezzlement) or any other action by the executive which is materially detrimental to the interest and well-being of Salarius, including, without limitation, harm to its reputation;</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the executive’s failure to fully disclose to Salarius any material conflict of interest he may have in a transaction between Salarius and any third party which is materially detrimental to the interest and well-being of Salarius; or</w:t>
      </w:r>
    </w:p>
    <w:p>
      <w:pPr>
        <w:spacing w:after="0" w:line="18"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any adverse action or omission by the executive which would be required to be disclosed pursuant to public securities laws or which would limit the ability of Salarius or its affiliates to sell securities under any Federal or state law or which would disqualify Salarius or its affiliates from any exemption otherwise available to it.</w:t>
      </w:r>
    </w:p>
    <w:p>
      <w:pPr>
        <w:spacing w:after="0" w:line="1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“Good Reason” means the occurrence of any of the following actions taken by Salarius without the executive’s consent, but only if (a) the executive informs Salarius within 90 days of its occurrence that an event constituting Good Reason has occurred, (b) Salarius fails to cure the event within 90 days of such notice, and (c) the executive terminates his employment within 6 months of the initial occurrence:</w:t>
      </w:r>
    </w:p>
    <w:p>
      <w:pPr>
        <w:spacing w:after="0" w:line="211" w:lineRule="exact"/>
        <w:rPr>
          <w:sz w:val="20"/>
          <w:szCs w:val="20"/>
          <w:color w:val="auto"/>
        </w:rPr>
      </w:pPr>
    </w:p>
    <w:p>
      <w:pPr>
        <w:jc w:val="both"/>
        <w:ind w:left="660" w:hanging="328"/>
        <w:spacing w:after="0" w:line="242"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for a period of twelve months immediately following a Change of Control, or the “Post-COC Period,” his salary, bonus or equity are reduced or diminished, or his duties and responsibilities or position are reduced or diminished to less than an executive “C” level position;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hanging="328"/>
        <w:spacing w:after="0" w:line="244"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18"/>
          <w:szCs w:val="18"/>
          <w:color w:val="auto"/>
        </w:rPr>
        <w:t>any time after the Post-COC Period, the executive’s salary, bonus or equity are reduced or diminished, or his duties and responsibilities or position are reduced when compared to his duties and responsibilities immediately prior to Change of Control;</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Salarius materially breaches its obligations under the applicable Rosenblum Agreement; or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the executive is required to relocate by more than 50 miles outside the extraterritorial jurisdiction of Houston, Texas.</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“Change in Control” means (i) a financing transaction or any transaction designed to raise money for Salarius’ continuing operations or any sale, exchange, transfer, or issuance, or related series of sales, exchanges, transfers, or issuances, of Salarius’ equity units by Salarius or any holder thereof, in which the holders of Salarius’ equity units immediately prior to such transaction or event no longer hold beneficial ownership of at least fifty percent (50%) of Salarius’ outstanding equity units immediately after any such transaction or event; or (ii) a significant transaction involving the out-licensing of Salarius’ lead clinical asset, a sale of substantially all of Salarius’ assets, or Salarius’ liquidation or dissolution.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compensation plan information as of December 31, 2024:</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Plan Category</w:t>
            </w:r>
          </w:p>
        </w:tc>
        <w:tc>
          <w:tcPr>
            <w:tcW w:w="3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 Number of Securities to be</w:t>
            </w:r>
          </w:p>
        </w:tc>
        <w:tc>
          <w:tcPr>
            <w:tcW w:w="3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 Weighted Average Exercise</w:t>
            </w:r>
          </w:p>
        </w:tc>
        <w:tc>
          <w:tcPr>
            <w:tcW w:w="30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 Number of Securities</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Issued Upon Exercise of</w:t>
            </w:r>
          </w:p>
        </w:tc>
        <w:tc>
          <w:tcPr>
            <w:tcW w:w="3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Price of Outstanding Equity Stock</w:t>
            </w:r>
          </w:p>
        </w:tc>
        <w:tc>
          <w:tcPr>
            <w:tcW w:w="30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Remaining Available for Future</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Options and</w:t>
            </w:r>
          </w:p>
        </w:tc>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Options</w:t>
            </w: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Issuance Under Equity</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16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Compensation Plans (Excluding</w:t>
            </w:r>
          </w:p>
        </w:tc>
      </w:tr>
      <w:tr>
        <w:trPr>
          <w:trHeight w:val="255"/>
        </w:trPr>
        <w:tc>
          <w:tcPr>
            <w:tcW w:w="1540" w:type="dxa"/>
            <w:vAlign w:val="bottom"/>
            <w:tcBorders>
              <w:left w:val="single" w:sz="8" w:color="auto"/>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Securities Reflected in Column(a))</w:t>
            </w:r>
          </w:p>
        </w:tc>
      </w:tr>
      <w:tr>
        <w:trPr>
          <w:trHeight w:val="224"/>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w:t>
            </w:r>
          </w:p>
        </w:tc>
        <w:tc>
          <w:tcPr>
            <w:tcW w:w="3020" w:type="dxa"/>
            <w:vAlign w:val="bottom"/>
            <w:tcBorders>
              <w:right w:val="single" w:sz="8" w:color="auto"/>
            </w:tcBorders>
          </w:tcPr>
          <w:p>
            <w:pPr>
              <w:ind w:left="2440"/>
              <w:spacing w:after="0"/>
              <w:rPr>
                <w:sz w:val="20"/>
                <w:szCs w:val="20"/>
                <w:color w:val="auto"/>
              </w:rPr>
            </w:pPr>
            <w:r>
              <w:rPr>
                <w:rFonts w:ascii="Arial" w:cs="Arial" w:eastAsia="Arial" w:hAnsi="Arial"/>
                <w:sz w:val="18"/>
                <w:szCs w:val="18"/>
                <w:color w:val="auto"/>
                <w:w w:val="98"/>
              </w:rPr>
              <w:t>31,685</w:t>
            </w:r>
          </w:p>
        </w:tc>
        <w:tc>
          <w:tcPr>
            <w:tcW w:w="16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66.75</w:t>
            </w:r>
          </w:p>
        </w:tc>
        <w:tc>
          <w:tcPr>
            <w:tcW w:w="3040" w:type="dxa"/>
            <w:vAlign w:val="bottom"/>
            <w:tcBorders>
              <w:right w:val="single" w:sz="8" w:color="auto"/>
            </w:tcBorders>
          </w:tcPr>
          <w:p>
            <w:pPr>
              <w:ind w:left="2400"/>
              <w:spacing w:after="0"/>
              <w:rPr>
                <w:sz w:val="20"/>
                <w:szCs w:val="20"/>
                <w:color w:val="auto"/>
              </w:rPr>
            </w:pPr>
            <w:r>
              <w:rPr>
                <w:rFonts w:ascii="Arial" w:cs="Arial" w:eastAsia="Arial" w:hAnsi="Arial"/>
                <w:sz w:val="18"/>
                <w:szCs w:val="18"/>
                <w:color w:val="auto"/>
              </w:rPr>
              <w:t>35,345</w:t>
            </w:r>
          </w:p>
        </w:tc>
      </w:tr>
      <w:tr>
        <w:trPr>
          <w:trHeight w:val="21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w:t>
            </w:r>
          </w:p>
        </w:tc>
        <w:tc>
          <w:tcPr>
            <w:tcW w:w="302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plans approved</w:t>
            </w:r>
          </w:p>
        </w:tc>
        <w:tc>
          <w:tcPr>
            <w:tcW w:w="302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by</w:t>
            </w:r>
          </w:p>
        </w:tc>
        <w:tc>
          <w:tcPr>
            <w:tcW w:w="302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r>
      <w:tr>
        <w:trPr>
          <w:trHeight w:val="239"/>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stockholders(1)</w:t>
            </w:r>
          </w:p>
        </w:tc>
        <w:tc>
          <w:tcPr>
            <w:tcW w:w="302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r>
      <w:tr>
        <w:trPr>
          <w:trHeight w:val="23"/>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r>
      <w:tr>
        <w:trPr>
          <w:trHeight w:val="218"/>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w:t>
            </w: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w:t>
            </w:r>
          </w:p>
        </w:tc>
        <w:tc>
          <w:tcPr>
            <w:tcW w:w="302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plans not</w:t>
            </w:r>
          </w:p>
        </w:tc>
        <w:tc>
          <w:tcPr>
            <w:tcW w:w="302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approved by</w:t>
            </w:r>
          </w:p>
        </w:tc>
        <w:tc>
          <w:tcPr>
            <w:tcW w:w="302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r>
      <w:tr>
        <w:trPr>
          <w:trHeight w:val="239"/>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stockholders</w:t>
            </w:r>
          </w:p>
        </w:tc>
        <w:tc>
          <w:tcPr>
            <w:tcW w:w="302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spacing w:after="0"/>
              <w:rPr>
                <w:sz w:val="20"/>
                <w:szCs w:val="20"/>
                <w:color w:val="auto"/>
              </w:rPr>
            </w:pPr>
          </w:p>
        </w:tc>
      </w:tr>
      <w:tr>
        <w:trPr>
          <w:trHeight w:val="23"/>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r>
      <w:tr>
        <w:trPr>
          <w:trHeight w:val="240"/>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020" w:type="dxa"/>
            <w:vAlign w:val="bottom"/>
            <w:tcBorders>
              <w:right w:val="single" w:sz="8" w:color="auto"/>
            </w:tcBorders>
          </w:tcPr>
          <w:p>
            <w:pPr>
              <w:ind w:left="2440"/>
              <w:spacing w:after="0"/>
              <w:rPr>
                <w:sz w:val="20"/>
                <w:szCs w:val="20"/>
                <w:color w:val="auto"/>
              </w:rPr>
            </w:pPr>
            <w:r>
              <w:rPr>
                <w:rFonts w:ascii="Arial" w:cs="Arial" w:eastAsia="Arial" w:hAnsi="Arial"/>
                <w:sz w:val="18"/>
                <w:szCs w:val="18"/>
                <w:color w:val="auto"/>
                <w:w w:val="98"/>
              </w:rPr>
              <w:t>31,685</w:t>
            </w:r>
          </w:p>
        </w:tc>
        <w:tc>
          <w:tcPr>
            <w:tcW w:w="1620" w:type="dxa"/>
            <w:vAlign w:val="bottom"/>
          </w:tcPr>
          <w:p>
            <w:pPr>
              <w:spacing w:after="0"/>
              <w:rPr>
                <w:sz w:val="20"/>
                <w:szCs w:val="20"/>
                <w:color w:val="auto"/>
              </w:rPr>
            </w:pP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3040" w:type="dxa"/>
            <w:vAlign w:val="bottom"/>
            <w:tcBorders>
              <w:right w:val="single" w:sz="8" w:color="auto"/>
            </w:tcBorders>
          </w:tcPr>
          <w:p>
            <w:pPr>
              <w:ind w:left="2400"/>
              <w:spacing w:after="0"/>
              <w:rPr>
                <w:sz w:val="20"/>
                <w:szCs w:val="20"/>
                <w:color w:val="auto"/>
              </w:rPr>
            </w:pPr>
            <w:r>
              <w:rPr>
                <w:rFonts w:ascii="Arial" w:cs="Arial" w:eastAsia="Arial" w:hAnsi="Arial"/>
                <w:sz w:val="18"/>
                <w:szCs w:val="18"/>
                <w:color w:val="auto"/>
              </w:rPr>
              <w:t>35,345</w:t>
            </w:r>
          </w:p>
        </w:tc>
      </w:tr>
      <w:tr>
        <w:trPr>
          <w:trHeight w:val="23"/>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-1645285</wp:posOffset>
            </wp:positionV>
            <wp:extent cx="260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ind w:firstLine="8"/>
        <w:spacing w:after="0" w:line="253" w:lineRule="auto"/>
        <w:tabs>
          <w:tab w:leader="none" w:pos="2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options outstanding that were issued or remain available under the 2015 Equity Incentive Plan and the 2015 Employee Stock Purchase Plan. The number of shares of our common stock authorized under the 2015 Equity Incentive Plan automatically increased on January 1st of each year, for a period of not more than ten years, commencing on January 1, 2016 and ending on (and including) January 1, 2025, in an amount equal to 4% of the total number of shares of capital stock outstanding on December 31st of the preceding calendar year. Notwithstanding the foregoing, the Board may act prior to January 1st of a given year to provide that there will be no January 1st increase in the share reserve under the 2015 Equity Incentive Plan for such year or that the increase in the share reserve for such year will be a lesser number of shares of common stock than would otherwise occur pursuant to the preceding sentence. The 2015 Equity Incentive Plan expired in accordance with its terms in January 2025. The number of shares of our common stock authorized under the 2015 Employee Stock Purchase Plan automatically increases on January 1st of each year for up to 10 years, in an amount equal to the lesser of (i) 2% of the total number of shares of capital stock outstanding on December 31st of the preceding calendar year, and (ii) 9,375 shares of Common Stock. Notwithstanding the foregoing, the Board may act prior to the first day of any calendar year to provide that there will be no January 1st increase in the share reserve under the 2015 Employee Stock Purchase Plan for such calendar year or that the increase in the share reserve for such calendar year will be a lesser number of shares of common stock than would otherwise occur.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Director Compensation</w:t>
      </w:r>
    </w:p>
    <w:p>
      <w:pPr>
        <w:spacing w:after="0" w:line="225" w:lineRule="exact"/>
        <w:rPr>
          <w:sz w:val="20"/>
          <w:szCs w:val="20"/>
          <w:color w:val="auto"/>
        </w:rPr>
      </w:pPr>
    </w:p>
    <w:p>
      <w:pPr>
        <w:ind w:right="680" w:firstLine="324"/>
        <w:spacing w:after="0" w:line="273" w:lineRule="auto"/>
        <w:rPr>
          <w:sz w:val="20"/>
          <w:szCs w:val="20"/>
          <w:color w:val="auto"/>
        </w:rPr>
      </w:pPr>
      <w:r>
        <w:rPr>
          <w:rFonts w:ascii="Arial" w:cs="Arial" w:eastAsia="Arial" w:hAnsi="Arial"/>
          <w:sz w:val="18"/>
          <w:szCs w:val="18"/>
          <w:color w:val="auto"/>
        </w:rPr>
        <w:t>The following table sets forth the compensation to Salarius’ non-employee directors that was paid or accrued by Salarius in 2024 pursuant to the non-employee director compensation policy described below.</w:t>
      </w:r>
    </w:p>
    <w:tbl>
      <w:tblPr>
        <w:tblLayout w:type="fixed"/>
        <w:tblInd w:w="0" w:type="dxa"/>
        <w:tblCellMar>
          <w:top w:w="0" w:type="dxa"/>
          <w:left w:w="0" w:type="dxa"/>
          <w:bottom w:w="0" w:type="dxa"/>
          <w:right w:w="0" w:type="dxa"/>
        </w:tblCellMar>
      </w:tblPr>
      <w:tr>
        <w:trPr>
          <w:trHeight w:val="182"/>
        </w:trPr>
        <w:tc>
          <w:tcPr>
            <w:tcW w:w="5740" w:type="dxa"/>
            <w:vAlign w:val="bottom"/>
            <w:gridSpan w:val="2"/>
          </w:tcPr>
          <w:p>
            <w:pPr>
              <w:ind w:left="20"/>
              <w:spacing w:after="0" w:line="183" w:lineRule="exact"/>
              <w:rPr>
                <w:sz w:val="20"/>
                <w:szCs w:val="20"/>
                <w:color w:val="auto"/>
              </w:rPr>
            </w:pPr>
            <w:r>
              <w:rPr>
                <w:rFonts w:ascii="Arial" w:cs="Arial" w:eastAsia="Arial" w:hAnsi="Arial"/>
                <w:sz w:val="17"/>
                <w:szCs w:val="17"/>
                <w:b w:val="1"/>
                <w:bCs w:val="1"/>
                <w:color w:val="auto"/>
              </w:rPr>
              <w:t>Name</w:t>
            </w:r>
            <w:r>
              <w:rPr>
                <w:rFonts w:ascii="Arial" w:cs="Arial" w:eastAsia="Arial" w:hAnsi="Arial"/>
                <w:sz w:val="21"/>
                <w:szCs w:val="21"/>
                <w:b w:val="1"/>
                <w:bCs w:val="1"/>
                <w:color w:val="auto"/>
                <w:vertAlign w:val="superscript"/>
              </w:rPr>
              <w:t>(1)</w:t>
            </w:r>
          </w:p>
        </w:tc>
        <w:tc>
          <w:tcPr>
            <w:tcW w:w="1540" w:type="dxa"/>
            <w:vAlign w:val="bottom"/>
            <w:gridSpan w:val="3"/>
          </w:tcPr>
          <w:p>
            <w:pPr>
              <w:jc w:val="right"/>
              <w:ind w:right="180"/>
              <w:spacing w:after="0" w:line="182" w:lineRule="exact"/>
              <w:rPr>
                <w:sz w:val="20"/>
                <w:szCs w:val="20"/>
                <w:color w:val="auto"/>
              </w:rPr>
            </w:pPr>
            <w:r>
              <w:rPr>
                <w:rFonts w:ascii="Arial" w:cs="Arial" w:eastAsia="Arial" w:hAnsi="Arial"/>
                <w:sz w:val="18"/>
                <w:szCs w:val="18"/>
                <w:b w:val="1"/>
                <w:bCs w:val="1"/>
                <w:color w:val="auto"/>
              </w:rPr>
              <w:t>Fees Earned or</w:t>
            </w:r>
          </w:p>
        </w:tc>
        <w:tc>
          <w:tcPr>
            <w:tcW w:w="1520" w:type="dxa"/>
            <w:vAlign w:val="bottom"/>
            <w:gridSpan w:val="3"/>
          </w:tcPr>
          <w:p>
            <w:pPr>
              <w:ind w:left="100"/>
              <w:spacing w:after="0" w:line="182" w:lineRule="exact"/>
              <w:rPr>
                <w:sz w:val="20"/>
                <w:szCs w:val="20"/>
                <w:color w:val="auto"/>
              </w:rPr>
            </w:pPr>
            <w:r>
              <w:rPr>
                <w:rFonts w:ascii="Arial" w:cs="Arial" w:eastAsia="Arial" w:hAnsi="Arial"/>
                <w:sz w:val="18"/>
                <w:szCs w:val="18"/>
                <w:b w:val="1"/>
                <w:bCs w:val="1"/>
                <w:color w:val="auto"/>
              </w:rPr>
              <w:t>Stock Options</w:t>
            </w:r>
          </w:p>
        </w:tc>
        <w:tc>
          <w:tcPr>
            <w:tcW w:w="320" w:type="dxa"/>
            <w:vAlign w:val="bottom"/>
          </w:tcPr>
          <w:p>
            <w:pPr>
              <w:spacing w:after="0"/>
              <w:rPr>
                <w:sz w:val="15"/>
                <w:szCs w:val="15"/>
                <w:color w:val="auto"/>
              </w:rPr>
            </w:pPr>
          </w:p>
        </w:tc>
        <w:tc>
          <w:tcPr>
            <w:tcW w:w="1140" w:type="dxa"/>
            <w:vAlign w:val="bottom"/>
          </w:tcPr>
          <w:p>
            <w:pPr>
              <w:jc w:val="right"/>
              <w:ind w:right="430"/>
              <w:spacing w:after="0" w:line="18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9"/>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Paid in Cash</w:t>
            </w:r>
            <w:r>
              <w:rPr>
                <w:rFonts w:ascii="Arial" w:cs="Arial" w:eastAsia="Arial" w:hAnsi="Arial"/>
                <w:sz w:val="23"/>
                <w:szCs w:val="23"/>
                <w:b w:val="1"/>
                <w:bCs w:val="1"/>
                <w:color w:val="auto"/>
                <w:vertAlign w:val="superscript"/>
              </w:rPr>
              <w:t>(2)</w:t>
            </w:r>
          </w:p>
        </w:tc>
        <w:tc>
          <w:tcPr>
            <w:tcW w:w="380" w:type="dxa"/>
            <w:vAlign w:val="bottom"/>
          </w:tcPr>
          <w:p>
            <w:pPr>
              <w:spacing w:after="0"/>
              <w:rPr>
                <w:sz w:val="13"/>
                <w:szCs w:val="13"/>
                <w:color w:val="auto"/>
              </w:rPr>
            </w:pPr>
          </w:p>
        </w:tc>
        <w:tc>
          <w:tcPr>
            <w:tcW w:w="1060" w:type="dxa"/>
            <w:vAlign w:val="bottom"/>
          </w:tcPr>
          <w:p>
            <w:pPr>
              <w:jc w:val="right"/>
              <w:ind w:right="575"/>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Tess Burleson</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64,761</w:t>
            </w:r>
          </w:p>
        </w:tc>
        <w:tc>
          <w:tcPr>
            <w:tcW w:w="0" w:type="dxa"/>
            <w:vAlign w:val="bottom"/>
          </w:tcPr>
          <w:p>
            <w:pPr>
              <w:spacing w:after="0"/>
              <w:rPr>
                <w:sz w:val="1"/>
                <w:szCs w:val="1"/>
                <w:color w:val="auto"/>
              </w:rPr>
            </w:pPr>
          </w:p>
        </w:tc>
      </w:tr>
      <w:tr>
        <w:trPr>
          <w:trHeight w:val="248"/>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Arnold C. Hanish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9,944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67,261</w:t>
            </w:r>
          </w:p>
        </w:tc>
        <w:tc>
          <w:tcPr>
            <w:tcW w:w="0" w:type="dxa"/>
            <w:vAlign w:val="bottom"/>
          </w:tcPr>
          <w:p>
            <w:pPr>
              <w:spacing w:after="0"/>
              <w:rPr>
                <w:sz w:val="1"/>
                <w:szCs w:val="1"/>
                <w:color w:val="auto"/>
              </w:rPr>
            </w:pPr>
          </w:p>
        </w:tc>
      </w:tr>
      <w:tr>
        <w:trPr>
          <w:trHeight w:val="26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Lammers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76,761</w:t>
            </w:r>
          </w:p>
        </w:tc>
        <w:tc>
          <w:tcPr>
            <w:tcW w:w="0" w:type="dxa"/>
            <w:vAlign w:val="bottom"/>
          </w:tcPr>
          <w:p>
            <w:pPr>
              <w:spacing w:after="0"/>
              <w:rPr>
                <w:sz w:val="1"/>
                <w:szCs w:val="1"/>
                <w:color w:val="auto"/>
              </w:rPr>
            </w:pPr>
          </w:p>
        </w:tc>
      </w:tr>
      <w:tr>
        <w:trPr>
          <w:trHeight w:val="248"/>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Jonathan Lieber</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42,500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9,944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53,761</w:t>
            </w:r>
          </w:p>
        </w:tc>
        <w:tc>
          <w:tcPr>
            <w:tcW w:w="0" w:type="dxa"/>
            <w:vAlign w:val="bottom"/>
          </w:tcPr>
          <w:p>
            <w:pPr>
              <w:spacing w:after="0"/>
              <w:rPr>
                <w:sz w:val="1"/>
                <w:szCs w:val="1"/>
                <w:color w:val="auto"/>
              </w:rPr>
            </w:pPr>
          </w:p>
        </w:tc>
      </w:tr>
      <w:tr>
        <w:trPr>
          <w:trHeight w:val="26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Bruce J. McCreedy</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45,261</w:t>
            </w:r>
          </w:p>
        </w:tc>
        <w:tc>
          <w:tcPr>
            <w:tcW w:w="0" w:type="dxa"/>
            <w:vAlign w:val="bottom"/>
          </w:tcPr>
          <w:p>
            <w:pPr>
              <w:spacing w:after="0"/>
              <w:rPr>
                <w:sz w:val="1"/>
                <w:szCs w:val="1"/>
                <w:color w:val="auto"/>
              </w:rPr>
            </w:pPr>
          </w:p>
        </w:tc>
      </w:tr>
      <w:tr>
        <w:trPr>
          <w:trHeight w:val="23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William K. McVicar</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9,944</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82,261</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660" w:hanging="328"/>
        <w:spacing w:after="0" w:line="257" w:lineRule="auto"/>
        <w:tabs>
          <w:tab w:leader="none" w:pos="6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Arthur is not included in this table as he is Salarius’ chief executive officer and received no extra compensation for his service as a director while he was an employee of Salarius. The director fees received by Mr. Arthur following his cessation of employment is included in the Summary Compensation Table.</w:t>
      </w:r>
    </w:p>
    <w:p>
      <w:pPr>
        <w:spacing w:after="0" w:line="1" w:lineRule="exact"/>
        <w:rPr>
          <w:rFonts w:ascii="Arial" w:cs="Arial" w:eastAsia="Arial" w:hAnsi="Arial"/>
          <w:sz w:val="18"/>
          <w:szCs w:val="18"/>
          <w:color w:val="auto"/>
        </w:rPr>
      </w:pPr>
    </w:p>
    <w:p>
      <w:pPr>
        <w:ind w:left="660" w:hanging="328"/>
        <w:spacing w:after="0" w:line="250" w:lineRule="auto"/>
        <w:tabs>
          <w:tab w:leader="none" w:pos="6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listed in this column represent the retainer paid to each director for their service on the board and any committees on which they served during 2024.</w:t>
      </w: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Salarius estimated the grant date fair value of the stock options in accordance with FASB ASC Topic 718.</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Compensation Arrangements</w:t>
      </w:r>
    </w:p>
    <w:p>
      <w:pPr>
        <w:spacing w:after="0" w:line="22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Salarius’ non-employee director compensation is comprised of cash compensation and equity compensation. Further, Salarius reimburses all of its non-employee directors for their reasonable expenses incurred in attending meetings of Salarius’ board of directors and committees of the Salarius board of directors.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Salarius’ board of directors believes that the level of director compensation should be based on time spent carrying out board of directors and committee responsibilities and be competitive with comparable companies. In addition, the Salarius board of directors believes that a significant portion of director compensation should align director interests with the long-term interests of stockholders. The Salarius board of directors makes changes in its director compensation practices only upon the recommendation of the Compensation Committee, and discussion and approval by the Salarius board of directors.</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Salarius’ board of directors, following the Compensation Committee’s recommendation, has approved the compensation of Salarius’ non-employee directors, as described below. The Compensation Committee believes that its non-employee director compensation remains aligned with director compensation practices at Salarius’ peer companies while considering the ongoing cash constraints of Salarius.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Compensation</w:t>
      </w:r>
    </w:p>
    <w:p>
      <w:pPr>
        <w:spacing w:after="0" w:line="2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February 20, 2024, the Salarius board of directors approved a reduction in cash compensation payable to its non-employee directors. Effective as of April 1, 2024, non-employee directors receive an annual cash retainer of $30,000 (previously $40,000) for their board of directors service. In addition, the Chair of the board of directors receives an additional annual cash retainer of $20,000 (previously $40,000), the Chair of the Audit Committee of the board of directors receives an additional annual cash retainer of $10,000 (previously $20,000), and members of the Audit Committee will receive an additional annual cash retainer of $3,500 (previously $ 7,500). No additional cash retainers will be paid for serving as a Chair or member of the Compensation Committee of the board of directors or the Governance and Nominating Committee of the board of directors. Mr. Arthur is eligible to receive compensation as a non-employee member of the board of directors.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Outstanding Equity Awards for Directors</w:t>
      </w:r>
    </w:p>
    <w:p>
      <w:pPr>
        <w:spacing w:after="0" w:line="223"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The following table provides information regarding the aggregate number of shares subject to outstanding stock options held by non-employee directors as of December 31,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Number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r>
      <w:tr>
        <w:trPr>
          <w:trHeight w:val="203"/>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Shares Subject</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Restricted</w:t>
            </w:r>
          </w:p>
        </w:tc>
      </w:tr>
      <w:tr>
        <w:trPr>
          <w:trHeight w:val="203"/>
        </w:trPr>
        <w:tc>
          <w:tcPr>
            <w:tcW w:w="7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to Outstanding</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of</w:t>
            </w:r>
          </w:p>
        </w:tc>
      </w:tr>
      <w:tr>
        <w:trPr>
          <w:trHeight w:val="255"/>
        </w:trPr>
        <w:tc>
          <w:tcPr>
            <w:tcW w:w="7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Stock Options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Common Stock</w:t>
            </w:r>
          </w:p>
        </w:tc>
      </w:tr>
      <w:tr>
        <w:trPr>
          <w:trHeight w:val="257"/>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Tess Burleson</w:t>
            </w: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8"/>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Arnold C. Hanish</w:t>
            </w:r>
          </w:p>
        </w:tc>
        <w:tc>
          <w:tcPr>
            <w:tcW w:w="142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65"/>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Lammers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8"/>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Jonathan Lieber</w:t>
            </w:r>
          </w:p>
        </w:tc>
        <w:tc>
          <w:tcPr>
            <w:tcW w:w="1420" w:type="dxa"/>
            <w:vAlign w:val="bottom"/>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65"/>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Bruce J. McCreedy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9"/>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William K. McVicar</w:t>
            </w:r>
          </w:p>
        </w:tc>
        <w:tc>
          <w:tcPr>
            <w:tcW w:w="142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r>
    </w:tbl>
    <w:p>
      <w:pPr>
        <w:spacing w:after="0" w:line="311" w:lineRule="exact"/>
        <w:rPr>
          <w:sz w:val="20"/>
          <w:szCs w:val="20"/>
          <w:color w:val="auto"/>
        </w:rPr>
      </w:pPr>
    </w:p>
    <w:p>
      <w:pPr>
        <w:ind w:right="860" w:firstLine="324"/>
        <w:spacing w:after="0" w:line="294" w:lineRule="auto"/>
        <w:rPr>
          <w:sz w:val="20"/>
          <w:szCs w:val="20"/>
          <w:color w:val="auto"/>
        </w:rPr>
      </w:pPr>
      <w:r>
        <w:rPr>
          <w:rFonts w:ascii="Arial" w:cs="Arial" w:eastAsia="Arial" w:hAnsi="Arial"/>
          <w:sz w:val="18"/>
          <w:szCs w:val="18"/>
          <w:b w:val="1"/>
          <w:bCs w:val="1"/>
          <w:i w:val="1"/>
          <w:iCs w:val="1"/>
          <w:color w:val="auto"/>
        </w:rPr>
        <w:t>Salarius Policies and Practices Related to the Grant of Certain Equity Awards Close in Time to the Release of Material Nonpublic Information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Salarius does not have any formal policy that requires Salarius to grant, or avoid granting, equity-based compensation to its executive officers at certain times. Consistent with its annual compensation cycle, the Compensation Committee has for several years granted annual equity awards to its executive officers in February of each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Salarius does not time the disclosure of material nonpublic information for the purpose of affecting the value of equity-based compensation.</w:t>
      </w:r>
    </w:p>
    <w:p>
      <w:pPr>
        <w:spacing w:after="0" w:line="1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following table presents information regarding stock options issued to certain of Salarius’ executive officers in 2024 during any period beginning four business days before the filing of a periodic report or current report disclosing material non-public information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Arial" w:cs="Arial" w:eastAsia="Arial" w:hAnsi="Arial"/>
                <w:sz w:val="18"/>
                <w:szCs w:val="18"/>
                <w:color w:val="auto"/>
              </w:rPr>
              <w:t>ending</w:t>
            </w:r>
          </w:p>
        </w:tc>
        <w:tc>
          <w:tcPr>
            <w:tcW w:w="660" w:type="dxa"/>
            <w:vAlign w:val="bottom"/>
          </w:tcPr>
          <w:p>
            <w:pPr>
              <w:ind w:left="160"/>
              <w:spacing w:after="0"/>
              <w:rPr>
                <w:sz w:val="20"/>
                <w:szCs w:val="20"/>
                <w:color w:val="auto"/>
              </w:rPr>
            </w:pPr>
            <w:r>
              <w:rPr>
                <w:rFonts w:ascii="Arial" w:cs="Arial" w:eastAsia="Arial" w:hAnsi="Arial"/>
                <w:sz w:val="18"/>
                <w:szCs w:val="18"/>
                <w:color w:val="auto"/>
              </w:rPr>
              <w:t>one</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business</w:t>
            </w:r>
          </w:p>
        </w:tc>
        <w:tc>
          <w:tcPr>
            <w:tcW w:w="620" w:type="dxa"/>
            <w:vAlign w:val="bottom"/>
          </w:tcPr>
          <w:p>
            <w:pPr>
              <w:ind w:left="140"/>
              <w:spacing w:after="0"/>
              <w:rPr>
                <w:sz w:val="20"/>
                <w:szCs w:val="20"/>
                <w:color w:val="auto"/>
              </w:rPr>
            </w:pPr>
            <w:r>
              <w:rPr>
                <w:rFonts w:ascii="Arial" w:cs="Arial" w:eastAsia="Arial" w:hAnsi="Arial"/>
                <w:sz w:val="18"/>
                <w:szCs w:val="18"/>
                <w:color w:val="auto"/>
              </w:rPr>
              <w:t>day</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after</w:t>
            </w:r>
          </w:p>
        </w:tc>
        <w:tc>
          <w:tcPr>
            <w:tcW w:w="640" w:type="dxa"/>
            <w:vAlign w:val="bottom"/>
          </w:tcPr>
          <w:p>
            <w:pPr>
              <w:ind w:left="280"/>
              <w:spacing w:after="0"/>
              <w:rPr>
                <w:sz w:val="20"/>
                <w:szCs w:val="20"/>
                <w:color w:val="auto"/>
              </w:rPr>
            </w:pPr>
            <w:r>
              <w:rPr>
                <w:rFonts w:ascii="Arial" w:cs="Arial" w:eastAsia="Arial" w:hAnsi="Arial"/>
                <w:sz w:val="18"/>
                <w:szCs w:val="18"/>
                <w:color w:val="auto"/>
              </w:rPr>
              <w:t>the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filing</w:t>
            </w:r>
          </w:p>
        </w:tc>
        <w:tc>
          <w:tcPr>
            <w:tcW w:w="120" w:type="dxa"/>
            <w:vAlign w:val="bottom"/>
          </w:tcPr>
          <w:p>
            <w:pPr>
              <w:spacing w:after="0"/>
              <w:rPr>
                <w:sz w:val="20"/>
                <w:szCs w:val="20"/>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or</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furnishing</w:t>
            </w: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of</w:t>
            </w:r>
          </w:p>
        </w:tc>
        <w:tc>
          <w:tcPr>
            <w:tcW w:w="440" w:type="dxa"/>
            <w:vAlign w:val="bottom"/>
          </w:tcPr>
          <w:p>
            <w:pPr>
              <w:ind w:left="60"/>
              <w:spacing w:after="0"/>
              <w:rPr>
                <w:sz w:val="20"/>
                <w:szCs w:val="20"/>
                <w:color w:val="auto"/>
              </w:rPr>
            </w:pPr>
            <w:r>
              <w:rPr>
                <w:rFonts w:ascii="Arial" w:cs="Arial" w:eastAsia="Arial" w:hAnsi="Arial"/>
                <w:sz w:val="18"/>
                <w:szCs w:val="18"/>
                <w:color w:val="auto"/>
                <w:w w:val="94"/>
              </w:rPr>
              <w:t>such</w:t>
            </w:r>
          </w:p>
        </w:tc>
        <w:tc>
          <w:tcPr>
            <w:tcW w:w="1040" w:type="dxa"/>
            <w:vAlign w:val="bottom"/>
          </w:tcPr>
          <w:p>
            <w:pPr>
              <w:ind w:left="380"/>
              <w:spacing w:after="0"/>
              <w:rPr>
                <w:sz w:val="20"/>
                <w:szCs w:val="20"/>
                <w:color w:val="auto"/>
              </w:rPr>
            </w:pPr>
            <w:r>
              <w:rPr>
                <w:rFonts w:ascii="Arial" w:cs="Arial" w:eastAsia="Arial" w:hAnsi="Arial"/>
                <w:sz w:val="18"/>
                <w:szCs w:val="18"/>
                <w:color w:val="auto"/>
              </w:rPr>
              <w:t>report</w:t>
            </w:r>
          </w:p>
        </w:tc>
        <w:tc>
          <w:tcPr>
            <w:tcW w:w="900" w:type="dxa"/>
            <w:vAlign w:val="bottom"/>
          </w:tcPr>
          <w:p>
            <w:pPr>
              <w:ind w:left="200"/>
              <w:spacing w:after="0"/>
              <w:rPr>
                <w:sz w:val="20"/>
                <w:szCs w:val="20"/>
                <w:color w:val="auto"/>
              </w:rPr>
            </w:pPr>
            <w:r>
              <w:rPr>
                <w:rFonts w:ascii="Arial" w:cs="Arial" w:eastAsia="Arial" w:hAnsi="Arial"/>
                <w:sz w:val="18"/>
                <w:szCs w:val="18"/>
                <w:color w:val="auto"/>
              </w:rPr>
              <w:t>with</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the</w:t>
            </w:r>
          </w:p>
        </w:tc>
        <w:tc>
          <w:tcPr>
            <w:tcW w:w="620" w:type="dxa"/>
            <w:vAlign w:val="bottom"/>
          </w:tcPr>
          <w:p>
            <w:pPr>
              <w:ind w:left="200"/>
              <w:spacing w:after="0"/>
              <w:rPr>
                <w:sz w:val="20"/>
                <w:szCs w:val="20"/>
                <w:color w:val="auto"/>
              </w:rPr>
            </w:pPr>
            <w:r>
              <w:rPr>
                <w:rFonts w:ascii="Arial" w:cs="Arial" w:eastAsia="Arial" w:hAnsi="Arial"/>
                <w:sz w:val="18"/>
                <w:szCs w:val="18"/>
                <w:color w:val="auto"/>
                <w:w w:val="95"/>
              </w:rPr>
              <w:t>SEC.</w:t>
            </w:r>
          </w:p>
        </w:tc>
      </w:tr>
      <w:tr>
        <w:trPr>
          <w:trHeight w:val="203"/>
        </w:trPr>
        <w:tc>
          <w:tcPr>
            <w:tcW w:w="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Name</w:t>
            </w: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ind w:left="140"/>
              <w:spacing w:after="0" w:line="202" w:lineRule="exact"/>
              <w:rPr>
                <w:sz w:val="20"/>
                <w:szCs w:val="20"/>
                <w:color w:val="auto"/>
              </w:rPr>
            </w:pPr>
            <w:r>
              <w:rPr>
                <w:rFonts w:ascii="Arial" w:cs="Arial" w:eastAsia="Arial" w:hAnsi="Arial"/>
                <w:sz w:val="18"/>
                <w:szCs w:val="18"/>
                <w:b w:val="1"/>
                <w:bCs w:val="1"/>
                <w:color w:val="auto"/>
              </w:rPr>
              <w:t>Grant Date</w:t>
            </w:r>
          </w:p>
        </w:tc>
        <w:tc>
          <w:tcPr>
            <w:tcW w:w="1320" w:type="dxa"/>
            <w:vAlign w:val="bottom"/>
            <w:gridSpan w:val="3"/>
          </w:tcPr>
          <w:p>
            <w:pPr>
              <w:ind w:left="16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0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Exercise</w:t>
            </w:r>
          </w:p>
        </w:tc>
        <w:tc>
          <w:tcPr>
            <w:tcW w:w="12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Grant Date</w:t>
            </w:r>
          </w:p>
        </w:tc>
        <w:tc>
          <w:tcPr>
            <w:tcW w:w="2380" w:type="dxa"/>
            <w:vAlign w:val="bottom"/>
            <w:gridSpan w:val="3"/>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Percentage Change in the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ind w:left="180"/>
              <w:spacing w:after="0" w:line="202" w:lineRule="exact"/>
              <w:rPr>
                <w:sz w:val="20"/>
                <w:szCs w:val="20"/>
                <w:color w:val="auto"/>
              </w:rPr>
            </w:pPr>
            <w:r>
              <w:rPr>
                <w:rFonts w:ascii="Arial" w:cs="Arial" w:eastAsia="Arial" w:hAnsi="Arial"/>
                <w:sz w:val="18"/>
                <w:szCs w:val="18"/>
                <w:b w:val="1"/>
                <w:bCs w:val="1"/>
                <w:color w:val="auto"/>
              </w:rPr>
              <w:t>Securities</w:t>
            </w:r>
          </w:p>
        </w:tc>
        <w:tc>
          <w:tcPr>
            <w:tcW w:w="120" w:type="dxa"/>
            <w:vAlign w:val="bottom"/>
          </w:tcPr>
          <w:p>
            <w:pPr>
              <w:spacing w:after="0"/>
              <w:rPr>
                <w:sz w:val="17"/>
                <w:szCs w:val="17"/>
                <w:color w:val="auto"/>
              </w:rPr>
            </w:pPr>
          </w:p>
        </w:tc>
        <w:tc>
          <w:tcPr>
            <w:tcW w:w="120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Price of the</w:t>
            </w:r>
          </w:p>
        </w:tc>
        <w:tc>
          <w:tcPr>
            <w:tcW w:w="12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Fair Value of</w:t>
            </w:r>
          </w:p>
        </w:tc>
        <w:tc>
          <w:tcPr>
            <w:tcW w:w="284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Closing Market Price of the</w:t>
            </w:r>
          </w:p>
        </w:tc>
        <w:tc>
          <w:tcPr>
            <w:tcW w:w="6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ind w:left="140"/>
              <w:spacing w:after="0" w:line="202" w:lineRule="exact"/>
              <w:rPr>
                <w:sz w:val="20"/>
                <w:szCs w:val="20"/>
                <w:color w:val="auto"/>
              </w:rPr>
            </w:pPr>
            <w:r>
              <w:rPr>
                <w:rFonts w:ascii="Arial" w:cs="Arial" w:eastAsia="Arial" w:hAnsi="Arial"/>
                <w:sz w:val="18"/>
                <w:szCs w:val="18"/>
                <w:b w:val="1"/>
                <w:bCs w:val="1"/>
                <w:color w:val="auto"/>
              </w:rPr>
              <w:t>Underlying</w:t>
            </w:r>
          </w:p>
        </w:tc>
        <w:tc>
          <w:tcPr>
            <w:tcW w:w="120" w:type="dxa"/>
            <w:vAlign w:val="bottom"/>
          </w:tcPr>
          <w:p>
            <w:pPr>
              <w:spacing w:after="0"/>
              <w:rPr>
                <w:sz w:val="17"/>
                <w:szCs w:val="17"/>
                <w:color w:val="auto"/>
              </w:rPr>
            </w:pPr>
          </w:p>
        </w:tc>
        <w:tc>
          <w:tcPr>
            <w:tcW w:w="120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Award</w:t>
            </w:r>
          </w:p>
        </w:tc>
        <w:tc>
          <w:tcPr>
            <w:tcW w:w="12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the Award</w:t>
            </w:r>
          </w:p>
        </w:tc>
        <w:tc>
          <w:tcPr>
            <w:tcW w:w="2380" w:type="dxa"/>
            <w:vAlign w:val="bottom"/>
            <w:gridSpan w:val="3"/>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Securities Underlying the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ind w:left="180"/>
              <w:spacing w:after="0" w:line="202" w:lineRule="exact"/>
              <w:rPr>
                <w:sz w:val="20"/>
                <w:szCs w:val="20"/>
                <w:color w:val="auto"/>
              </w:rPr>
            </w:pPr>
            <w:r>
              <w:rPr>
                <w:rFonts w:ascii="Arial" w:cs="Arial" w:eastAsia="Arial" w:hAnsi="Arial"/>
                <w:sz w:val="18"/>
                <w:szCs w:val="18"/>
                <w:b w:val="1"/>
                <w:bCs w:val="1"/>
                <w:color w:val="auto"/>
              </w:rPr>
              <w:t>the Award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Award Between the Trading</w:t>
            </w:r>
          </w:p>
        </w:tc>
        <w:tc>
          <w:tcPr>
            <w:tcW w:w="6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3"/>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Day Ending Immediately</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3"/>
          </w:tcPr>
          <w:p>
            <w:pPr>
              <w:jc w:val="center"/>
              <w:ind w:left="10"/>
              <w:spacing w:after="0" w:line="202" w:lineRule="exact"/>
              <w:rPr>
                <w:sz w:val="20"/>
                <w:szCs w:val="20"/>
                <w:color w:val="auto"/>
              </w:rPr>
            </w:pPr>
            <w:r>
              <w:rPr>
                <w:rFonts w:ascii="Arial" w:cs="Arial" w:eastAsia="Arial" w:hAnsi="Arial"/>
                <w:sz w:val="18"/>
                <w:szCs w:val="18"/>
                <w:b w:val="1"/>
                <w:bCs w:val="1"/>
                <w:color w:val="auto"/>
              </w:rPr>
              <w:t>Prior to the Disclosure of</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gridSpan w:val="2"/>
          </w:tcPr>
          <w:p>
            <w:pPr>
              <w:jc w:val="center"/>
              <w:ind w:right="250"/>
              <w:spacing w:after="0" w:line="189" w:lineRule="exact"/>
              <w:rPr>
                <w:sz w:val="20"/>
                <w:szCs w:val="20"/>
                <w:color w:val="auto"/>
              </w:rPr>
            </w:pPr>
            <w:r>
              <w:rPr>
                <w:rFonts w:ascii="Arial" w:cs="Arial" w:eastAsia="Arial" w:hAnsi="Arial"/>
                <w:sz w:val="18"/>
                <w:szCs w:val="18"/>
                <w:b w:val="1"/>
                <w:bCs w:val="1"/>
                <w:color w:val="auto"/>
                <w:w w:val="99"/>
              </w:rPr>
              <w:t>Material Nonpublic</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Information and the Trading</w:t>
            </w:r>
          </w:p>
        </w:tc>
        <w:tc>
          <w:tcPr>
            <w:tcW w:w="6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rPr>
              <w:t>Day Beginning Immediately</w:t>
            </w:r>
          </w:p>
        </w:tc>
        <w:tc>
          <w:tcPr>
            <w:tcW w:w="6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rPr>
              <w:t>Following the Disclosure of</w:t>
            </w:r>
          </w:p>
        </w:tc>
        <w:tc>
          <w:tcPr>
            <w:tcW w:w="6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gridSpan w:val="2"/>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Material Nonpublic</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55"/>
        </w:trPr>
        <w:tc>
          <w:tcPr>
            <w:tcW w:w="7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b w:val="1"/>
                <w:bCs w:val="1"/>
                <w:color w:val="auto"/>
              </w:rPr>
              <w:t>Information</w:t>
            </w:r>
          </w:p>
        </w:tc>
        <w:tc>
          <w:tcPr>
            <w:tcW w:w="10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03"/>
        </w:trPr>
        <w:tc>
          <w:tcPr>
            <w:tcW w:w="7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Mark J.</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02/20/2024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4.5688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11,372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3.20 %</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96"/>
        </w:trPr>
        <w:tc>
          <w:tcPr>
            <w:tcW w:w="26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Rosenblum</w:t>
            </w:r>
            <w:r>
              <w:rPr>
                <w:rFonts w:ascii="Arial" w:cs="Arial" w:eastAsia="Arial" w:hAnsi="Arial"/>
                <w:sz w:val="21"/>
                <w:szCs w:val="21"/>
                <w:color w:val="auto"/>
              </w:rPr>
              <w:t>..........................</w:t>
            </w: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as of March 17, 2025 regarding the number of shares of common stock and the percentage of common stock, beneficially owned by:</w:t>
      </w:r>
    </w:p>
    <w:p>
      <w:pPr>
        <w:spacing w:after="0" w:line="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each person, or group of affiliated persons, known by Salarius to beneficially own more than 5% of its common stock;</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each of Salarius’ directors;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each of Salarius’ named executive officers;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all of Salarius’ current executive officers and directors as a group.</w:t>
      </w:r>
    </w:p>
    <w:p>
      <w:pPr>
        <w:spacing w:after="0" w:line="1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percentage ownership is based on 1,745,730 shares of common stock outstanding on March 17, 2025. Salarius has determined beneficial ownership in accordance with the rules of the SEC. These rules generally attribute beneficial ownership of securities to persons who possess sole or shared voting power or investment</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power with respect to those securities. In addition, the rules include shares of Salarius’ common stock issuable pursuant to the exercise of stock options or warrants or other securities (including out-of-the-money securities) that are either immediately exercisable or exercisable or vest within 60 days of March 17, 2025. These shares are deemed to be outstanding and beneficially owned by the person holding those options, warrants, or securities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83" w:lineRule="exact"/>
        <w:rPr>
          <w:sz w:val="20"/>
          <w:szCs w:val="20"/>
          <w:color w:val="auto"/>
        </w:rPr>
      </w:pPr>
    </w:p>
    <w:p>
      <w:pPr>
        <w:ind w:right="420" w:firstLine="324"/>
        <w:spacing w:after="0" w:line="273" w:lineRule="auto"/>
        <w:rPr>
          <w:sz w:val="20"/>
          <w:szCs w:val="20"/>
          <w:color w:val="auto"/>
        </w:rPr>
      </w:pPr>
      <w:r>
        <w:rPr>
          <w:rFonts w:ascii="Arial" w:cs="Arial" w:eastAsia="Arial" w:hAnsi="Arial"/>
          <w:sz w:val="18"/>
          <w:szCs w:val="18"/>
          <w:color w:val="auto"/>
        </w:rPr>
        <w:t>Except as otherwise noted below, the address for each person or entity listed in the table is c/o Salarius Pharmaceuticals, Inc., 2450 Holcombe Blvd., Suite X, Houston, TX 77021.</w:t>
      </w:r>
    </w:p>
    <w:tbl>
      <w:tblPr>
        <w:tblLayout w:type="fixed"/>
        <w:tblInd w:w="0" w:type="dxa"/>
        <w:tblCellMar>
          <w:top w:w="0" w:type="dxa"/>
          <w:left w:w="0" w:type="dxa"/>
          <w:bottom w:w="0" w:type="dxa"/>
          <w:right w:w="0" w:type="dxa"/>
        </w:tblCellMar>
      </w:tblPr>
      <w:tr>
        <w:trPr>
          <w:trHeight w:val="204"/>
        </w:trPr>
        <w:tc>
          <w:tcPr>
            <w:tcW w:w="7140" w:type="dxa"/>
            <w:vAlign w:val="bottom"/>
          </w:tcPr>
          <w:p>
            <w:pPr>
              <w:spacing w:after="0"/>
              <w:rPr>
                <w:sz w:val="17"/>
                <w:szCs w:val="17"/>
                <w:color w:val="auto"/>
              </w:rPr>
            </w:pPr>
          </w:p>
        </w:tc>
        <w:tc>
          <w:tcPr>
            <w:tcW w:w="1520" w:type="dxa"/>
            <w:vAlign w:val="bottom"/>
            <w:gridSpan w:val="2"/>
          </w:tcPr>
          <w:p>
            <w:pPr>
              <w:jc w:val="center"/>
              <w:ind w:right="100"/>
              <w:spacing w:after="0" w:line="204" w:lineRule="exact"/>
              <w:rPr>
                <w:sz w:val="20"/>
                <w:szCs w:val="20"/>
                <w:color w:val="auto"/>
              </w:rPr>
            </w:pPr>
            <w:r>
              <w:rPr>
                <w:rFonts w:ascii="Arial" w:cs="Arial" w:eastAsia="Arial" w:hAnsi="Arial"/>
                <w:sz w:val="18"/>
                <w:szCs w:val="18"/>
                <w:b w:val="1"/>
                <w:bCs w:val="1"/>
                <w:color w:val="auto"/>
                <w:w w:val="99"/>
              </w:rPr>
              <w:t>Shares of</w:t>
            </w:r>
          </w:p>
        </w:tc>
        <w:tc>
          <w:tcPr>
            <w:tcW w:w="160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Percent of</w:t>
            </w:r>
          </w:p>
        </w:tc>
      </w:tr>
      <w:tr>
        <w:trPr>
          <w:trHeight w:val="203"/>
        </w:trPr>
        <w:tc>
          <w:tcPr>
            <w:tcW w:w="7140" w:type="dxa"/>
            <w:vAlign w:val="bottom"/>
          </w:tcPr>
          <w:p>
            <w:pPr>
              <w:spacing w:after="0"/>
              <w:rPr>
                <w:sz w:val="17"/>
                <w:szCs w:val="17"/>
                <w:color w:val="auto"/>
              </w:rPr>
            </w:pPr>
          </w:p>
        </w:tc>
        <w:tc>
          <w:tcPr>
            <w:tcW w:w="15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Common Stock</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Common Stock</w:t>
            </w:r>
          </w:p>
        </w:tc>
      </w:tr>
      <w:tr>
        <w:trPr>
          <w:trHeight w:val="203"/>
        </w:trPr>
        <w:tc>
          <w:tcPr>
            <w:tcW w:w="7140" w:type="dxa"/>
            <w:vAlign w:val="bottom"/>
          </w:tcPr>
          <w:p>
            <w:pPr>
              <w:spacing w:after="0"/>
              <w:rPr>
                <w:sz w:val="17"/>
                <w:szCs w:val="17"/>
                <w:color w:val="auto"/>
              </w:rPr>
            </w:pPr>
          </w:p>
        </w:tc>
        <w:tc>
          <w:tcPr>
            <w:tcW w:w="15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Outstanding</w:t>
            </w:r>
          </w:p>
        </w:tc>
      </w:tr>
      <w:tr>
        <w:trPr>
          <w:trHeight w:val="255"/>
        </w:trPr>
        <w:tc>
          <w:tcPr>
            <w:tcW w:w="7140" w:type="dxa"/>
            <w:vAlign w:val="bottom"/>
          </w:tcPr>
          <w:p>
            <w:pPr>
              <w:spacing w:after="0"/>
              <w:rPr>
                <w:sz w:val="22"/>
                <w:szCs w:val="22"/>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Owned</w:t>
            </w:r>
          </w:p>
        </w:tc>
        <w:tc>
          <w:tcPr>
            <w:tcW w:w="1600" w:type="dxa"/>
            <w:vAlign w:val="bottom"/>
          </w:tcPr>
          <w:p>
            <w:pPr>
              <w:spacing w:after="0"/>
              <w:rPr>
                <w:sz w:val="22"/>
                <w:szCs w:val="22"/>
                <w:color w:val="auto"/>
              </w:rPr>
            </w:pPr>
          </w:p>
        </w:tc>
      </w:tr>
      <w:tr>
        <w:trPr>
          <w:trHeight w:val="24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Beneficial Owner</w:t>
            </w:r>
          </w:p>
        </w:tc>
        <w:tc>
          <w:tcPr>
            <w:tcW w:w="14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r>
      <w:tr>
        <w:trPr>
          <w:trHeight w:val="256"/>
        </w:trPr>
        <w:tc>
          <w:tcPr>
            <w:tcW w:w="7140" w:type="dxa"/>
            <w:vAlign w:val="bottom"/>
          </w:tcPr>
          <w:p>
            <w:pPr>
              <w:ind w:left="240"/>
              <w:spacing w:after="0" w:line="256" w:lineRule="exact"/>
              <w:rPr>
                <w:sz w:val="20"/>
                <w:szCs w:val="20"/>
                <w:color w:val="auto"/>
              </w:rPr>
            </w:pPr>
            <w:r>
              <w:rPr>
                <w:rFonts w:ascii="Arial" w:cs="Arial" w:eastAsia="Arial" w:hAnsi="Arial"/>
                <w:sz w:val="18"/>
                <w:szCs w:val="18"/>
                <w:color w:val="auto"/>
              </w:rPr>
              <w:t>David J. Arthur</w:t>
            </w:r>
            <w:r>
              <w:rPr>
                <w:rFonts w:ascii="Arial" w:cs="Arial" w:eastAsia="Arial" w:hAnsi="Arial"/>
                <w:sz w:val="23"/>
                <w:szCs w:val="23"/>
                <w:color w:val="auto"/>
                <w:vertAlign w:val="superscript"/>
              </w:rPr>
              <w:t>(1)</w:t>
            </w:r>
          </w:p>
        </w:tc>
        <w:tc>
          <w:tcPr>
            <w:tcW w:w="1420" w:type="dxa"/>
            <w:vAlign w:val="bottom"/>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4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Mark J. Rosenblum</w:t>
            </w:r>
            <w:r>
              <w:rPr>
                <w:rFonts w:ascii="Arial" w:cs="Arial" w:eastAsia="Arial" w:hAnsi="Arial"/>
                <w:sz w:val="23"/>
                <w:szCs w:val="23"/>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7140" w:type="dxa"/>
            <w:vAlign w:val="bottom"/>
          </w:tcPr>
          <w:p>
            <w:pPr>
              <w:ind w:left="240"/>
              <w:spacing w:after="0"/>
              <w:rPr>
                <w:sz w:val="20"/>
                <w:szCs w:val="20"/>
                <w:color w:val="auto"/>
              </w:rPr>
            </w:pPr>
            <w:r>
              <w:rPr>
                <w:rFonts w:ascii="Arial" w:cs="Arial" w:eastAsia="Arial" w:hAnsi="Arial"/>
                <w:sz w:val="18"/>
                <w:szCs w:val="18"/>
                <w:color w:val="auto"/>
              </w:rPr>
              <w:t>Tess Burleson</w:t>
            </w:r>
            <w:r>
              <w:rPr>
                <w:rFonts w:ascii="Arial" w:cs="Arial" w:eastAsia="Arial" w:hAnsi="Arial"/>
                <w:sz w:val="23"/>
                <w:szCs w:val="23"/>
                <w:color w:val="auto"/>
                <w:vertAlign w:val="superscript"/>
              </w:rPr>
              <w:t>(3)</w:t>
            </w:r>
            <w:r>
              <w:rPr>
                <w:rFonts w:ascii="Arial" w:cs="Arial" w:eastAsia="Arial" w:hAnsi="Arial"/>
                <w:sz w:val="21"/>
                <w:szCs w:val="21"/>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14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Arnold C. Hanish</w:t>
            </w:r>
            <w:r>
              <w:rPr>
                <w:rFonts w:ascii="Arial" w:cs="Arial" w:eastAsia="Arial" w:hAnsi="Arial"/>
                <w:sz w:val="23"/>
                <w:szCs w:val="23"/>
                <w:color w:val="auto"/>
                <w:vertAlign w:val="superscript"/>
              </w:rPr>
              <w:t>(4)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40" w:type="dxa"/>
            <w:vAlign w:val="bottom"/>
          </w:tcPr>
          <w:p>
            <w:pPr>
              <w:ind w:left="240"/>
              <w:spacing w:after="0" w:line="256" w:lineRule="exact"/>
              <w:rPr>
                <w:sz w:val="20"/>
                <w:szCs w:val="20"/>
                <w:color w:val="auto"/>
              </w:rPr>
            </w:pPr>
            <w:r>
              <w:rPr>
                <w:rFonts w:ascii="Arial" w:cs="Arial" w:eastAsia="Arial" w:hAnsi="Arial"/>
                <w:sz w:val="18"/>
                <w:szCs w:val="18"/>
                <w:color w:val="auto"/>
              </w:rPr>
              <w:t>Jonathan Lieber</w:t>
            </w:r>
            <w:r>
              <w:rPr>
                <w:rFonts w:ascii="Arial" w:cs="Arial" w:eastAsia="Arial" w:hAnsi="Arial"/>
                <w:sz w:val="23"/>
                <w:szCs w:val="23"/>
                <w:color w:val="auto"/>
                <w:vertAlign w:val="superscript"/>
              </w:rPr>
              <w:t>(5)</w:t>
            </w:r>
          </w:p>
        </w:tc>
        <w:tc>
          <w:tcPr>
            <w:tcW w:w="142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4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Paul Lammers</w:t>
            </w:r>
            <w:r>
              <w:rPr>
                <w:rFonts w:ascii="Arial" w:cs="Arial" w:eastAsia="Arial" w:hAnsi="Arial"/>
                <w:sz w:val="23"/>
                <w:szCs w:val="23"/>
                <w:color w:val="auto"/>
                <w:vertAlign w:val="superscript"/>
              </w:rPr>
              <w:t>(6)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40" w:type="dxa"/>
            <w:vAlign w:val="bottom"/>
          </w:tcPr>
          <w:p>
            <w:pPr>
              <w:ind w:left="240"/>
              <w:spacing w:after="0" w:line="256" w:lineRule="exact"/>
              <w:rPr>
                <w:sz w:val="20"/>
                <w:szCs w:val="20"/>
                <w:color w:val="auto"/>
              </w:rPr>
            </w:pPr>
            <w:r>
              <w:rPr>
                <w:rFonts w:ascii="Arial" w:cs="Arial" w:eastAsia="Arial" w:hAnsi="Arial"/>
                <w:sz w:val="18"/>
                <w:szCs w:val="18"/>
                <w:color w:val="auto"/>
              </w:rPr>
              <w:t>Bruce J. McCreedy</w:t>
            </w:r>
            <w:r>
              <w:rPr>
                <w:rFonts w:ascii="Arial" w:cs="Arial" w:eastAsia="Arial" w:hAnsi="Arial"/>
                <w:sz w:val="23"/>
                <w:szCs w:val="23"/>
                <w:color w:val="auto"/>
                <w:vertAlign w:val="superscript"/>
              </w:rPr>
              <w:t>(7)</w:t>
            </w:r>
          </w:p>
        </w:tc>
        <w:tc>
          <w:tcPr>
            <w:tcW w:w="1420" w:type="dxa"/>
            <w:vAlign w:val="bottom"/>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14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William K McVicar</w:t>
            </w:r>
            <w:r>
              <w:rPr>
                <w:rFonts w:ascii="Arial" w:cs="Arial" w:eastAsia="Arial" w:hAnsi="Arial"/>
                <w:sz w:val="23"/>
                <w:szCs w:val="23"/>
                <w:color w:val="auto"/>
                <w:vertAlign w:val="superscript"/>
              </w:rPr>
              <w:t>(8)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1"/>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 xml:space="preserve">All current executive officers and directors as a group (8 persons) </w:t>
            </w:r>
            <w:r>
              <w:rPr>
                <w:rFonts w:ascii="Arial" w:cs="Arial" w:eastAsia="Arial" w:hAnsi="Arial"/>
                <w:sz w:val="23"/>
                <w:szCs w:val="23"/>
                <w:b w:val="1"/>
                <w:bCs w:val="1"/>
                <w:color w:val="auto"/>
                <w:vertAlign w:val="superscript"/>
              </w:rPr>
              <w:t>(9)</w:t>
            </w:r>
          </w:p>
        </w:tc>
        <w:tc>
          <w:tcPr>
            <w:tcW w:w="1420" w:type="dxa"/>
            <w:vAlign w:val="bottom"/>
          </w:tcPr>
          <w:p>
            <w:pPr>
              <w:jc w:val="right"/>
              <w:spacing w:after="0"/>
              <w:rPr>
                <w:sz w:val="20"/>
                <w:szCs w:val="20"/>
                <w:color w:val="auto"/>
              </w:rPr>
            </w:pPr>
            <w:r>
              <w:rPr>
                <w:rFonts w:ascii="Arial" w:cs="Arial" w:eastAsia="Arial" w:hAnsi="Arial"/>
                <w:sz w:val="18"/>
                <w:szCs w:val="18"/>
                <w:color w:val="auto"/>
              </w:rPr>
              <w:t>38,943</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2.2 %</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*Represents beneficial ownership of less than 1%.</w:t>
      </w:r>
    </w:p>
    <w:p>
      <w:pPr>
        <w:spacing w:after="0" w:line="27" w:lineRule="exact"/>
        <w:rPr>
          <w:sz w:val="20"/>
          <w:szCs w:val="20"/>
          <w:color w:val="auto"/>
        </w:rPr>
      </w:pPr>
    </w:p>
    <w:p>
      <w:pPr>
        <w:ind w:left="660" w:hanging="328"/>
        <w:spacing w:after="0" w:line="250"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(i) 6,142 shares of common stock, (ii) 8,116 shares of common stock subject to options that are exercisable within 60 days of March 17, 2025 and (iii) 10 warrants to purchase shares of common stock.</w:t>
      </w:r>
    </w:p>
    <w:p>
      <w:pPr>
        <w:ind w:left="660" w:hanging="328"/>
        <w:spacing w:after="0" w:line="250"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(i) 2,731 shares of common stock and (ii) 2,526 shares of common stock subject to options that are exercisable within 60 days of March 17, 2025.</w:t>
      </w:r>
    </w:p>
    <w:p>
      <w:pPr>
        <w:ind w:left="660" w:hanging="328"/>
        <w:spacing w:after="0" w:line="250"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340 shares of common stock, (ii) 2,908 shares of common stock subject to options that are exercisable within 60 days of March 17, 2025, and (iii) 21 warrants to purchase shares of common stock.</w:t>
      </w:r>
    </w:p>
    <w:p>
      <w:pPr>
        <w:ind w:left="660" w:hanging="328"/>
        <w:spacing w:after="0" w:line="250"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412 shares of common stock, (ii) 2,908 shares of common stock subject to options that are exercisable within 60 days of March 17, 2025, and (iii) 21 warrants to purchase shares common stock.</w:t>
      </w:r>
    </w:p>
    <w:p>
      <w:pPr>
        <w:ind w:left="660" w:hanging="328"/>
        <w:spacing w:after="0" w:line="250"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368 shares of common stock, and (ii) 2,878 shares of common stock subject to options that are exercisable within 60 days of March 17, 2025.</w:t>
      </w:r>
    </w:p>
    <w:p>
      <w:pPr>
        <w:ind w:left="660" w:hanging="328"/>
        <w:spacing w:after="0" w:line="250"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215 shares of common stock and (ii) 2,908 shares of common stock subject to options that are exercisable within 60 days of March 17, 2025.</w:t>
      </w:r>
    </w:p>
    <w:p>
      <w:pPr>
        <w:ind w:left="660" w:hanging="328"/>
        <w:spacing w:after="0" w:line="250"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180 shares of common stock, (ii) 2,908 shares of common stock subject to options that are exercisable within 60 days of March 17, 2025 and (iii) 43 warrants to purchase shares of common stock.</w:t>
      </w:r>
    </w:p>
    <w:p>
      <w:pPr>
        <w:ind w:left="660" w:hanging="328"/>
        <w:spacing w:after="0" w:line="242"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357 shares of common stock, (ii) 2,908 shares of common stock subject to options that are exercisable within 60 days of March 17, 2025 and (iii) 43 warrants to purchase shares of common stock.</w:t>
      </w:r>
    </w:p>
    <w:p>
      <w:pPr>
        <w:spacing w:after="0" w:line="1" w:lineRule="exact"/>
        <w:rPr>
          <w:rFonts w:ascii="Arial" w:cs="Arial" w:eastAsia="Arial" w:hAnsi="Arial"/>
          <w:sz w:val="18"/>
          <w:szCs w:val="18"/>
          <w:color w:val="auto"/>
        </w:rPr>
      </w:pPr>
    </w:p>
    <w:p>
      <w:pPr>
        <w:ind w:left="660" w:right="120" w:hanging="328"/>
        <w:spacing w:after="0" w:line="242"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10,745 shares of common stock, (ii) 28,060 shares of common stock subject to options that are exercisable within 60 days of March 17, 2025, and (iii) 138 warrants to purchase shares of common stock that are held by Salarius’ executive officers and directors as a group</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includes a summary of transactions since January 1, 2023 to which Salarius been a party, in which the amount involved in the transaction exceeded the lesser of $120,000 or one percent of the average of Salarius’ total assets at year-end for the last two completed fiscal years, and in which any of Salarius’ directors, executive officers or, to Salarius’ knowledge, beneficial owners of more than 5% of Salarius’ capital stock or any member of the immediate family of any of the foregoing persons had or will have a direct or indirect material interest, other than</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equity and other compensation, termination, change of control, and other arrangements, which are described under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DeuteRx Transaction</w:t>
      </w:r>
    </w:p>
    <w:p>
      <w:pPr>
        <w:spacing w:after="0" w:line="2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January 12, 2022, Salarius entered into an Acquisition and Strategic Collaboration Agreement (the “ASCA”), with DeuteRx, LLC, a Delaware limited liability company (the “DeuteRx”), pursuant to which DeuteRx agreed to sell, and Salarius agreed to purchase certain assets of DeuteRx, including the development product Salarius refers to as DRX-3164 (collectively, the “Purchased Assets”). Dr. McVicar, a member of the Salarius board of directors, serves as a consultant to DeuteRx and is a consultant to an affiliate of DeuteRx.</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Purchased Assets were purchased for an aggregate purchase price of $ 1,500,000 and the delivery of 5,000 shares of Salarius’ common stock. Salarius also agreed to pay to DeuteRx (i) milestone payments upon the occurrence of certain events and (ii) royalty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Salarius has entered, and intends to continue to enter, into separate indemnification agreements with its directors and executive officers, in addition to the indemnification provided for in its Certificate of Incorporation and Bylaws. These agreements, among other things, require Salarius to indemnify its directors and executive officers for certain expenses, including attorneys’ fees, judgments, fines, and settlement amounts incurred by a director or executive officer in any action or proceeding arising out of their services as one of Salarius’ directors or executive officers or as a director or executive officer of any other company or enterprise to which the person provides services at Salarius’ request. Salarius believes that these charter provisions and indemnification agreements are necessary to attract and retain qualified persons as directors and officers.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limitation of liability and indemnification provisions in Salarius’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Salarius and its stockholders. A stockholder’s investment may decline in value to the extent Salarius pays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Salarius has adopted a written Related Person Transactions Policy that sets forth its policies and procedures regarding the identification, review, consideration, and oversight of “related person transactions.” For purposes of this policy only, a “related person transaction” is a transaction, arrangement, or relationship (or any series of similar transactions, arrangements or relationships) in which Salarius or any of its subsidiaries are participants involving an amount that exceeds $120,000, in which any “related person” has a material interest.</w:t>
      </w:r>
    </w:p>
    <w:p>
      <w:pPr>
        <w:spacing w:after="0" w:line="17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Transactions involving compensation for services provided to Salarius as an employee, consultant, or director are not considered related person transactions under this policy. A related person is any executive officer, director, nominee to become a director or a holder of more than 5% of any class of Salarius’ voting securities (including its common stock), including any of their immediate family members and affiliates, including entities owned or controlled by such persons.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policy, the related person in question or, in the case of transactions with a holder of more than 5% of any class of Salarius’ voting securities, an officer with knowledge of the proposed transaction, must present information regarding the proposed related person transaction to Salarius’ Audit Committee (or, where review by the Audit Committee would be inappropriate, to another independent body of the Salarius board of directors) for review. To identify related person transactions in advance, Salarius relies on information supplied by its executive officers, directors, and certain significant stockholders. In considering related person transactions, Salarius’ Audit Committee considers the relevant available facts and circumstances, which may include, but not limited to:</w:t>
      </w:r>
    </w:p>
    <w:p>
      <w:pPr>
        <w:spacing w:after="0" w:line="20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the risks, costs, and benefits to Salarius;</w:t>
      </w:r>
    </w:p>
    <w:p>
      <w:pPr>
        <w:spacing w:after="0" w:line="31"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6"/>
        </w:numPr>
        <w:rPr>
          <w:rFonts w:ascii="Arial" w:cs="Arial" w:eastAsia="Arial" w:hAnsi="Arial"/>
          <w:sz w:val="22"/>
          <w:szCs w:val="22"/>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the terms of the transaction;</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the availability of other sources for comparable services or products;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the terms available to or from, as the case may be, unrelated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Salarius’ Audit Committee will approve only those transactions that it determines are fair to Salarius and in its best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10 "Directors, Executive Officers, and Corporate Governance" for additional information regarding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Ernst &amp; Young LLP, or EY, was our independent registered public accounting firm for the years ended December 31, 2024 and December 31,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Fees and Services</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sets forth the total fees paid to EY and its affiliates with respect to the years ended December 31, 2024 and, December 31, 2023:</w:t>
      </w:r>
    </w:p>
    <w:tbl>
      <w:tblPr>
        <w:tblLayout w:type="fixed"/>
        <w:tblInd w:w="3130" w:type="dxa"/>
        <w:tblCellMar>
          <w:top w:w="0" w:type="dxa"/>
          <w:left w:w="0" w:type="dxa"/>
          <w:bottom w:w="0" w:type="dxa"/>
          <w:right w:w="0" w:type="dxa"/>
        </w:tblCellMar>
      </w:tblPr>
      <w:tr>
        <w:trPr>
          <w:trHeight w:val="254"/>
        </w:trPr>
        <w:tc>
          <w:tcPr>
            <w:tcW w:w="21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50"/>
        </w:trPr>
        <w:tc>
          <w:tcPr>
            <w:tcW w:w="2100" w:type="dxa"/>
            <w:vAlign w:val="bottom"/>
            <w:tcBorders>
              <w:left w:val="single" w:sz="8" w:color="auto"/>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48"/>
        </w:trPr>
        <w:tc>
          <w:tcPr>
            <w:tcW w:w="210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Audit fees (1)</w:t>
            </w:r>
          </w:p>
        </w:tc>
        <w:tc>
          <w:tcPr>
            <w:tcW w:w="2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235,000</w:t>
            </w:r>
          </w:p>
        </w:tc>
        <w:tc>
          <w:tcPr>
            <w:tcW w:w="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255,038</w:t>
            </w:r>
          </w:p>
        </w:tc>
      </w:tr>
      <w:tr>
        <w:trPr>
          <w:trHeight w:val="257"/>
        </w:trPr>
        <w:tc>
          <w:tcPr>
            <w:tcW w:w="2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Audit-related fees(2)</w:t>
            </w:r>
          </w:p>
        </w:tc>
        <w:tc>
          <w:tcPr>
            <w:tcW w:w="24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right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210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Tax fees(3)</w:t>
            </w:r>
          </w:p>
        </w:tc>
        <w:tc>
          <w:tcPr>
            <w:tcW w:w="240" w:type="dxa"/>
            <w:vAlign w:val="bottom"/>
            <w:tcBorders>
              <w:bottom w:val="single" w:sz="8" w:color="auto"/>
              <w:right w:val="single" w:sz="8" w:color="auto"/>
            </w:tcBorders>
            <w:shd w:val="clear" w:color="auto" w:fill="CFF0FC"/>
          </w:tcPr>
          <w:p>
            <w:pPr>
              <w:spacing w:after="0"/>
              <w:rPr>
                <w:sz w:val="21"/>
                <w:szCs w:val="21"/>
                <w:color w:val="auto"/>
              </w:rPr>
            </w:pPr>
          </w:p>
        </w:tc>
        <w:tc>
          <w:tcPr>
            <w:tcW w:w="9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right w:val="single" w:sz="8" w:color="auto"/>
            </w:tcBorders>
            <w:shd w:val="clear" w:color="auto" w:fill="CFF0FC"/>
          </w:tcPr>
          <w:p>
            <w:pPr>
              <w:spacing w:after="0"/>
              <w:rPr>
                <w:sz w:val="21"/>
                <w:szCs w:val="21"/>
                <w:color w:val="auto"/>
              </w:rPr>
            </w:pPr>
          </w:p>
        </w:tc>
        <w:tc>
          <w:tcPr>
            <w:tcW w:w="15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44"/>
        </w:trPr>
        <w:tc>
          <w:tcPr>
            <w:tcW w:w="2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All other fees (4)</w:t>
            </w:r>
          </w:p>
        </w:tc>
        <w:tc>
          <w:tcPr>
            <w:tcW w:w="2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63,000</w:t>
            </w:r>
          </w:p>
        </w:tc>
        <w:tc>
          <w:tcPr>
            <w:tcW w:w="26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85,000</w:t>
            </w:r>
          </w:p>
        </w:tc>
      </w:tr>
      <w:tr>
        <w:trPr>
          <w:trHeight w:val="252"/>
        </w:trPr>
        <w:tc>
          <w:tcPr>
            <w:tcW w:w="2100" w:type="dxa"/>
            <w:vAlign w:val="bottom"/>
            <w:tcBorders>
              <w:left w:val="single" w:sz="8" w:color="auto"/>
              <w:bottom w:val="single" w:sz="8" w:color="auto"/>
              <w:right w:val="single" w:sz="8" w:color="auto"/>
            </w:tcBorders>
            <w:shd w:val="clear" w:color="auto" w:fill="CFF0FC"/>
          </w:tcPr>
          <w:p>
            <w:pPr>
              <w:spacing w:after="0"/>
              <w:rPr>
                <w:sz w:val="21"/>
                <w:szCs w:val="21"/>
                <w:color w:val="auto"/>
              </w:rPr>
            </w:pPr>
          </w:p>
        </w:tc>
        <w:tc>
          <w:tcPr>
            <w:tcW w:w="2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rPr>
              <w:t>298,000</w:t>
            </w:r>
          </w:p>
        </w:tc>
        <w:tc>
          <w:tcPr>
            <w:tcW w:w="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8"/>
              </w:rPr>
              <w:t>$340,038</w:t>
            </w:r>
          </w:p>
        </w:tc>
      </w:tr>
    </w:tbl>
    <w:p>
      <w:pPr>
        <w:spacing w:after="0" w:line="346" w:lineRule="exact"/>
        <w:rPr>
          <w:sz w:val="20"/>
          <w:szCs w:val="20"/>
          <w:color w:val="auto"/>
        </w:rPr>
      </w:pPr>
    </w:p>
    <w:p>
      <w:pPr>
        <w:ind w:left="660" w:hanging="328"/>
        <w:spacing w:after="0" w:line="230" w:lineRule="auto"/>
        <w:tabs>
          <w:tab w:leader="none" w:pos="655" w:val="left"/>
        </w:tabs>
        <w:numPr>
          <w:ilvl w:val="0"/>
          <w:numId w:val="48"/>
        </w:numPr>
        <w:rPr>
          <w:rFonts w:ascii="Times New Roman" w:cs="Times New Roman" w:eastAsia="Times New Roman" w:hAnsi="Times New Roman"/>
          <w:sz w:val="22"/>
          <w:szCs w:val="22"/>
          <w:color w:val="auto"/>
        </w:rPr>
      </w:pPr>
      <w:r>
        <w:rPr>
          <w:rFonts w:ascii="Arial" w:cs="Arial" w:eastAsia="Arial" w:hAnsi="Arial"/>
          <w:sz w:val="18"/>
          <w:szCs w:val="18"/>
          <w:color w:val="auto"/>
        </w:rPr>
        <w:t>Consists of fees billed for professional services rendered for the audit of our annual financial statements and services provided in connection with our registration statements.</w:t>
      </w:r>
    </w:p>
    <w:p>
      <w:pPr>
        <w:spacing w:after="0" w:line="4" w:lineRule="exact"/>
        <w:rPr>
          <w:rFonts w:ascii="Times New Roman" w:cs="Times New Roman" w:eastAsia="Times New Roman" w:hAnsi="Times New Roman"/>
          <w:sz w:val="22"/>
          <w:szCs w:val="22"/>
          <w:color w:val="auto"/>
        </w:rPr>
      </w:pPr>
    </w:p>
    <w:p>
      <w:pPr>
        <w:ind w:left="660" w:right="160" w:hanging="328"/>
        <w:spacing w:after="0" w:line="230" w:lineRule="auto"/>
        <w:tabs>
          <w:tab w:leader="none" w:pos="655" w:val="left"/>
        </w:tabs>
        <w:numPr>
          <w:ilvl w:val="0"/>
          <w:numId w:val="48"/>
        </w:numPr>
        <w:rPr>
          <w:rFonts w:ascii="Times New Roman" w:cs="Times New Roman" w:eastAsia="Times New Roman" w:hAnsi="Times New Roman"/>
          <w:sz w:val="22"/>
          <w:szCs w:val="22"/>
          <w:color w:val="auto"/>
        </w:rPr>
      </w:pPr>
      <w:r>
        <w:rPr>
          <w:rFonts w:ascii="Arial" w:cs="Arial" w:eastAsia="Arial" w:hAnsi="Arial"/>
          <w:sz w:val="18"/>
          <w:szCs w:val="18"/>
          <w:color w:val="auto"/>
        </w:rPr>
        <w:t>Represents the aggregate fees billed for assurance and related services that are reasonably related to the performance of the audit or review of the Company’s consolidated financial statements that are not reported under “Audit Fees.”</w:t>
      </w:r>
    </w:p>
    <w:p>
      <w:pPr>
        <w:ind w:left="660" w:hanging="328"/>
        <w:spacing w:after="0" w:line="230" w:lineRule="auto"/>
        <w:tabs>
          <w:tab w:leader="none" w:pos="66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18"/>
          <w:szCs w:val="18"/>
          <w:color w:val="auto"/>
        </w:rPr>
        <w:t>Consists of fees billed for tax compliance, tax advice, tax planning and tax return preparation.</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18"/>
          <w:szCs w:val="18"/>
          <w:color w:val="auto"/>
        </w:rPr>
        <w:t>Consists of fees billed for services, other than those described above under Audit fees and Tax fees.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39"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Our Audit Committee has implemented pre-approval policies and procedures related to the provision of audit and non-audit services. Under these procedures, the Audit Committee pre-approves both the type of services to be provided by Ernst &amp; Young LLP and the estimated fees</w:t>
      </w:r>
    </w:p>
    <w:p>
      <w:pPr>
        <w:spacing w:after="0" w:line="235" w:lineRule="auto"/>
        <w:rPr>
          <w:sz w:val="20"/>
          <w:szCs w:val="20"/>
          <w:color w:val="auto"/>
        </w:rPr>
      </w:pPr>
      <w:r>
        <w:rPr>
          <w:rFonts w:ascii="Arial" w:cs="Arial" w:eastAsia="Arial" w:hAnsi="Arial"/>
          <w:sz w:val="18"/>
          <w:szCs w:val="18"/>
          <w:color w:val="auto"/>
        </w:rPr>
        <w:t>related to these services.</w:t>
      </w:r>
    </w:p>
    <w:p>
      <w:pPr>
        <w:ind w:right="80"/>
        <w:spacing w:after="0" w:line="242" w:lineRule="auto"/>
        <w:rPr>
          <w:sz w:val="20"/>
          <w:szCs w:val="20"/>
          <w:color w:val="auto"/>
        </w:rPr>
      </w:pPr>
      <w:r>
        <w:rPr>
          <w:rFonts w:ascii="Arial" w:cs="Arial" w:eastAsia="Arial" w:hAnsi="Arial"/>
          <w:sz w:val="18"/>
          <w:szCs w:val="18"/>
          <w:color w:val="auto"/>
        </w:rPr>
        <w:t>During the approval process, the Audit Committee considers the impact of the types of services and the related fees on the independence of the registered public accountant. The services and fees must be deemed compatible with the maintenance of such accountants’ independence, including compliance with SEC rules and regulations.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Throughout the year, our Audit Committee reviews for any revisions to the estimates of audit and non-audit fees initially approved. The Audit Committee reviewed and pre-approved all audit services and permitted non-audit services performed during the years ended December 31, 2024 and 2023.</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filed as part of this report are listed on the Index to Consolidated Financial Statements on page 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We have omitted these schedules because they are not required, or are not applicable, or the required information is shown in the consolidated financial statements or notes thereto.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20" w:type="dxa"/>
            <w:vAlign w:val="bottom"/>
            <w:gridSpan w:val="2"/>
          </w:tcPr>
          <w:p>
            <w:pPr>
              <w:spacing w:after="0"/>
              <w:rPr>
                <w:sz w:val="20"/>
                <w:szCs w:val="20"/>
                <w:color w:val="auto"/>
              </w:rPr>
            </w:pPr>
            <w:r>
              <w:rPr>
                <w:rFonts w:ascii="Arial" w:cs="Arial" w:eastAsia="Arial" w:hAnsi="Arial"/>
                <w:sz w:val="18"/>
                <w:szCs w:val="18"/>
                <w:color w:val="auto"/>
              </w:rPr>
              <w:t>(a)(3) Exhibits.</w:t>
            </w:r>
          </w:p>
        </w:tc>
        <w:tc>
          <w:tcPr>
            <w:tcW w:w="87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16"/>
        </w:trPr>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874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980" w:type="dxa"/>
            <w:vAlign w:val="bottom"/>
          </w:tcPr>
          <w:p>
            <w:pPr>
              <w:spacing w:after="0"/>
              <w:rPr>
                <w:sz w:val="24"/>
                <w:szCs w:val="24"/>
                <w:color w:val="auto"/>
              </w:rPr>
            </w:pPr>
          </w:p>
        </w:tc>
      </w:tr>
      <w:tr>
        <w:trPr>
          <w:trHeight w:val="292"/>
        </w:trPr>
        <w:tc>
          <w:tcPr>
            <w:tcW w:w="142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9720" w:type="dxa"/>
            <w:vAlign w:val="bottom"/>
            <w:gridSpan w:val="2"/>
          </w:tcPr>
          <w:p>
            <w:pPr>
              <w:ind w:left="20"/>
              <w:spacing w:after="0"/>
              <w:rPr>
                <w:rFonts w:ascii="Arial" w:cs="Arial" w:eastAsia="Arial" w:hAnsi="Arial"/>
                <w:sz w:val="18"/>
                <w:szCs w:val="18"/>
                <w:color w:val="0000FF"/>
              </w:rPr>
            </w:pPr>
            <w:hyperlink r:id="rId104">
              <w:r>
                <w:rPr>
                  <w:rFonts w:ascii="Arial" w:cs="Arial" w:eastAsia="Arial" w:hAnsi="Arial"/>
                  <w:sz w:val="18"/>
                  <w:szCs w:val="18"/>
                  <w:color w:val="0000FF"/>
                </w:rPr>
                <w:t>Agreement and Plan of Merger, dated as of January 10, 2025, by and among the Registrant, Decoy</w:t>
              </w:r>
            </w:hyperlink>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gridSpan w:val="2"/>
          </w:tcPr>
          <w:p>
            <w:pPr>
              <w:ind w:left="20"/>
              <w:spacing w:after="0" w:line="202" w:lineRule="exact"/>
              <w:rPr>
                <w:rFonts w:ascii="Arial" w:cs="Arial" w:eastAsia="Arial" w:hAnsi="Arial"/>
                <w:sz w:val="18"/>
                <w:szCs w:val="18"/>
                <w:color w:val="0000FF"/>
              </w:rPr>
            </w:pPr>
            <w:hyperlink r:id="rId104">
              <w:r>
                <w:rPr>
                  <w:rFonts w:ascii="Arial" w:cs="Arial" w:eastAsia="Arial" w:hAnsi="Arial"/>
                  <w:sz w:val="18"/>
                  <w:szCs w:val="18"/>
                  <w:color w:val="0000FF"/>
                </w:rPr>
                <w:t>Therapeutics Inc., Decoy Therapeutics MergerSub I, Inc. and Decoy Therapeutics MergerSub II, LLL.</w:t>
              </w:r>
            </w:hyperlink>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gridSpan w:val="2"/>
          </w:tcPr>
          <w:p>
            <w:pPr>
              <w:ind w:left="20"/>
              <w:spacing w:after="0" w:line="202" w:lineRule="exact"/>
              <w:rPr>
                <w:rFonts w:ascii="Arial" w:cs="Arial" w:eastAsia="Arial" w:hAnsi="Arial"/>
                <w:sz w:val="18"/>
                <w:szCs w:val="18"/>
                <w:color w:val="0000FF"/>
              </w:rPr>
            </w:pPr>
            <w:hyperlink r:id="rId104">
              <w:r>
                <w:rPr>
                  <w:rFonts w:ascii="Arial" w:cs="Arial" w:eastAsia="Arial" w:hAnsi="Arial"/>
                  <w:sz w:val="18"/>
                  <w:szCs w:val="18"/>
                  <w:color w:val="0000FF"/>
                </w:rPr>
                <w:t>(incorporated by reference to Exhibit 2.1 to the Registrant’s Current Report on Form 8-K filed with the SEC</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04">
              <w:r>
                <w:rPr>
                  <w:rFonts w:ascii="Arial" w:cs="Arial" w:eastAsia="Arial" w:hAnsi="Arial"/>
                  <w:sz w:val="18"/>
                  <w:szCs w:val="18"/>
                  <w:color w:val="0000FF"/>
                </w:rPr>
                <w:t>on January 13, 2025).</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05">
              <w:r>
                <w:rPr>
                  <w:rFonts w:ascii="Arial" w:cs="Arial" w:eastAsia="Arial" w:hAnsi="Arial"/>
                  <w:sz w:val="18"/>
                  <w:szCs w:val="18"/>
                  <w:color w:val="0000FF"/>
                </w:rPr>
                <w:t>Amended and Restated Certificate of Incorporation of the Registrant (incorporated by reference to Exhibit 3.1</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05">
              <w:r>
                <w:rPr>
                  <w:rFonts w:ascii="Arial" w:cs="Arial" w:eastAsia="Arial" w:hAnsi="Arial"/>
                  <w:sz w:val="18"/>
                  <w:szCs w:val="18"/>
                  <w:color w:val="0000FF"/>
                </w:rPr>
                <w:t>to the Registrant’s Current Report on Form 8-K filed with the SEC on February 9, 2015).</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06">
              <w:r>
                <w:rPr>
                  <w:rFonts w:ascii="Arial" w:cs="Arial" w:eastAsia="Arial" w:hAnsi="Arial"/>
                  <w:sz w:val="18"/>
                  <w:szCs w:val="18"/>
                  <w:color w:val="0000FF"/>
                </w:rPr>
                <w:t>Certificate of Amendment to Amended and Restated Certificate of Incorporation of the Registrant filed with</w:t>
              </w:r>
            </w:hyperlink>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gridSpan w:val="2"/>
          </w:tcPr>
          <w:p>
            <w:pPr>
              <w:ind w:left="20"/>
              <w:spacing w:after="0" w:line="202" w:lineRule="exact"/>
              <w:rPr>
                <w:rFonts w:ascii="Arial" w:cs="Arial" w:eastAsia="Arial" w:hAnsi="Arial"/>
                <w:sz w:val="18"/>
                <w:szCs w:val="18"/>
                <w:color w:val="0000FF"/>
              </w:rPr>
            </w:pPr>
            <w:hyperlink r:id="rId106">
              <w:r>
                <w:rPr>
                  <w:rFonts w:ascii="Arial" w:cs="Arial" w:eastAsia="Arial" w:hAnsi="Arial"/>
                  <w:sz w:val="18"/>
                  <w:szCs w:val="18"/>
                  <w:color w:val="0000FF"/>
                </w:rPr>
                <w:t>the Secretary of State of the State of Delaware on July 18, 2019 (incorporated by reference to Exhibit 3.1 to</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06">
              <w:r>
                <w:rPr>
                  <w:rFonts w:ascii="Arial" w:cs="Arial" w:eastAsia="Arial" w:hAnsi="Arial"/>
                  <w:sz w:val="18"/>
                  <w:szCs w:val="18"/>
                  <w:color w:val="0000FF"/>
                </w:rPr>
                <w:t>the Registrant’s Current Report on Form 8-K filed with the SEC on July 22, 2019).</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07">
              <w:r>
                <w:rPr>
                  <w:rFonts w:ascii="Arial" w:cs="Arial" w:eastAsia="Arial" w:hAnsi="Arial"/>
                  <w:sz w:val="18"/>
                  <w:szCs w:val="18"/>
                  <w:color w:val="0000FF"/>
                </w:rPr>
                <w:t>Certificate of Amendment to Restated Certificate of Incorporation of the Registrant filed with the Secretary of</w:t>
              </w:r>
            </w:hyperlink>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gridSpan w:val="2"/>
          </w:tcPr>
          <w:p>
            <w:pPr>
              <w:ind w:left="20"/>
              <w:spacing w:after="0" w:line="202" w:lineRule="exact"/>
              <w:rPr>
                <w:rFonts w:ascii="Arial" w:cs="Arial" w:eastAsia="Arial" w:hAnsi="Arial"/>
                <w:sz w:val="18"/>
                <w:szCs w:val="18"/>
                <w:color w:val="0000FF"/>
              </w:rPr>
            </w:pPr>
            <w:hyperlink r:id="rId107">
              <w:r>
                <w:rPr>
                  <w:rFonts w:ascii="Arial" w:cs="Arial" w:eastAsia="Arial" w:hAnsi="Arial"/>
                  <w:sz w:val="18"/>
                  <w:szCs w:val="18"/>
                  <w:color w:val="0000FF"/>
                </w:rPr>
                <w:t>State of the State of Delaware on October 14, 2022 (incorporated by reference to Exhibit 3.1 to the</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07">
              <w:r>
                <w:rPr>
                  <w:rFonts w:ascii="Arial" w:cs="Arial" w:eastAsia="Arial" w:hAnsi="Arial"/>
                  <w:sz w:val="18"/>
                  <w:szCs w:val="18"/>
                  <w:color w:val="0000FF"/>
                </w:rPr>
                <w:t>Registrant’s Current Report on Form 8-K filed with the SEC on October 14, 2022).</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08">
              <w:r>
                <w:rPr>
                  <w:rFonts w:ascii="Arial" w:cs="Arial" w:eastAsia="Arial" w:hAnsi="Arial"/>
                  <w:sz w:val="18"/>
                  <w:szCs w:val="18"/>
                  <w:color w:val="0000FF"/>
                </w:rPr>
                <w:t>Certificate of Amendment to Amended and Restated Certificate of Incorporation of the Registrant filed with</w:t>
              </w:r>
            </w:hyperlink>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gridSpan w:val="2"/>
          </w:tcPr>
          <w:p>
            <w:pPr>
              <w:ind w:left="20"/>
              <w:spacing w:after="0" w:line="202" w:lineRule="exact"/>
              <w:rPr>
                <w:rFonts w:ascii="Arial" w:cs="Arial" w:eastAsia="Arial" w:hAnsi="Arial"/>
                <w:sz w:val="18"/>
                <w:szCs w:val="18"/>
                <w:color w:val="0000FF"/>
              </w:rPr>
            </w:pPr>
            <w:hyperlink r:id="rId108">
              <w:r>
                <w:rPr>
                  <w:rFonts w:ascii="Arial" w:cs="Arial" w:eastAsia="Arial" w:hAnsi="Arial"/>
                  <w:sz w:val="18"/>
                  <w:szCs w:val="18"/>
                  <w:color w:val="0000FF"/>
                </w:rPr>
                <w:t>the Secretary of State of the State of Delaware on June 14, 2024 (incorporated by reference to Exhibit 3.1 to</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08">
              <w:r>
                <w:rPr>
                  <w:rFonts w:ascii="Arial" w:cs="Arial" w:eastAsia="Arial" w:hAnsi="Arial"/>
                  <w:sz w:val="18"/>
                  <w:szCs w:val="18"/>
                  <w:color w:val="0000FF"/>
                </w:rPr>
                <w:t>the Registrant’s Current Report on Form 8-K filed with the SEC on June 14, 2024).</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09">
              <w:r>
                <w:rPr>
                  <w:rFonts w:ascii="Arial" w:cs="Arial" w:eastAsia="Arial" w:hAnsi="Arial"/>
                  <w:sz w:val="18"/>
                  <w:szCs w:val="18"/>
                  <w:color w:val="0000FF"/>
                </w:rPr>
                <w:t>Amended and Restated Bylaws of the Registrant, effective July 19, 2019 (incorporated by reference to</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09">
              <w:r>
                <w:rPr>
                  <w:rFonts w:ascii="Arial" w:cs="Arial" w:eastAsia="Arial" w:hAnsi="Arial"/>
                  <w:sz w:val="18"/>
                  <w:szCs w:val="18"/>
                  <w:color w:val="0000FF"/>
                </w:rPr>
                <w:t>Exhibit 3.2 to the Registrant’s Current Report on Form 8-K filed with the SEC on July 22, 2019).</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10">
              <w:r>
                <w:rPr>
                  <w:rFonts w:ascii="Arial" w:cs="Arial" w:eastAsia="Arial" w:hAnsi="Arial"/>
                  <w:sz w:val="18"/>
                  <w:szCs w:val="18"/>
                  <w:color w:val="0000FF"/>
                </w:rPr>
                <w:t>Amendment to the Amended and Restated Bylaws of the Registrant, effective April 1, 2022 (incorporated by</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10">
              <w:r>
                <w:rPr>
                  <w:rFonts w:ascii="Arial" w:cs="Arial" w:eastAsia="Arial" w:hAnsi="Arial"/>
                  <w:sz w:val="18"/>
                  <w:szCs w:val="18"/>
                  <w:color w:val="0000FF"/>
                </w:rPr>
                <w:t>reference to Exhibit 3.1 to the Registrant’s Current Report on Form 8-K filed with the SEC on April 1, 2022).</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11">
              <w:r>
                <w:rPr>
                  <w:rFonts w:ascii="Arial" w:cs="Arial" w:eastAsia="Arial" w:hAnsi="Arial"/>
                  <w:sz w:val="18"/>
                  <w:szCs w:val="18"/>
                  <w:color w:val="0000FF"/>
                </w:rPr>
                <w:t>Form of Common Stock Certificate of Registrant (incorporated by reference to Exhibit 4.1 to the Registrant’s</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11">
              <w:r>
                <w:rPr>
                  <w:rFonts w:ascii="Arial" w:cs="Arial" w:eastAsia="Arial" w:hAnsi="Arial"/>
                  <w:sz w:val="18"/>
                  <w:szCs w:val="18"/>
                  <w:color w:val="0000FF"/>
                </w:rPr>
                <w:t>Registration statement on Form S-1 (File No. 333-201276), as amended, filed January 13, 2015 (the “S-1”)).</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12">
              <w:r>
                <w:rPr>
                  <w:rFonts w:ascii="Arial" w:cs="Arial" w:eastAsia="Arial" w:hAnsi="Arial"/>
                  <w:sz w:val="18"/>
                  <w:szCs w:val="18"/>
                  <w:color w:val="0000FF"/>
                </w:rPr>
                <w:t>Form of Common Stock Purchase Warrant (incorporated by reference to Exhibit 4.8 to the Registrant’s S-1</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12">
              <w:r>
                <w:rPr>
                  <w:rFonts w:ascii="Arial" w:cs="Arial" w:eastAsia="Arial" w:hAnsi="Arial"/>
                  <w:sz w:val="18"/>
                  <w:szCs w:val="18"/>
                  <w:color w:val="0000FF"/>
                </w:rPr>
                <w:t>(File No. 333-201276), as amended, filed February 6, 2020).</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13">
              <w:r>
                <w:rPr>
                  <w:rFonts w:ascii="Arial" w:cs="Arial" w:eastAsia="Arial" w:hAnsi="Arial"/>
                  <w:sz w:val="18"/>
                  <w:szCs w:val="18"/>
                  <w:color w:val="0000FF"/>
                </w:rPr>
                <w:t>Common Stock Purchase Warrant dated February 11, 2020 (incorporated by reference to Exhibit 4.1 to the</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13">
              <w:r>
                <w:rPr>
                  <w:rFonts w:ascii="Arial" w:cs="Arial" w:eastAsia="Arial" w:hAnsi="Arial"/>
                  <w:sz w:val="18"/>
                  <w:szCs w:val="18"/>
                  <w:color w:val="0000FF"/>
                </w:rPr>
                <w:t>Registrant’s Current Report on Form 8-K filed with the SEC on February 12, 2020).</w:t>
              </w:r>
            </w:hyperlink>
          </w:p>
        </w:tc>
      </w:tr>
      <w:tr>
        <w:trPr>
          <w:trHeight w:val="274"/>
        </w:trPr>
        <w:tc>
          <w:tcPr>
            <w:tcW w:w="142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9720" w:type="dxa"/>
            <w:vAlign w:val="bottom"/>
            <w:gridSpan w:val="2"/>
          </w:tcPr>
          <w:p>
            <w:pPr>
              <w:ind w:left="20"/>
              <w:spacing w:after="0"/>
              <w:rPr>
                <w:rFonts w:ascii="Arial" w:cs="Arial" w:eastAsia="Arial" w:hAnsi="Arial"/>
                <w:sz w:val="18"/>
                <w:szCs w:val="18"/>
                <w:color w:val="0000FF"/>
              </w:rPr>
            </w:pPr>
            <w:hyperlink r:id="rId114">
              <w:r>
                <w:rPr>
                  <w:rFonts w:ascii="Arial" w:cs="Arial" w:eastAsia="Arial" w:hAnsi="Arial"/>
                  <w:sz w:val="18"/>
                  <w:szCs w:val="18"/>
                  <w:color w:val="0000FF"/>
                </w:rPr>
                <w:t>Form of Inducement Warrant dated December 11, 2020 (incorporated by reference to Exhibit 4.1 to the</w:t>
              </w:r>
            </w:hyperlink>
          </w:p>
        </w:tc>
      </w:tr>
      <w:tr>
        <w:trPr>
          <w:trHeight w:val="239"/>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20" w:type="dxa"/>
            <w:vAlign w:val="bottom"/>
            <w:gridSpan w:val="2"/>
          </w:tcPr>
          <w:p>
            <w:pPr>
              <w:ind w:left="20"/>
              <w:spacing w:after="0"/>
              <w:rPr>
                <w:rFonts w:ascii="Arial" w:cs="Arial" w:eastAsia="Arial" w:hAnsi="Arial"/>
                <w:sz w:val="18"/>
                <w:szCs w:val="18"/>
                <w:color w:val="0000FF"/>
              </w:rPr>
            </w:pPr>
            <w:hyperlink r:id="rId114">
              <w:r>
                <w:rPr>
                  <w:rFonts w:ascii="Arial" w:cs="Arial" w:eastAsia="Arial" w:hAnsi="Arial"/>
                  <w:sz w:val="18"/>
                  <w:szCs w:val="18"/>
                  <w:color w:val="0000FF"/>
                </w:rPr>
                <w:t>Registrant’s Current Report on Form 8-K/A filed with the SEC on December 11, 2020).</w:t>
              </w:r>
            </w:hyperlink>
          </w:p>
        </w:tc>
      </w:tr>
      <w:tr>
        <w:trPr>
          <w:trHeight w:val="891"/>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tcPr>
          <w:p>
            <w:pPr>
              <w:ind w:left="4000"/>
              <w:spacing w:after="0"/>
              <w:rPr>
                <w:sz w:val="20"/>
                <w:szCs w:val="20"/>
                <w:color w:val="auto"/>
              </w:rPr>
            </w:pPr>
            <w:r>
              <w:rPr>
                <w:rFonts w:ascii="Arial" w:cs="Arial" w:eastAsia="Arial" w:hAnsi="Arial"/>
                <w:sz w:val="18"/>
                <w:szCs w:val="18"/>
                <w:color w:val="auto"/>
              </w:rPr>
              <w:t>82</w:t>
            </w:r>
          </w:p>
        </w:tc>
        <w:tc>
          <w:tcPr>
            <w:tcW w:w="980" w:type="dxa"/>
            <w:vAlign w:val="bottom"/>
          </w:tcPr>
          <w:p>
            <w:pPr>
              <w:spacing w:after="0"/>
              <w:rPr>
                <w:sz w:val="24"/>
                <w:szCs w:val="24"/>
                <w:color w:val="auto"/>
              </w:rPr>
            </w:pPr>
          </w:p>
        </w:tc>
      </w:tr>
      <w:tr>
        <w:trPr>
          <w:trHeight w:val="111"/>
        </w:trPr>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7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ind w:left="20"/>
              <w:spacing w:after="0"/>
              <w:rPr>
                <w:sz w:val="20"/>
                <w:szCs w:val="20"/>
                <w:color w:val="auto"/>
              </w:rPr>
            </w:pPr>
            <w:r>
              <w:rPr>
                <w:rFonts w:ascii="Arial" w:cs="Arial" w:eastAsia="Arial" w:hAnsi="Arial"/>
                <w:sz w:val="18"/>
                <w:szCs w:val="18"/>
                <w:color w:val="auto"/>
              </w:rPr>
              <w:t>4.5</w:t>
            </w:r>
          </w:p>
        </w:tc>
        <w:tc>
          <w:tcPr>
            <w:tcW w:w="10180" w:type="dxa"/>
            <w:vAlign w:val="bottom"/>
          </w:tcPr>
          <w:p>
            <w:pPr>
              <w:ind w:left="480"/>
              <w:spacing w:after="0"/>
              <w:rPr>
                <w:rFonts w:ascii="Arial" w:cs="Arial" w:eastAsia="Arial" w:hAnsi="Arial"/>
                <w:sz w:val="18"/>
                <w:szCs w:val="18"/>
                <w:color w:val="0000FF"/>
              </w:rPr>
            </w:pPr>
            <w:hyperlink r:id="rId117">
              <w:r>
                <w:rPr>
                  <w:rFonts w:ascii="Arial" w:cs="Arial" w:eastAsia="Arial" w:hAnsi="Arial"/>
                  <w:sz w:val="18"/>
                  <w:szCs w:val="18"/>
                  <w:color w:val="0000FF"/>
                </w:rPr>
                <w:t>Form of 2021 Flex Warrants (incorporated by reference to Exhibit 4.1 to the Registrant’s Current Report on</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17">
              <w:r>
                <w:rPr>
                  <w:rFonts w:ascii="Arial" w:cs="Arial" w:eastAsia="Arial" w:hAnsi="Arial"/>
                  <w:sz w:val="18"/>
                  <w:szCs w:val="18"/>
                  <w:color w:val="0000FF"/>
                </w:rPr>
                <w:t>Form 8-K filed with the SEC on July 1, 2021).</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4.6</w:t>
            </w:r>
          </w:p>
        </w:tc>
        <w:tc>
          <w:tcPr>
            <w:tcW w:w="10180" w:type="dxa"/>
            <w:vAlign w:val="bottom"/>
          </w:tcPr>
          <w:p>
            <w:pPr>
              <w:ind w:left="480"/>
              <w:spacing w:after="0"/>
              <w:rPr>
                <w:sz w:val="20"/>
                <w:szCs w:val="20"/>
                <w:color w:val="auto"/>
              </w:rPr>
            </w:pPr>
            <w:r>
              <w:rPr>
                <w:rFonts w:ascii="Arial" w:cs="Arial" w:eastAsia="Arial" w:hAnsi="Arial"/>
                <w:sz w:val="18"/>
                <w:szCs w:val="18"/>
                <w:color w:val="0000FF"/>
              </w:rPr>
              <w:t>Form of Common Stock Purchase Warrant dated April 26, 2022 (incorporated by reference to Exhibit 4.1 to</w:t>
            </w:r>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sz w:val="20"/>
                <w:szCs w:val="20"/>
                <w:color w:val="auto"/>
              </w:rPr>
            </w:pPr>
            <w:r>
              <w:rPr>
                <w:rFonts w:ascii="Arial" w:cs="Arial" w:eastAsia="Arial" w:hAnsi="Arial"/>
                <w:sz w:val="18"/>
                <w:szCs w:val="18"/>
                <w:color w:val="0000FF"/>
              </w:rPr>
              <w:t>the Registrant’s Current Report on Form 8-K filed with the SEC on April 22, 2022).</w:t>
            </w:r>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4.7</w:t>
            </w:r>
          </w:p>
        </w:tc>
        <w:tc>
          <w:tcPr>
            <w:tcW w:w="10180" w:type="dxa"/>
            <w:vAlign w:val="bottom"/>
          </w:tcPr>
          <w:p>
            <w:pPr>
              <w:ind w:left="480"/>
              <w:spacing w:after="0"/>
              <w:rPr>
                <w:rFonts w:ascii="Arial" w:cs="Arial" w:eastAsia="Arial" w:hAnsi="Arial"/>
                <w:sz w:val="18"/>
                <w:szCs w:val="18"/>
                <w:color w:val="0000FF"/>
              </w:rPr>
            </w:pPr>
            <w:hyperlink r:id="rId118">
              <w:r>
                <w:rPr>
                  <w:rFonts w:ascii="Arial" w:cs="Arial" w:eastAsia="Arial" w:hAnsi="Arial"/>
                  <w:sz w:val="18"/>
                  <w:szCs w:val="18"/>
                  <w:color w:val="0000FF"/>
                </w:rPr>
                <w:t>Form of Certificate of Designation of Series A Non-Voting Convertible Preferred Stock (incorporated by</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18">
              <w:r>
                <w:rPr>
                  <w:rFonts w:ascii="Arial" w:cs="Arial" w:eastAsia="Arial" w:hAnsi="Arial"/>
                  <w:sz w:val="18"/>
                  <w:szCs w:val="18"/>
                  <w:color w:val="0000FF"/>
                </w:rPr>
                <w:t>reference to Exhibit 4.1 to the Registrant’s Current Report on Form 8-K filed with the SEC on January 15,</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18">
              <w:r>
                <w:rPr>
                  <w:rFonts w:ascii="Arial" w:cs="Arial" w:eastAsia="Arial" w:hAnsi="Arial"/>
                  <w:sz w:val="18"/>
                  <w:szCs w:val="18"/>
                  <w:color w:val="0000FF"/>
                </w:rPr>
                <w:t>2025),</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4.8</w:t>
            </w:r>
          </w:p>
        </w:tc>
        <w:tc>
          <w:tcPr>
            <w:tcW w:w="10180" w:type="dxa"/>
            <w:vAlign w:val="bottom"/>
          </w:tcPr>
          <w:p>
            <w:pPr>
              <w:ind w:left="480"/>
              <w:spacing w:after="0"/>
              <w:rPr>
                <w:rFonts w:ascii="Arial" w:cs="Arial" w:eastAsia="Arial" w:hAnsi="Arial"/>
                <w:sz w:val="18"/>
                <w:szCs w:val="18"/>
                <w:color w:val="0000FF"/>
              </w:rPr>
            </w:pPr>
            <w:hyperlink r:id="rId119">
              <w:r>
                <w:rPr>
                  <w:rFonts w:ascii="Arial" w:cs="Arial" w:eastAsia="Arial" w:hAnsi="Arial"/>
                  <w:sz w:val="18"/>
                  <w:szCs w:val="18"/>
                  <w:color w:val="0000FF"/>
                </w:rPr>
                <w:t>Form of Placement Agent Warrants (incorporated by reference to Exhibit 4.3 to the Registrant’s Current</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19">
              <w:r>
                <w:rPr>
                  <w:rFonts w:ascii="Arial" w:cs="Arial" w:eastAsia="Arial" w:hAnsi="Arial"/>
                  <w:sz w:val="18"/>
                  <w:szCs w:val="18"/>
                  <w:color w:val="0000FF"/>
                </w:rPr>
                <w:t>Report on Form 8-K filed with the SEC on May 16, 2023).</w:t>
              </w:r>
            </w:hyperlink>
          </w:p>
        </w:tc>
      </w:tr>
      <w:tr>
        <w:trPr>
          <w:trHeight w:val="220"/>
        </w:trPr>
        <w:tc>
          <w:tcPr>
            <w:tcW w:w="1060" w:type="dxa"/>
            <w:vAlign w:val="bottom"/>
          </w:tcPr>
          <w:p>
            <w:pPr>
              <w:ind w:left="20"/>
              <w:spacing w:after="0"/>
              <w:rPr>
                <w:sz w:val="20"/>
                <w:szCs w:val="20"/>
                <w:color w:val="auto"/>
              </w:rPr>
            </w:pPr>
            <w:r>
              <w:rPr>
                <w:rFonts w:ascii="Arial" w:cs="Arial" w:eastAsia="Arial" w:hAnsi="Arial"/>
                <w:sz w:val="18"/>
                <w:szCs w:val="18"/>
                <w:color w:val="auto"/>
              </w:rPr>
              <w:t>4.9</w:t>
            </w:r>
          </w:p>
        </w:tc>
        <w:tc>
          <w:tcPr>
            <w:tcW w:w="10180" w:type="dxa"/>
            <w:vAlign w:val="bottom"/>
          </w:tcPr>
          <w:p>
            <w:pPr>
              <w:ind w:left="480"/>
              <w:spacing w:after="0"/>
              <w:rPr>
                <w:rFonts w:ascii="Arial" w:cs="Arial" w:eastAsia="Arial" w:hAnsi="Arial"/>
                <w:sz w:val="18"/>
                <w:szCs w:val="18"/>
                <w:color w:val="0000FF"/>
              </w:rPr>
            </w:pPr>
            <w:hyperlink r:id="rId120">
              <w:r>
                <w:rPr>
                  <w:rFonts w:ascii="Arial" w:cs="Arial" w:eastAsia="Arial" w:hAnsi="Arial"/>
                  <w:sz w:val="18"/>
                  <w:szCs w:val="18"/>
                  <w:color w:val="0000FF"/>
                </w:rPr>
                <w:t>Description of Registrant’s Securities (incorporated by reference to Exhibit 4.11 to the Registrant’s Annual</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0">
              <w:r>
                <w:rPr>
                  <w:rFonts w:ascii="Arial" w:cs="Arial" w:eastAsia="Arial" w:hAnsi="Arial"/>
                  <w:sz w:val="18"/>
                  <w:szCs w:val="18"/>
                  <w:color w:val="0000FF"/>
                </w:rPr>
                <w:t>Report on Form 10-K filed with the SEC on March 18, 2021.)</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10.1+</w:t>
            </w:r>
          </w:p>
        </w:tc>
        <w:tc>
          <w:tcPr>
            <w:tcW w:w="10180" w:type="dxa"/>
            <w:vAlign w:val="bottom"/>
          </w:tcPr>
          <w:p>
            <w:pPr>
              <w:ind w:left="480"/>
              <w:spacing w:after="0"/>
              <w:rPr>
                <w:rFonts w:ascii="Arial" w:cs="Arial" w:eastAsia="Arial" w:hAnsi="Arial"/>
                <w:sz w:val="18"/>
                <w:szCs w:val="18"/>
                <w:color w:val="0000FF"/>
              </w:rPr>
            </w:pPr>
            <w:hyperlink r:id="rId121">
              <w:r>
                <w:rPr>
                  <w:rFonts w:ascii="Arial" w:cs="Arial" w:eastAsia="Arial" w:hAnsi="Arial"/>
                  <w:sz w:val="18"/>
                  <w:szCs w:val="18"/>
                  <w:color w:val="0000FF"/>
                </w:rPr>
                <w:t>Form of Indemnification Agreement between the Registrant and its directors and officers (incorporated by</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1">
              <w:r>
                <w:rPr>
                  <w:rFonts w:ascii="Arial" w:cs="Arial" w:eastAsia="Arial" w:hAnsi="Arial"/>
                  <w:sz w:val="18"/>
                  <w:szCs w:val="18"/>
                  <w:color w:val="0000FF"/>
                </w:rPr>
                <w:t>reference to Exhibit 10.1 to the Registrant’s Current Report on Form 8-K filed with the SEC on July 22, 2019).</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10.2+</w:t>
            </w:r>
          </w:p>
        </w:tc>
        <w:tc>
          <w:tcPr>
            <w:tcW w:w="10180" w:type="dxa"/>
            <w:vAlign w:val="bottom"/>
          </w:tcPr>
          <w:p>
            <w:pPr>
              <w:ind w:left="480"/>
              <w:spacing w:after="0"/>
              <w:rPr>
                <w:rFonts w:ascii="Arial" w:cs="Arial" w:eastAsia="Arial" w:hAnsi="Arial"/>
                <w:sz w:val="18"/>
                <w:szCs w:val="18"/>
                <w:color w:val="0000FF"/>
              </w:rPr>
            </w:pPr>
            <w:hyperlink r:id="rId122">
              <w:r>
                <w:rPr>
                  <w:rFonts w:ascii="Arial" w:cs="Arial" w:eastAsia="Arial" w:hAnsi="Arial"/>
                  <w:sz w:val="18"/>
                  <w:szCs w:val="18"/>
                  <w:color w:val="0000FF"/>
                </w:rPr>
                <w:t>Indemnification Agreement, dated February 20, 2024, between Salarius Pharmaceuticals, Inc. and David J.</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22">
              <w:r>
                <w:rPr>
                  <w:rFonts w:ascii="Arial" w:cs="Arial" w:eastAsia="Arial" w:hAnsi="Arial"/>
                  <w:sz w:val="18"/>
                  <w:szCs w:val="18"/>
                  <w:color w:val="0000FF"/>
                </w:rPr>
                <w:t>Arthur (Incorporated by reference to Exhibit 10.4 to the Registrant’s Current Report on Form 8-K filed with the</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2">
              <w:r>
                <w:rPr>
                  <w:rFonts w:ascii="Arial" w:cs="Arial" w:eastAsia="Arial" w:hAnsi="Arial"/>
                  <w:sz w:val="18"/>
                  <w:szCs w:val="18"/>
                  <w:color w:val="0000FF"/>
                </w:rPr>
                <w:t>SEC on February 23, 2024).</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10.3^</w:t>
            </w:r>
          </w:p>
        </w:tc>
        <w:tc>
          <w:tcPr>
            <w:tcW w:w="10180" w:type="dxa"/>
            <w:vAlign w:val="bottom"/>
          </w:tcPr>
          <w:p>
            <w:pPr>
              <w:ind w:left="480"/>
              <w:spacing w:after="0"/>
              <w:rPr>
                <w:rFonts w:ascii="Arial" w:cs="Arial" w:eastAsia="Arial" w:hAnsi="Arial"/>
                <w:sz w:val="18"/>
                <w:szCs w:val="18"/>
                <w:color w:val="0000FF"/>
              </w:rPr>
            </w:pPr>
            <w:hyperlink r:id="rId123">
              <w:r>
                <w:rPr>
                  <w:rFonts w:ascii="Arial" w:cs="Arial" w:eastAsia="Arial" w:hAnsi="Arial"/>
                  <w:sz w:val="18"/>
                  <w:szCs w:val="18"/>
                  <w:color w:val="0000FF"/>
                </w:rPr>
                <w:t>Exclusive License Agreement, dated August 3, 2011, between the University of Utah Research Foundation</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23">
              <w:r>
                <w:rPr>
                  <w:rFonts w:ascii="Arial" w:cs="Arial" w:eastAsia="Arial" w:hAnsi="Arial"/>
                  <w:sz w:val="18"/>
                  <w:szCs w:val="18"/>
                  <w:color w:val="0000FF"/>
                </w:rPr>
                <w:t>and Salarius Pharmaceuticals, LLC (incorporated by reference to Exhibit 10.1 to the Registrant’s Registration</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3">
              <w:r>
                <w:rPr>
                  <w:rFonts w:ascii="Arial" w:cs="Arial" w:eastAsia="Arial" w:hAnsi="Arial"/>
                  <w:sz w:val="18"/>
                  <w:szCs w:val="18"/>
                  <w:color w:val="0000FF"/>
                </w:rPr>
                <w:t>Statement on Form S-4 filed with the SEC on February 14, 2019 (the “S-4”)).</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0180" w:type="dxa"/>
            <w:vAlign w:val="bottom"/>
          </w:tcPr>
          <w:p>
            <w:pPr>
              <w:ind w:left="480"/>
              <w:spacing w:after="0"/>
              <w:rPr>
                <w:rFonts w:ascii="Arial" w:cs="Arial" w:eastAsia="Arial" w:hAnsi="Arial"/>
                <w:sz w:val="18"/>
                <w:szCs w:val="18"/>
                <w:color w:val="0000FF"/>
              </w:rPr>
            </w:pPr>
            <w:hyperlink r:id="rId124">
              <w:r>
                <w:rPr>
                  <w:rFonts w:ascii="Arial" w:cs="Arial" w:eastAsia="Arial" w:hAnsi="Arial"/>
                  <w:sz w:val="18"/>
                  <w:szCs w:val="18"/>
                  <w:color w:val="0000FF"/>
                </w:rPr>
                <w:t>Cancer Research Grant Contract, dated June 1, 2016, between the Cancer Prevention and Research</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4">
              <w:r>
                <w:rPr>
                  <w:rFonts w:ascii="Arial" w:cs="Arial" w:eastAsia="Arial" w:hAnsi="Arial"/>
                  <w:sz w:val="18"/>
                  <w:szCs w:val="18"/>
                  <w:color w:val="0000FF"/>
                </w:rPr>
                <w:t>Institute of Texas and Salarius Pharmaceuticals, LLC (incorporated by reference to Exhibit 10.3 to the S-4).</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10.5+</w:t>
            </w:r>
          </w:p>
        </w:tc>
        <w:tc>
          <w:tcPr>
            <w:tcW w:w="10180" w:type="dxa"/>
            <w:vAlign w:val="bottom"/>
          </w:tcPr>
          <w:p>
            <w:pPr>
              <w:ind w:left="480"/>
              <w:spacing w:after="0"/>
              <w:rPr>
                <w:rFonts w:ascii="Arial" w:cs="Arial" w:eastAsia="Arial" w:hAnsi="Arial"/>
                <w:sz w:val="18"/>
                <w:szCs w:val="18"/>
                <w:color w:val="0000FF"/>
              </w:rPr>
            </w:pPr>
            <w:hyperlink r:id="rId125">
              <w:r>
                <w:rPr>
                  <w:rFonts w:ascii="Arial" w:cs="Arial" w:eastAsia="Arial" w:hAnsi="Arial"/>
                  <w:sz w:val="18"/>
                  <w:szCs w:val="18"/>
                  <w:color w:val="0000FF"/>
                </w:rPr>
                <w:t>Amended and Restated Executive Employment Agreement, dated February 5, 2019, between David J. Arthur</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5">
              <w:r>
                <w:rPr>
                  <w:rFonts w:ascii="Arial" w:cs="Arial" w:eastAsia="Arial" w:hAnsi="Arial"/>
                  <w:sz w:val="18"/>
                  <w:szCs w:val="18"/>
                  <w:color w:val="0000FF"/>
                </w:rPr>
                <w:t>and Salarius Pharmaceuticals, LLC (incorporated by reference to Exhibit 10.5 to the S-4).</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10.6+</w:t>
            </w:r>
          </w:p>
        </w:tc>
        <w:tc>
          <w:tcPr>
            <w:tcW w:w="10180" w:type="dxa"/>
            <w:vAlign w:val="bottom"/>
          </w:tcPr>
          <w:p>
            <w:pPr>
              <w:ind w:left="480"/>
              <w:spacing w:after="0"/>
              <w:rPr>
                <w:rFonts w:ascii="Arial" w:cs="Arial" w:eastAsia="Arial" w:hAnsi="Arial"/>
                <w:sz w:val="18"/>
                <w:szCs w:val="18"/>
                <w:color w:val="0000FF"/>
              </w:rPr>
            </w:pPr>
            <w:hyperlink r:id="rId126">
              <w:r>
                <w:rPr>
                  <w:rFonts w:ascii="Arial" w:cs="Arial" w:eastAsia="Arial" w:hAnsi="Arial"/>
                  <w:sz w:val="18"/>
                  <w:szCs w:val="18"/>
                  <w:color w:val="0000FF"/>
                </w:rPr>
                <w:t>Amendment to Amended and Restated Executive Employment Agreement dated September 10, 2019,</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26">
              <w:r>
                <w:rPr>
                  <w:rFonts w:ascii="Arial" w:cs="Arial" w:eastAsia="Arial" w:hAnsi="Arial"/>
                  <w:sz w:val="18"/>
                  <w:szCs w:val="18"/>
                  <w:color w:val="0000FF"/>
                </w:rPr>
                <w:t>among David J. Arthur, the Registrant and Salarius Pharmaceuticals, LLC (incorporated by reference to</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6">
              <w:r>
                <w:rPr>
                  <w:rFonts w:ascii="Arial" w:cs="Arial" w:eastAsia="Arial" w:hAnsi="Arial"/>
                  <w:sz w:val="18"/>
                  <w:szCs w:val="18"/>
                  <w:color w:val="0000FF"/>
                </w:rPr>
                <w:t>Exhibit 10.5 to the Registrant’s Current Report on Form 8-K filed with the SEC on September 16, 2019).</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10.7+</w:t>
            </w:r>
          </w:p>
        </w:tc>
        <w:tc>
          <w:tcPr>
            <w:tcW w:w="10180" w:type="dxa"/>
            <w:vAlign w:val="bottom"/>
          </w:tcPr>
          <w:p>
            <w:pPr>
              <w:ind w:left="480"/>
              <w:spacing w:after="0"/>
              <w:rPr>
                <w:rFonts w:ascii="Arial" w:cs="Arial" w:eastAsia="Arial" w:hAnsi="Arial"/>
                <w:sz w:val="18"/>
                <w:szCs w:val="18"/>
                <w:color w:val="0000FF"/>
              </w:rPr>
            </w:pPr>
            <w:hyperlink r:id="rId127">
              <w:r>
                <w:rPr>
                  <w:rFonts w:ascii="Arial" w:cs="Arial" w:eastAsia="Arial" w:hAnsi="Arial"/>
                  <w:sz w:val="18"/>
                  <w:szCs w:val="18"/>
                  <w:color w:val="0000FF"/>
                </w:rPr>
                <w:t>Separation and Release Agreement, dated February 20, 2024, between David J. Arthur and Salarius</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27">
              <w:r>
                <w:rPr>
                  <w:rFonts w:ascii="Arial" w:cs="Arial" w:eastAsia="Arial" w:hAnsi="Arial"/>
                  <w:sz w:val="18"/>
                  <w:szCs w:val="18"/>
                  <w:color w:val="0000FF"/>
                </w:rPr>
                <w:t>Pharmaceuticals, Inc. (incorporated by reference to Exhibit 10.1 to the Registrant’s Current Report on Form</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7">
              <w:r>
                <w:rPr>
                  <w:rFonts w:ascii="Arial" w:cs="Arial" w:eastAsia="Arial" w:hAnsi="Arial"/>
                  <w:sz w:val="18"/>
                  <w:szCs w:val="18"/>
                  <w:color w:val="0000FF"/>
                </w:rPr>
                <w:t>8-K filed with the SEC on February 23, 2023).</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10.8+</w:t>
            </w:r>
          </w:p>
        </w:tc>
        <w:tc>
          <w:tcPr>
            <w:tcW w:w="10180" w:type="dxa"/>
            <w:vAlign w:val="bottom"/>
          </w:tcPr>
          <w:p>
            <w:pPr>
              <w:ind w:left="480"/>
              <w:spacing w:after="0"/>
              <w:rPr>
                <w:rFonts w:ascii="Arial" w:cs="Arial" w:eastAsia="Arial" w:hAnsi="Arial"/>
                <w:sz w:val="18"/>
                <w:szCs w:val="18"/>
                <w:color w:val="0000FF"/>
              </w:rPr>
            </w:pPr>
            <w:hyperlink r:id="rId128">
              <w:r>
                <w:rPr>
                  <w:rFonts w:ascii="Arial" w:cs="Arial" w:eastAsia="Arial" w:hAnsi="Arial"/>
                  <w:sz w:val="18"/>
                  <w:szCs w:val="18"/>
                  <w:color w:val="0000FF"/>
                </w:rPr>
                <w:t>Consulting Agreement, dated February 20, 2024, between Salarius Pharmaceuticals, Inc. and David J. Arthur</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28">
              <w:r>
                <w:rPr>
                  <w:rFonts w:ascii="Arial" w:cs="Arial" w:eastAsia="Arial" w:hAnsi="Arial"/>
                  <w:sz w:val="18"/>
                  <w:szCs w:val="18"/>
                  <w:color w:val="0000FF"/>
                </w:rPr>
                <w:t>(incorporated by reference to Exhibit 10.2 to the Registrant’s Current Report on Form 8-K filed with the SEC</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8">
              <w:r>
                <w:rPr>
                  <w:rFonts w:ascii="Arial" w:cs="Arial" w:eastAsia="Arial" w:hAnsi="Arial"/>
                  <w:sz w:val="18"/>
                  <w:szCs w:val="18"/>
                  <w:color w:val="0000FF"/>
                </w:rPr>
                <w:t>on February 23, 2023).</w:t>
              </w:r>
            </w:hyperlink>
          </w:p>
        </w:tc>
      </w:tr>
      <w:tr>
        <w:trPr>
          <w:trHeight w:val="490"/>
        </w:trPr>
        <w:tc>
          <w:tcPr>
            <w:tcW w:w="1060" w:type="dxa"/>
            <w:vAlign w:val="bottom"/>
          </w:tcPr>
          <w:p>
            <w:pPr>
              <w:ind w:left="20"/>
              <w:spacing w:after="0"/>
              <w:rPr>
                <w:sz w:val="20"/>
                <w:szCs w:val="20"/>
                <w:color w:val="auto"/>
              </w:rPr>
            </w:pPr>
            <w:r>
              <w:rPr>
                <w:rFonts w:ascii="Arial" w:cs="Arial" w:eastAsia="Arial" w:hAnsi="Arial"/>
                <w:sz w:val="18"/>
                <w:szCs w:val="18"/>
                <w:color w:val="auto"/>
              </w:rPr>
              <w:t>10.9+</w:t>
            </w:r>
          </w:p>
        </w:tc>
        <w:tc>
          <w:tcPr>
            <w:tcW w:w="10180" w:type="dxa"/>
            <w:vAlign w:val="bottom"/>
          </w:tcPr>
          <w:p>
            <w:pPr>
              <w:ind w:left="480"/>
              <w:spacing w:after="0"/>
              <w:rPr>
                <w:rFonts w:ascii="Arial" w:cs="Arial" w:eastAsia="Arial" w:hAnsi="Arial"/>
                <w:sz w:val="18"/>
                <w:szCs w:val="18"/>
                <w:color w:val="0000FF"/>
              </w:rPr>
            </w:pPr>
            <w:hyperlink r:id="rId129">
              <w:r>
                <w:rPr>
                  <w:rFonts w:ascii="Arial" w:cs="Arial" w:eastAsia="Arial" w:hAnsi="Arial"/>
                  <w:sz w:val="18"/>
                  <w:szCs w:val="18"/>
                  <w:color w:val="0000FF"/>
                </w:rPr>
                <w:t>Executive Employment Agreement, dated April 24, 2020, between Mark J. Rosenblum and Salarius</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29">
              <w:r>
                <w:rPr>
                  <w:rFonts w:ascii="Arial" w:cs="Arial" w:eastAsia="Arial" w:hAnsi="Arial"/>
                  <w:sz w:val="18"/>
                  <w:szCs w:val="18"/>
                  <w:color w:val="0000FF"/>
                </w:rPr>
                <w:t>Pharmaceuticals, Inc. (incorporated by reference to Exhibit 10.1 to the Registrant’s Current Report on Form</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29">
              <w:r>
                <w:rPr>
                  <w:rFonts w:ascii="Arial" w:cs="Arial" w:eastAsia="Arial" w:hAnsi="Arial"/>
                  <w:sz w:val="18"/>
                  <w:szCs w:val="18"/>
                  <w:color w:val="0000FF"/>
                </w:rPr>
                <w:t>8-K filed with the SEC on April 29, 2020).</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10.10+</w:t>
            </w:r>
          </w:p>
        </w:tc>
        <w:tc>
          <w:tcPr>
            <w:tcW w:w="10180" w:type="dxa"/>
            <w:vAlign w:val="bottom"/>
          </w:tcPr>
          <w:p>
            <w:pPr>
              <w:ind w:left="480"/>
              <w:spacing w:after="0"/>
              <w:rPr>
                <w:rFonts w:ascii="Arial" w:cs="Arial" w:eastAsia="Arial" w:hAnsi="Arial"/>
                <w:sz w:val="18"/>
                <w:szCs w:val="18"/>
                <w:color w:val="0000FF"/>
              </w:rPr>
            </w:pPr>
            <w:hyperlink r:id="rId130">
              <w:r>
                <w:rPr>
                  <w:rFonts w:ascii="Arial" w:cs="Arial" w:eastAsia="Arial" w:hAnsi="Arial"/>
                  <w:sz w:val="18"/>
                  <w:szCs w:val="18"/>
                  <w:color w:val="0000FF"/>
                </w:rPr>
                <w:t>Amendment to Executive Employment Agreement, dated February 20, 2024, between Mark J. Rosenblum</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30">
              <w:r>
                <w:rPr>
                  <w:rFonts w:ascii="Arial" w:cs="Arial" w:eastAsia="Arial" w:hAnsi="Arial"/>
                  <w:sz w:val="18"/>
                  <w:szCs w:val="18"/>
                  <w:color w:val="0000FF"/>
                </w:rPr>
                <w:t>and Salarius Pharmaceuticals, Inc. (incorporated by reference to Exhibit 10.5 to the Registrant’s Current</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30">
              <w:r>
                <w:rPr>
                  <w:rFonts w:ascii="Arial" w:cs="Arial" w:eastAsia="Arial" w:hAnsi="Arial"/>
                  <w:sz w:val="18"/>
                  <w:szCs w:val="18"/>
                  <w:color w:val="0000FF"/>
                </w:rPr>
                <w:t>Report on Form 8-K filed with the SEC on February 23, 2024).</w:t>
              </w:r>
            </w:hyperlink>
          </w:p>
        </w:tc>
      </w:tr>
      <w:tr>
        <w:trPr>
          <w:trHeight w:val="274"/>
        </w:trPr>
        <w:tc>
          <w:tcPr>
            <w:tcW w:w="1060" w:type="dxa"/>
            <w:vAlign w:val="bottom"/>
          </w:tcPr>
          <w:p>
            <w:pPr>
              <w:ind w:left="20"/>
              <w:spacing w:after="0"/>
              <w:rPr>
                <w:sz w:val="20"/>
                <w:szCs w:val="20"/>
                <w:color w:val="auto"/>
              </w:rPr>
            </w:pPr>
            <w:r>
              <w:rPr>
                <w:rFonts w:ascii="Arial" w:cs="Arial" w:eastAsia="Arial" w:hAnsi="Arial"/>
                <w:sz w:val="18"/>
                <w:szCs w:val="18"/>
                <w:color w:val="auto"/>
              </w:rPr>
              <w:t>10.11+</w:t>
            </w:r>
          </w:p>
        </w:tc>
        <w:tc>
          <w:tcPr>
            <w:tcW w:w="10180" w:type="dxa"/>
            <w:vAlign w:val="bottom"/>
          </w:tcPr>
          <w:p>
            <w:pPr>
              <w:ind w:left="480"/>
              <w:spacing w:after="0"/>
              <w:rPr>
                <w:rFonts w:ascii="Arial" w:cs="Arial" w:eastAsia="Arial" w:hAnsi="Arial"/>
                <w:sz w:val="18"/>
                <w:szCs w:val="18"/>
                <w:color w:val="0000FF"/>
              </w:rPr>
            </w:pPr>
            <w:hyperlink r:id="rId131">
              <w:r>
                <w:rPr>
                  <w:rFonts w:ascii="Arial" w:cs="Arial" w:eastAsia="Arial" w:hAnsi="Arial"/>
                  <w:sz w:val="18"/>
                  <w:szCs w:val="18"/>
                  <w:color w:val="0000FF"/>
                </w:rPr>
                <w:t>Forms of Stock Option Agreement, Notice of Exercise and Stock Option Grant Notice under the Flex Pharma,</w:t>
              </w:r>
            </w:hyperlink>
          </w:p>
        </w:tc>
      </w:tr>
      <w:tr>
        <w:trPr>
          <w:trHeight w:val="203"/>
        </w:trPr>
        <w:tc>
          <w:tcPr>
            <w:tcW w:w="1060" w:type="dxa"/>
            <w:vAlign w:val="bottom"/>
          </w:tcPr>
          <w:p>
            <w:pPr>
              <w:spacing w:after="0"/>
              <w:rPr>
                <w:sz w:val="17"/>
                <w:szCs w:val="17"/>
                <w:color w:val="auto"/>
              </w:rPr>
            </w:pPr>
          </w:p>
        </w:tc>
        <w:tc>
          <w:tcPr>
            <w:tcW w:w="10180" w:type="dxa"/>
            <w:vAlign w:val="bottom"/>
          </w:tcPr>
          <w:p>
            <w:pPr>
              <w:ind w:left="480"/>
              <w:spacing w:after="0" w:line="202" w:lineRule="exact"/>
              <w:rPr>
                <w:rFonts w:ascii="Arial" w:cs="Arial" w:eastAsia="Arial" w:hAnsi="Arial"/>
                <w:sz w:val="18"/>
                <w:szCs w:val="18"/>
                <w:color w:val="0000FF"/>
              </w:rPr>
            </w:pPr>
            <w:hyperlink r:id="rId131">
              <w:r>
                <w:rPr>
                  <w:rFonts w:ascii="Arial" w:cs="Arial" w:eastAsia="Arial" w:hAnsi="Arial"/>
                  <w:sz w:val="18"/>
                  <w:szCs w:val="18"/>
                  <w:color w:val="0000FF"/>
                </w:rPr>
                <w:t>Inc. 2015 Equity Incentive Plan (incorporated by reference to Exhibit 10.4 to the Registrant’s Annual Report</w:t>
              </w:r>
            </w:hyperlink>
          </w:p>
        </w:tc>
      </w:tr>
      <w:tr>
        <w:trPr>
          <w:trHeight w:val="239"/>
        </w:trPr>
        <w:tc>
          <w:tcPr>
            <w:tcW w:w="1060" w:type="dxa"/>
            <w:vAlign w:val="bottom"/>
          </w:tcPr>
          <w:p>
            <w:pPr>
              <w:spacing w:after="0"/>
              <w:rPr>
                <w:sz w:val="20"/>
                <w:szCs w:val="20"/>
                <w:color w:val="auto"/>
              </w:rPr>
            </w:pPr>
          </w:p>
        </w:tc>
        <w:tc>
          <w:tcPr>
            <w:tcW w:w="10180" w:type="dxa"/>
            <w:vAlign w:val="bottom"/>
          </w:tcPr>
          <w:p>
            <w:pPr>
              <w:ind w:left="480"/>
              <w:spacing w:after="0"/>
              <w:rPr>
                <w:rFonts w:ascii="Arial" w:cs="Arial" w:eastAsia="Arial" w:hAnsi="Arial"/>
                <w:sz w:val="18"/>
                <w:szCs w:val="18"/>
                <w:color w:val="0000FF"/>
              </w:rPr>
            </w:pPr>
            <w:hyperlink r:id="rId131">
              <w:r>
                <w:rPr>
                  <w:rFonts w:ascii="Arial" w:cs="Arial" w:eastAsia="Arial" w:hAnsi="Arial"/>
                  <w:sz w:val="18"/>
                  <w:szCs w:val="18"/>
                  <w:color w:val="0000FF"/>
                </w:rPr>
                <w:t>on Form 10-K filed with the SEC on March 24, 2015).</w:t>
              </w:r>
            </w:hyperlink>
          </w:p>
        </w:tc>
      </w:tr>
      <w:tr>
        <w:trPr>
          <w:trHeight w:val="945"/>
        </w:trPr>
        <w:tc>
          <w:tcPr>
            <w:tcW w:w="1060" w:type="dxa"/>
            <w:vAlign w:val="bottom"/>
          </w:tcPr>
          <w:p>
            <w:pPr>
              <w:spacing w:after="0"/>
              <w:rPr>
                <w:sz w:val="24"/>
                <w:szCs w:val="24"/>
                <w:color w:val="auto"/>
              </w:rPr>
            </w:pPr>
          </w:p>
        </w:tc>
        <w:tc>
          <w:tcPr>
            <w:tcW w:w="10180" w:type="dxa"/>
            <w:vAlign w:val="bottom"/>
          </w:tcPr>
          <w:p>
            <w:pPr>
              <w:ind w:left="4460"/>
              <w:spacing w:after="0"/>
              <w:rPr>
                <w:sz w:val="20"/>
                <w:szCs w:val="20"/>
                <w:color w:val="auto"/>
              </w:rPr>
            </w:pPr>
            <w:r>
              <w:rPr>
                <w:rFonts w:ascii="Arial" w:cs="Arial" w:eastAsia="Arial" w:hAnsi="Arial"/>
                <w:sz w:val="18"/>
                <w:szCs w:val="18"/>
                <w:color w:val="auto"/>
              </w:rPr>
              <w:t>83</w:t>
            </w:r>
          </w:p>
        </w:tc>
      </w:tr>
      <w:tr>
        <w:trPr>
          <w:trHeight w:val="111"/>
        </w:trPr>
        <w:tc>
          <w:tcPr>
            <w:tcW w:w="1060" w:type="dxa"/>
            <w:vAlign w:val="bottom"/>
            <w:tcBorders>
              <w:bottom w:val="single" w:sz="8" w:color="9A9A9A"/>
            </w:tcBorders>
          </w:tcPr>
          <w:p>
            <w:pPr>
              <w:spacing w:after="0"/>
              <w:rPr>
                <w:sz w:val="9"/>
                <w:szCs w:val="9"/>
                <w:color w:val="auto"/>
              </w:rPr>
            </w:pPr>
          </w:p>
        </w:tc>
        <w:tc>
          <w:tcPr>
            <w:tcW w:w="10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ind w:left="20"/>
              <w:spacing w:after="0"/>
              <w:rPr>
                <w:sz w:val="20"/>
                <w:szCs w:val="20"/>
                <w:color w:val="auto"/>
              </w:rPr>
            </w:pPr>
            <w:r>
              <w:rPr>
                <w:rFonts w:ascii="Arial" w:cs="Arial" w:eastAsia="Arial" w:hAnsi="Arial"/>
                <w:sz w:val="18"/>
                <w:szCs w:val="18"/>
                <w:color w:val="auto"/>
              </w:rPr>
              <w:t>10.12+</w:t>
            </w:r>
          </w:p>
        </w:tc>
        <w:tc>
          <w:tcPr>
            <w:tcW w:w="9700" w:type="dxa"/>
            <w:vAlign w:val="bottom"/>
            <w:gridSpan w:val="13"/>
          </w:tcPr>
          <w:p>
            <w:pPr>
              <w:spacing w:after="0"/>
              <w:rPr>
                <w:rFonts w:ascii="Arial" w:cs="Arial" w:eastAsia="Arial" w:hAnsi="Arial"/>
                <w:sz w:val="18"/>
                <w:szCs w:val="18"/>
                <w:color w:val="0000FF"/>
              </w:rPr>
            </w:pPr>
            <w:hyperlink r:id="rId134">
              <w:r>
                <w:rPr>
                  <w:rFonts w:ascii="Arial" w:cs="Arial" w:eastAsia="Arial" w:hAnsi="Arial"/>
                  <w:sz w:val="18"/>
                  <w:szCs w:val="18"/>
                  <w:color w:val="0000FF"/>
                </w:rPr>
                <w:t>Notice of Stock Option Amendment, dated February 20, 2024, between David J. Arthur and Salarius</w:t>
              </w:r>
            </w:hyperlink>
          </w:p>
        </w:tc>
      </w:tr>
      <w:tr>
        <w:trPr>
          <w:trHeight w:val="203"/>
        </w:trPr>
        <w:tc>
          <w:tcPr>
            <w:tcW w:w="1540" w:type="dxa"/>
            <w:vAlign w:val="bottom"/>
          </w:tcPr>
          <w:p>
            <w:pPr>
              <w:spacing w:after="0"/>
              <w:rPr>
                <w:sz w:val="17"/>
                <w:szCs w:val="17"/>
                <w:color w:val="auto"/>
              </w:rPr>
            </w:pPr>
          </w:p>
        </w:tc>
        <w:tc>
          <w:tcPr>
            <w:tcW w:w="9700" w:type="dxa"/>
            <w:vAlign w:val="bottom"/>
            <w:gridSpan w:val="13"/>
          </w:tcPr>
          <w:p>
            <w:pPr>
              <w:spacing w:after="0" w:line="202" w:lineRule="exact"/>
              <w:rPr>
                <w:rFonts w:ascii="Arial" w:cs="Arial" w:eastAsia="Arial" w:hAnsi="Arial"/>
                <w:sz w:val="18"/>
                <w:szCs w:val="18"/>
                <w:color w:val="0000FF"/>
              </w:rPr>
            </w:pPr>
            <w:hyperlink r:id="rId134">
              <w:r>
                <w:rPr>
                  <w:rFonts w:ascii="Arial" w:cs="Arial" w:eastAsia="Arial" w:hAnsi="Arial"/>
                  <w:sz w:val="18"/>
                  <w:szCs w:val="18"/>
                  <w:color w:val="0000FF"/>
                </w:rPr>
                <w:t>Pharmaceuticals, Inc. (incorporated by reference to Exhibit 10.3 to the Registrant’s Current Report on Form</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34">
              <w:r>
                <w:rPr>
                  <w:rFonts w:ascii="Arial" w:cs="Arial" w:eastAsia="Arial" w:hAnsi="Arial"/>
                  <w:sz w:val="18"/>
                  <w:szCs w:val="18"/>
                  <w:color w:val="0000FF"/>
                </w:rPr>
                <w:t>8-K filed with the SEC on February 23, 2024).</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10.13+</w:t>
            </w:r>
          </w:p>
        </w:tc>
        <w:tc>
          <w:tcPr>
            <w:tcW w:w="9700" w:type="dxa"/>
            <w:vAlign w:val="bottom"/>
            <w:gridSpan w:val="13"/>
          </w:tcPr>
          <w:p>
            <w:pPr>
              <w:spacing w:after="0"/>
              <w:rPr>
                <w:rFonts w:ascii="Arial" w:cs="Arial" w:eastAsia="Arial" w:hAnsi="Arial"/>
                <w:sz w:val="18"/>
                <w:szCs w:val="18"/>
                <w:color w:val="0000FF"/>
              </w:rPr>
            </w:pPr>
            <w:hyperlink r:id="rId135">
              <w:r>
                <w:rPr>
                  <w:rFonts w:ascii="Arial" w:cs="Arial" w:eastAsia="Arial" w:hAnsi="Arial"/>
                  <w:sz w:val="18"/>
                  <w:szCs w:val="18"/>
                  <w:color w:val="0000FF"/>
                </w:rPr>
                <w:t>Amended and Restated Salarius Pharmaceuticals, Inc. 2015 Employee Stock Purchase Plan (incorporated</w:t>
              </w:r>
            </w:hyperlink>
          </w:p>
        </w:tc>
      </w:tr>
      <w:tr>
        <w:trPr>
          <w:trHeight w:val="203"/>
        </w:trPr>
        <w:tc>
          <w:tcPr>
            <w:tcW w:w="1540" w:type="dxa"/>
            <w:vAlign w:val="bottom"/>
          </w:tcPr>
          <w:p>
            <w:pPr>
              <w:spacing w:after="0"/>
              <w:rPr>
                <w:sz w:val="17"/>
                <w:szCs w:val="17"/>
                <w:color w:val="auto"/>
              </w:rPr>
            </w:pPr>
          </w:p>
        </w:tc>
        <w:tc>
          <w:tcPr>
            <w:tcW w:w="9700" w:type="dxa"/>
            <w:vAlign w:val="bottom"/>
            <w:gridSpan w:val="13"/>
          </w:tcPr>
          <w:p>
            <w:pPr>
              <w:spacing w:after="0" w:line="202" w:lineRule="exact"/>
              <w:rPr>
                <w:rFonts w:ascii="Arial" w:cs="Arial" w:eastAsia="Arial" w:hAnsi="Arial"/>
                <w:sz w:val="18"/>
                <w:szCs w:val="18"/>
                <w:color w:val="0000FF"/>
              </w:rPr>
            </w:pPr>
            <w:hyperlink r:id="rId135">
              <w:r>
                <w:rPr>
                  <w:rFonts w:ascii="Arial" w:cs="Arial" w:eastAsia="Arial" w:hAnsi="Arial"/>
                  <w:sz w:val="18"/>
                  <w:szCs w:val="18"/>
                  <w:color w:val="0000FF"/>
                </w:rPr>
                <w:t>by reference to Exhibit 10.1 to the Registrant’s Current Report on Form 8-K filed with the SEC on June 15,</w:t>
              </w:r>
            </w:hyperlink>
          </w:p>
        </w:tc>
      </w:tr>
      <w:tr>
        <w:trPr>
          <w:trHeight w:val="239"/>
        </w:trPr>
        <w:tc>
          <w:tcPr>
            <w:tcW w:w="1540" w:type="dxa"/>
            <w:vAlign w:val="bottom"/>
          </w:tcPr>
          <w:p>
            <w:pPr>
              <w:spacing w:after="0"/>
              <w:rPr>
                <w:sz w:val="20"/>
                <w:szCs w:val="20"/>
                <w:color w:val="auto"/>
              </w:rPr>
            </w:pPr>
          </w:p>
        </w:tc>
        <w:tc>
          <w:tcPr>
            <w:tcW w:w="520" w:type="dxa"/>
            <w:vAlign w:val="bottom"/>
          </w:tcPr>
          <w:p>
            <w:pPr>
              <w:spacing w:after="0"/>
              <w:rPr>
                <w:rFonts w:ascii="Arial" w:cs="Arial" w:eastAsia="Arial" w:hAnsi="Arial"/>
                <w:sz w:val="18"/>
                <w:szCs w:val="18"/>
                <w:color w:val="0000FF"/>
                <w:w w:val="97"/>
              </w:rPr>
            </w:pPr>
            <w:hyperlink r:id="rId135">
              <w:r>
                <w:rPr>
                  <w:rFonts w:ascii="Arial" w:cs="Arial" w:eastAsia="Arial" w:hAnsi="Arial"/>
                  <w:sz w:val="18"/>
                  <w:szCs w:val="18"/>
                  <w:color w:val="0000FF"/>
                  <w:w w:val="97"/>
                </w:rPr>
                <w:t>2023).</w:t>
              </w:r>
            </w:hyperlink>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10.14+</w:t>
            </w:r>
          </w:p>
        </w:tc>
        <w:tc>
          <w:tcPr>
            <w:tcW w:w="9700" w:type="dxa"/>
            <w:vAlign w:val="bottom"/>
            <w:gridSpan w:val="1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Salarius Pharmaceuticals, Inc., 2015 Equity Incentive Plan, as amended (incorporated by reference to Exhibit</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10.1 to the Registrant’s Current Report on Form 8-K filed with the SEC on June 19, 2020)</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10.15</w:t>
            </w:r>
          </w:p>
        </w:tc>
        <w:tc>
          <w:tcPr>
            <w:tcW w:w="9700" w:type="dxa"/>
            <w:vAlign w:val="bottom"/>
            <w:gridSpan w:val="13"/>
          </w:tcPr>
          <w:p>
            <w:pPr>
              <w:spacing w:after="0"/>
              <w:rPr>
                <w:rFonts w:ascii="Arial" w:cs="Arial" w:eastAsia="Arial" w:hAnsi="Arial"/>
                <w:sz w:val="18"/>
                <w:szCs w:val="18"/>
                <w:color w:val="0000FF"/>
              </w:rPr>
            </w:pPr>
            <w:hyperlink r:id="rId137">
              <w:r>
                <w:rPr>
                  <w:rFonts w:ascii="Arial" w:cs="Arial" w:eastAsia="Arial" w:hAnsi="Arial"/>
                  <w:sz w:val="18"/>
                  <w:szCs w:val="18"/>
                  <w:color w:val="0000FF"/>
                </w:rPr>
                <w:t>At the Market Offering Agreement, dated February 5, 2021, between Salarius Pharmaceuticals, Inc. and</w:t>
              </w:r>
            </w:hyperlink>
          </w:p>
        </w:tc>
      </w:tr>
      <w:tr>
        <w:trPr>
          <w:trHeight w:val="203"/>
        </w:trPr>
        <w:tc>
          <w:tcPr>
            <w:tcW w:w="1540" w:type="dxa"/>
            <w:vAlign w:val="bottom"/>
          </w:tcPr>
          <w:p>
            <w:pPr>
              <w:spacing w:after="0"/>
              <w:rPr>
                <w:sz w:val="17"/>
                <w:szCs w:val="17"/>
                <w:color w:val="auto"/>
              </w:rPr>
            </w:pPr>
          </w:p>
        </w:tc>
        <w:tc>
          <w:tcPr>
            <w:tcW w:w="9700" w:type="dxa"/>
            <w:vAlign w:val="bottom"/>
            <w:gridSpan w:val="13"/>
          </w:tcPr>
          <w:p>
            <w:pPr>
              <w:spacing w:after="0" w:line="202" w:lineRule="exact"/>
              <w:rPr>
                <w:rFonts w:ascii="Arial" w:cs="Arial" w:eastAsia="Arial" w:hAnsi="Arial"/>
                <w:sz w:val="18"/>
                <w:szCs w:val="18"/>
                <w:color w:val="0000FF"/>
              </w:rPr>
            </w:pPr>
            <w:hyperlink r:id="rId137">
              <w:r>
                <w:rPr>
                  <w:rFonts w:ascii="Arial" w:cs="Arial" w:eastAsia="Arial" w:hAnsi="Arial"/>
                  <w:sz w:val="18"/>
                  <w:szCs w:val="18"/>
                  <w:color w:val="0000FF"/>
                </w:rPr>
                <w:t>Ladenburg Thalmann &amp; Co. Inc. (incorporated by reference to Exhibit 1.1 to the Registrant’s Current Report</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37">
              <w:r>
                <w:rPr>
                  <w:rFonts w:ascii="Arial" w:cs="Arial" w:eastAsia="Arial" w:hAnsi="Arial"/>
                  <w:sz w:val="18"/>
                  <w:szCs w:val="18"/>
                  <w:color w:val="0000FF"/>
                </w:rPr>
                <w:t>on Form 8-K filed with the SEC on February 5, 2021).</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10.16</w:t>
            </w:r>
          </w:p>
        </w:tc>
        <w:tc>
          <w:tcPr>
            <w:tcW w:w="9700" w:type="dxa"/>
            <w:vAlign w:val="bottom"/>
            <w:gridSpan w:val="13"/>
          </w:tcPr>
          <w:p>
            <w:pPr>
              <w:spacing w:after="0"/>
              <w:rPr>
                <w:rFonts w:ascii="Arial" w:cs="Arial" w:eastAsia="Arial" w:hAnsi="Arial"/>
                <w:sz w:val="18"/>
                <w:szCs w:val="18"/>
                <w:color w:val="0000FF"/>
              </w:rPr>
            </w:pPr>
            <w:hyperlink r:id="rId138">
              <w:r>
                <w:rPr>
                  <w:rFonts w:ascii="Arial" w:cs="Arial" w:eastAsia="Arial" w:hAnsi="Arial"/>
                  <w:sz w:val="18"/>
                  <w:szCs w:val="18"/>
                  <w:color w:val="0000FF"/>
                </w:rPr>
                <w:t>Securities Purchase Agreement, dated April 22, 2022 (incorporated by reference to Exhibit 10.1 to the</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38">
              <w:r>
                <w:rPr>
                  <w:rFonts w:ascii="Arial" w:cs="Arial" w:eastAsia="Arial" w:hAnsi="Arial"/>
                  <w:sz w:val="18"/>
                  <w:szCs w:val="18"/>
                  <w:color w:val="0000FF"/>
                </w:rPr>
                <w:t>Registrant’s Current Report on Form 8-K filed with the SEC on April 22, 2022).</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10.17</w:t>
            </w:r>
          </w:p>
        </w:tc>
        <w:tc>
          <w:tcPr>
            <w:tcW w:w="9700" w:type="dxa"/>
            <w:vAlign w:val="bottom"/>
            <w:gridSpan w:val="13"/>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Securities Purchase Agreement (incorporated by reference to Exhibit 10.1 to the Registrant’s Current</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39">
              <w:r>
                <w:rPr>
                  <w:rFonts w:ascii="Arial" w:cs="Arial" w:eastAsia="Arial" w:hAnsi="Arial"/>
                  <w:sz w:val="18"/>
                  <w:szCs w:val="18"/>
                  <w:color w:val="0000FF"/>
                </w:rPr>
                <w:t>Report on Form 8-K filed with the SEC on May 16, 2023).</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10. 18</w:t>
            </w:r>
          </w:p>
        </w:tc>
        <w:tc>
          <w:tcPr>
            <w:tcW w:w="9700" w:type="dxa"/>
            <w:vAlign w:val="bottom"/>
            <w:gridSpan w:val="13"/>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Form of Registration Rights Agreement (incorporated by reference to Exhibit 10.1 to the Registrant’s Current</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40">
              <w:r>
                <w:rPr>
                  <w:rFonts w:ascii="Arial" w:cs="Arial" w:eastAsia="Arial" w:hAnsi="Arial"/>
                  <w:sz w:val="18"/>
                  <w:szCs w:val="18"/>
                  <w:color w:val="0000FF"/>
                </w:rPr>
                <w:t>Report on Form 8-K filed with the SEC on May 16, 2023).</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10.19</w:t>
            </w:r>
          </w:p>
        </w:tc>
        <w:tc>
          <w:tcPr>
            <w:tcW w:w="9700" w:type="dxa"/>
            <w:vAlign w:val="bottom"/>
            <w:gridSpan w:val="13"/>
          </w:tcPr>
          <w:p>
            <w:pPr>
              <w:spacing w:after="0"/>
              <w:rPr>
                <w:rFonts w:ascii="Arial" w:cs="Arial" w:eastAsia="Arial" w:hAnsi="Arial"/>
                <w:sz w:val="18"/>
                <w:szCs w:val="18"/>
                <w:color w:val="0000FF"/>
              </w:rPr>
            </w:pPr>
            <w:hyperlink r:id="rId141">
              <w:r>
                <w:rPr>
                  <w:rFonts w:ascii="Arial" w:cs="Arial" w:eastAsia="Arial" w:hAnsi="Arial"/>
                  <w:sz w:val="18"/>
                  <w:szCs w:val="18"/>
                  <w:color w:val="0000FF"/>
                </w:rPr>
                <w:t>Securities Purchase Agreement, dated December 12, 2024, by and between Salarius Pharmaceuticals, Inc.</w:t>
              </w:r>
            </w:hyperlink>
          </w:p>
        </w:tc>
      </w:tr>
      <w:tr>
        <w:trPr>
          <w:trHeight w:val="203"/>
        </w:trPr>
        <w:tc>
          <w:tcPr>
            <w:tcW w:w="1540" w:type="dxa"/>
            <w:vAlign w:val="bottom"/>
          </w:tcPr>
          <w:p>
            <w:pPr>
              <w:spacing w:after="0"/>
              <w:rPr>
                <w:sz w:val="17"/>
                <w:szCs w:val="17"/>
                <w:color w:val="auto"/>
              </w:rPr>
            </w:pPr>
          </w:p>
        </w:tc>
        <w:tc>
          <w:tcPr>
            <w:tcW w:w="9700" w:type="dxa"/>
            <w:vAlign w:val="bottom"/>
            <w:gridSpan w:val="13"/>
          </w:tcPr>
          <w:p>
            <w:pPr>
              <w:spacing w:after="0" w:line="202" w:lineRule="exact"/>
              <w:rPr>
                <w:rFonts w:ascii="Arial" w:cs="Arial" w:eastAsia="Arial" w:hAnsi="Arial"/>
                <w:sz w:val="18"/>
                <w:szCs w:val="18"/>
                <w:color w:val="0000FF"/>
              </w:rPr>
            </w:pPr>
            <w:hyperlink r:id="rId141">
              <w:r>
                <w:rPr>
                  <w:rFonts w:ascii="Arial" w:cs="Arial" w:eastAsia="Arial" w:hAnsi="Arial"/>
                  <w:sz w:val="18"/>
                  <w:szCs w:val="18"/>
                  <w:color w:val="0000FF"/>
                </w:rPr>
                <w:t>and C/M Capital Master Fund, LP. (incorporated by reference to Exhibit 10.1 to the Registrant’s Current</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41">
              <w:r>
                <w:rPr>
                  <w:rFonts w:ascii="Arial" w:cs="Arial" w:eastAsia="Arial" w:hAnsi="Arial"/>
                  <w:sz w:val="18"/>
                  <w:szCs w:val="18"/>
                  <w:color w:val="0000FF"/>
                </w:rPr>
                <w:t>Report on Form 8-K filed with the SEC on December 13, 2024).</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10.20</w:t>
            </w:r>
          </w:p>
        </w:tc>
        <w:tc>
          <w:tcPr>
            <w:tcW w:w="9700" w:type="dxa"/>
            <w:vAlign w:val="bottom"/>
            <w:gridSpan w:val="13"/>
          </w:tcPr>
          <w:p>
            <w:pPr>
              <w:spacing w:after="0"/>
              <w:rPr>
                <w:rFonts w:ascii="Arial" w:cs="Arial" w:eastAsia="Arial" w:hAnsi="Arial"/>
                <w:sz w:val="18"/>
                <w:szCs w:val="18"/>
                <w:color w:val="0000FF"/>
              </w:rPr>
            </w:pPr>
            <w:hyperlink r:id="rId142">
              <w:r>
                <w:rPr>
                  <w:rFonts w:ascii="Arial" w:cs="Arial" w:eastAsia="Arial" w:hAnsi="Arial"/>
                  <w:sz w:val="18"/>
                  <w:szCs w:val="18"/>
                  <w:color w:val="0000FF"/>
                </w:rPr>
                <w:t>Registration Rights Agreement, dated December 12, 2024, by and between Salarius Pharmaceuticals, Inc.</w:t>
              </w:r>
            </w:hyperlink>
          </w:p>
        </w:tc>
      </w:tr>
      <w:tr>
        <w:trPr>
          <w:trHeight w:val="203"/>
        </w:trPr>
        <w:tc>
          <w:tcPr>
            <w:tcW w:w="1540" w:type="dxa"/>
            <w:vAlign w:val="bottom"/>
          </w:tcPr>
          <w:p>
            <w:pPr>
              <w:spacing w:after="0"/>
              <w:rPr>
                <w:sz w:val="17"/>
                <w:szCs w:val="17"/>
                <w:color w:val="auto"/>
              </w:rPr>
            </w:pPr>
          </w:p>
        </w:tc>
        <w:tc>
          <w:tcPr>
            <w:tcW w:w="9700" w:type="dxa"/>
            <w:vAlign w:val="bottom"/>
            <w:gridSpan w:val="13"/>
          </w:tcPr>
          <w:p>
            <w:pPr>
              <w:spacing w:after="0" w:line="202" w:lineRule="exact"/>
              <w:rPr>
                <w:rFonts w:ascii="Arial" w:cs="Arial" w:eastAsia="Arial" w:hAnsi="Arial"/>
                <w:sz w:val="18"/>
                <w:szCs w:val="18"/>
                <w:color w:val="0000FF"/>
              </w:rPr>
            </w:pPr>
            <w:hyperlink r:id="rId142">
              <w:r>
                <w:rPr>
                  <w:rFonts w:ascii="Arial" w:cs="Arial" w:eastAsia="Arial" w:hAnsi="Arial"/>
                  <w:sz w:val="18"/>
                  <w:szCs w:val="18"/>
                  <w:color w:val="0000FF"/>
                </w:rPr>
                <w:t>and C/M Capital Master Fund, LP (incorporated by reference to Exhibit 10.2 to the Registrant’s Current</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42">
              <w:r>
                <w:rPr>
                  <w:rFonts w:ascii="Arial" w:cs="Arial" w:eastAsia="Arial" w:hAnsi="Arial"/>
                  <w:sz w:val="18"/>
                  <w:szCs w:val="18"/>
                  <w:color w:val="0000FF"/>
                </w:rPr>
                <w:t>Report on Form 8-K filed with the SEC on December 13, 2024).</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10.21</w:t>
            </w:r>
          </w:p>
        </w:tc>
        <w:tc>
          <w:tcPr>
            <w:tcW w:w="9700" w:type="dxa"/>
            <w:vAlign w:val="bottom"/>
            <w:gridSpan w:val="13"/>
          </w:tcPr>
          <w:p>
            <w:pPr>
              <w:spacing w:after="0"/>
              <w:rPr>
                <w:rFonts w:ascii="Arial" w:cs="Arial" w:eastAsia="Arial" w:hAnsi="Arial"/>
                <w:sz w:val="18"/>
                <w:szCs w:val="18"/>
                <w:color w:val="0000FF"/>
              </w:rPr>
            </w:pPr>
            <w:hyperlink r:id="rId143">
              <w:r>
                <w:rPr>
                  <w:rFonts w:ascii="Arial" w:cs="Arial" w:eastAsia="Arial" w:hAnsi="Arial"/>
                  <w:sz w:val="18"/>
                  <w:szCs w:val="18"/>
                  <w:color w:val="0000FF"/>
                </w:rPr>
                <w:t>Form of Salarius Support Agreement (incorporated by reference to Exhibit 10.1 to the Registrant’s Current</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43">
              <w:r>
                <w:rPr>
                  <w:rFonts w:ascii="Arial" w:cs="Arial" w:eastAsia="Arial" w:hAnsi="Arial"/>
                  <w:sz w:val="18"/>
                  <w:szCs w:val="18"/>
                  <w:color w:val="0000FF"/>
                </w:rPr>
                <w:t>Report on Form 8-K filed with the SEC on January 13, 2025).</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10.22</w:t>
            </w:r>
          </w:p>
        </w:tc>
        <w:tc>
          <w:tcPr>
            <w:tcW w:w="9700" w:type="dxa"/>
            <w:vAlign w:val="bottom"/>
            <w:gridSpan w:val="13"/>
          </w:tcPr>
          <w:p>
            <w:pPr>
              <w:spacing w:after="0"/>
              <w:rPr>
                <w:rFonts w:ascii="Arial" w:cs="Arial" w:eastAsia="Arial" w:hAnsi="Arial"/>
                <w:sz w:val="18"/>
                <w:szCs w:val="18"/>
                <w:color w:val="0000FF"/>
              </w:rPr>
            </w:pPr>
            <w:hyperlink r:id="rId144">
              <w:r>
                <w:rPr>
                  <w:rFonts w:ascii="Arial" w:cs="Arial" w:eastAsia="Arial" w:hAnsi="Arial"/>
                  <w:sz w:val="18"/>
                  <w:szCs w:val="18"/>
                  <w:color w:val="0000FF"/>
                </w:rPr>
                <w:t>Form of Decoy Support Agreement (incorporated by reference to Exhibit 10.2 to the Registrant’s Current</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44">
              <w:r>
                <w:rPr>
                  <w:rFonts w:ascii="Arial" w:cs="Arial" w:eastAsia="Arial" w:hAnsi="Arial"/>
                  <w:sz w:val="18"/>
                  <w:szCs w:val="18"/>
                  <w:color w:val="0000FF"/>
                </w:rPr>
                <w:t>Report on Form 8-K filed with the SEC on January 13, 2025).</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10.23</w:t>
            </w:r>
          </w:p>
        </w:tc>
        <w:tc>
          <w:tcPr>
            <w:tcW w:w="9700" w:type="dxa"/>
            <w:vAlign w:val="bottom"/>
            <w:gridSpan w:val="13"/>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Lock-Up Agreement (incorporated by reference to Exhibit 10.3 to the Registrant’s Current Report on</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8-K filed with the SEC on January 13, 2025).</w:t>
              </w:r>
            </w:hyperlink>
          </w:p>
        </w:tc>
      </w:tr>
      <w:tr>
        <w:trPr>
          <w:trHeight w:val="274"/>
        </w:trPr>
        <w:tc>
          <w:tcPr>
            <w:tcW w:w="1540" w:type="dxa"/>
            <w:vAlign w:val="bottom"/>
          </w:tcPr>
          <w:p>
            <w:pPr>
              <w:ind w:left="20"/>
              <w:spacing w:after="0"/>
              <w:rPr>
                <w:sz w:val="20"/>
                <w:szCs w:val="20"/>
                <w:color w:val="auto"/>
              </w:rPr>
            </w:pPr>
            <w:r>
              <w:rPr>
                <w:rFonts w:ascii="Arial" w:cs="Arial" w:eastAsia="Arial" w:hAnsi="Arial"/>
                <w:sz w:val="18"/>
                <w:szCs w:val="18"/>
                <w:color w:val="auto"/>
              </w:rPr>
              <w:t>10.24</w:t>
            </w:r>
          </w:p>
        </w:tc>
        <w:tc>
          <w:tcPr>
            <w:tcW w:w="9700" w:type="dxa"/>
            <w:vAlign w:val="bottom"/>
            <w:gridSpan w:val="13"/>
          </w:tcPr>
          <w:p>
            <w:pPr>
              <w:spacing w:after="0"/>
              <w:rPr>
                <w:rFonts w:ascii="Arial" w:cs="Arial" w:eastAsia="Arial" w:hAnsi="Arial"/>
                <w:sz w:val="18"/>
                <w:szCs w:val="18"/>
                <w:color w:val="0000FF"/>
              </w:rPr>
            </w:pPr>
            <w:hyperlink r:id="rId146">
              <w:r>
                <w:rPr>
                  <w:rFonts w:ascii="Arial" w:cs="Arial" w:eastAsia="Arial" w:hAnsi="Arial"/>
                  <w:sz w:val="18"/>
                  <w:szCs w:val="18"/>
                  <w:color w:val="0000FF"/>
                </w:rPr>
                <w:t>Warrant Cancellation Agreement, dated as of January 10, 2025, by and among the Registrant and an</w:t>
              </w:r>
            </w:hyperlink>
          </w:p>
        </w:tc>
      </w:tr>
      <w:tr>
        <w:trPr>
          <w:trHeight w:val="203"/>
        </w:trPr>
        <w:tc>
          <w:tcPr>
            <w:tcW w:w="1540" w:type="dxa"/>
            <w:vAlign w:val="bottom"/>
          </w:tcPr>
          <w:p>
            <w:pPr>
              <w:spacing w:after="0"/>
              <w:rPr>
                <w:sz w:val="17"/>
                <w:szCs w:val="17"/>
                <w:color w:val="auto"/>
              </w:rPr>
            </w:pPr>
          </w:p>
        </w:tc>
        <w:tc>
          <w:tcPr>
            <w:tcW w:w="9700" w:type="dxa"/>
            <w:vAlign w:val="bottom"/>
            <w:gridSpan w:val="13"/>
          </w:tcPr>
          <w:p>
            <w:pPr>
              <w:spacing w:after="0" w:line="202" w:lineRule="exact"/>
              <w:rPr>
                <w:rFonts w:ascii="Arial" w:cs="Arial" w:eastAsia="Arial" w:hAnsi="Arial"/>
                <w:sz w:val="18"/>
                <w:szCs w:val="18"/>
                <w:color w:val="0000FF"/>
              </w:rPr>
            </w:pPr>
            <w:hyperlink r:id="rId146">
              <w:r>
                <w:rPr>
                  <w:rFonts w:ascii="Arial" w:cs="Arial" w:eastAsia="Arial" w:hAnsi="Arial"/>
                  <w:sz w:val="18"/>
                  <w:szCs w:val="18"/>
                  <w:color w:val="0000FF"/>
                </w:rPr>
                <w:t>Investor (incorporated by reference to Exhibit 10.4 to the Registrant’s Current Report on Form 8-K filed with</w:t>
              </w:r>
            </w:hyperlink>
          </w:p>
        </w:tc>
      </w:tr>
      <w:tr>
        <w:trPr>
          <w:trHeight w:val="239"/>
        </w:trPr>
        <w:tc>
          <w:tcPr>
            <w:tcW w:w="1540" w:type="dxa"/>
            <w:vAlign w:val="bottom"/>
          </w:tcPr>
          <w:p>
            <w:pPr>
              <w:spacing w:after="0"/>
              <w:rPr>
                <w:sz w:val="20"/>
                <w:szCs w:val="20"/>
                <w:color w:val="auto"/>
              </w:rPr>
            </w:pPr>
          </w:p>
        </w:tc>
        <w:tc>
          <w:tcPr>
            <w:tcW w:w="9700" w:type="dxa"/>
            <w:vAlign w:val="bottom"/>
            <w:gridSpan w:val="13"/>
          </w:tcPr>
          <w:p>
            <w:pPr>
              <w:spacing w:after="0"/>
              <w:rPr>
                <w:rFonts w:ascii="Arial" w:cs="Arial" w:eastAsia="Arial" w:hAnsi="Arial"/>
                <w:sz w:val="18"/>
                <w:szCs w:val="18"/>
                <w:color w:val="0000FF"/>
              </w:rPr>
            </w:pPr>
            <w:hyperlink r:id="rId146">
              <w:r>
                <w:rPr>
                  <w:rFonts w:ascii="Arial" w:cs="Arial" w:eastAsia="Arial" w:hAnsi="Arial"/>
                  <w:sz w:val="18"/>
                  <w:szCs w:val="18"/>
                  <w:color w:val="0000FF"/>
                </w:rPr>
                <w:t>the SEC on January 13, 2025).</w:t>
              </w:r>
            </w:hyperlink>
          </w:p>
        </w:tc>
      </w:tr>
      <w:tr>
        <w:trPr>
          <w:trHeight w:val="212"/>
        </w:trPr>
        <w:tc>
          <w:tcPr>
            <w:tcW w:w="1540" w:type="dxa"/>
            <w:vAlign w:val="bottom"/>
          </w:tcPr>
          <w:p>
            <w:pPr>
              <w:ind w:left="20"/>
              <w:spacing w:after="0"/>
              <w:rPr>
                <w:sz w:val="20"/>
                <w:szCs w:val="20"/>
                <w:color w:val="auto"/>
              </w:rPr>
            </w:pPr>
            <w:r>
              <w:rPr>
                <w:rFonts w:ascii="Arial" w:cs="Arial" w:eastAsia="Arial" w:hAnsi="Arial"/>
                <w:sz w:val="18"/>
                <w:szCs w:val="18"/>
                <w:color w:val="auto"/>
              </w:rPr>
              <w:t>10.25+*</w:t>
            </w:r>
          </w:p>
        </w:tc>
        <w:tc>
          <w:tcPr>
            <w:tcW w:w="9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Amendment 1 to Consulting Agreement, effective February 20, 2024, by and between the Registrant and David J.</w:t>
            </w:r>
          </w:p>
        </w:tc>
      </w:tr>
      <w:tr>
        <w:trPr>
          <w:trHeight w:val="183"/>
        </w:trPr>
        <w:tc>
          <w:tcPr>
            <w:tcW w:w="154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Arthur.</w:t>
            </w:r>
          </w:p>
        </w:tc>
        <w:tc>
          <w:tcPr>
            <w:tcW w:w="242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46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90"/>
        </w:trPr>
        <w:tc>
          <w:tcPr>
            <w:tcW w:w="1540" w:type="dxa"/>
            <w:vAlign w:val="bottom"/>
          </w:tcPr>
          <w:p>
            <w:pPr>
              <w:ind w:left="20"/>
              <w:spacing w:after="0"/>
              <w:rPr>
                <w:sz w:val="20"/>
                <w:szCs w:val="20"/>
                <w:color w:val="auto"/>
              </w:rPr>
            </w:pPr>
            <w:r>
              <w:rPr>
                <w:rFonts w:ascii="Arial" w:cs="Arial" w:eastAsia="Arial" w:hAnsi="Arial"/>
                <w:sz w:val="18"/>
                <w:szCs w:val="18"/>
                <w:color w:val="auto"/>
              </w:rPr>
              <w:t>19.1*</w:t>
            </w:r>
          </w:p>
        </w:tc>
        <w:tc>
          <w:tcPr>
            <w:tcW w:w="42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Salarius Pharmaceuticals, Inc. Insider Trading Policy</w:t>
            </w:r>
          </w:p>
        </w:tc>
        <w:tc>
          <w:tcPr>
            <w:tcW w:w="5500" w:type="dxa"/>
            <w:vAlign w:val="bottom"/>
            <w:gridSpan w:val="7"/>
          </w:tcPr>
          <w:p>
            <w:pPr>
              <w:spacing w:after="0"/>
              <w:rPr>
                <w:sz w:val="24"/>
                <w:szCs w:val="24"/>
                <w:color w:val="auto"/>
              </w:rPr>
            </w:pPr>
          </w:p>
        </w:tc>
      </w:tr>
      <w:tr>
        <w:trPr>
          <w:trHeight w:val="281"/>
        </w:trPr>
        <w:tc>
          <w:tcPr>
            <w:tcW w:w="1540" w:type="dxa"/>
            <w:vAlign w:val="bottom"/>
          </w:tcPr>
          <w:p>
            <w:pPr>
              <w:ind w:left="20"/>
              <w:spacing w:after="0"/>
              <w:rPr>
                <w:sz w:val="20"/>
                <w:szCs w:val="20"/>
                <w:color w:val="auto"/>
              </w:rPr>
            </w:pPr>
            <w:r>
              <w:rPr>
                <w:rFonts w:ascii="Arial" w:cs="Arial" w:eastAsia="Arial" w:hAnsi="Arial"/>
                <w:sz w:val="18"/>
                <w:szCs w:val="18"/>
                <w:color w:val="auto"/>
              </w:rPr>
              <w:t>21.1</w:t>
            </w:r>
          </w:p>
        </w:tc>
        <w:tc>
          <w:tcPr>
            <w:tcW w:w="9700" w:type="dxa"/>
            <w:vAlign w:val="bottom"/>
            <w:gridSpan w:val="13"/>
          </w:tcPr>
          <w:p>
            <w:pPr>
              <w:spacing w:after="0"/>
              <w:rPr>
                <w:rFonts w:ascii="Arial" w:cs="Arial" w:eastAsia="Arial" w:hAnsi="Arial"/>
                <w:sz w:val="18"/>
                <w:szCs w:val="18"/>
                <w:color w:val="0000FF"/>
              </w:rPr>
            </w:pPr>
            <w:hyperlink r:id="rId147">
              <w:r>
                <w:rPr>
                  <w:rFonts w:ascii="Arial" w:cs="Arial" w:eastAsia="Arial" w:hAnsi="Arial"/>
                  <w:sz w:val="18"/>
                  <w:szCs w:val="18"/>
                  <w:color w:val="0000FF"/>
                </w:rPr>
                <w:t>Subsidiaries of the Registrant (incorporated by reference to Exhibit 21.1 to the Registrant’s Form S-1).</w:t>
              </w:r>
            </w:hyperlink>
          </w:p>
        </w:tc>
      </w:tr>
      <w:tr>
        <w:trPr>
          <w:trHeight w:val="266"/>
        </w:trPr>
        <w:tc>
          <w:tcPr>
            <w:tcW w:w="1540" w:type="dxa"/>
            <w:vAlign w:val="bottom"/>
          </w:tcPr>
          <w:p>
            <w:pPr>
              <w:ind w:left="20"/>
              <w:spacing w:after="0"/>
              <w:rPr>
                <w:sz w:val="20"/>
                <w:szCs w:val="20"/>
                <w:color w:val="auto"/>
              </w:rPr>
            </w:pPr>
            <w:r>
              <w:rPr>
                <w:rFonts w:ascii="Arial" w:cs="Arial" w:eastAsia="Arial" w:hAnsi="Arial"/>
                <w:sz w:val="18"/>
                <w:szCs w:val="18"/>
                <w:color w:val="auto"/>
              </w:rPr>
              <w:t>23.1*</w:t>
            </w:r>
          </w:p>
        </w:tc>
        <w:tc>
          <w:tcPr>
            <w:tcW w:w="2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Consent of Ernst &amp; Young LLP</w:t>
            </w:r>
          </w:p>
        </w:tc>
        <w:tc>
          <w:tcPr>
            <w:tcW w:w="7260" w:type="dxa"/>
            <w:vAlign w:val="bottom"/>
            <w:gridSpan w:val="11"/>
          </w:tcPr>
          <w:p>
            <w:pPr>
              <w:spacing w:after="0"/>
              <w:rPr>
                <w:sz w:val="23"/>
                <w:szCs w:val="23"/>
                <w:color w:val="auto"/>
              </w:rPr>
            </w:pPr>
          </w:p>
        </w:tc>
      </w:tr>
      <w:tr>
        <w:trPr>
          <w:trHeight w:val="335"/>
        </w:trPr>
        <w:tc>
          <w:tcPr>
            <w:tcW w:w="1540" w:type="dxa"/>
            <w:vAlign w:val="bottom"/>
          </w:tcPr>
          <w:p>
            <w:pPr>
              <w:ind w:left="20"/>
              <w:spacing w:after="0"/>
              <w:rPr>
                <w:sz w:val="20"/>
                <w:szCs w:val="20"/>
                <w:color w:val="auto"/>
              </w:rPr>
            </w:pPr>
            <w:r>
              <w:rPr>
                <w:rFonts w:ascii="Arial" w:cs="Arial" w:eastAsia="Arial" w:hAnsi="Arial"/>
                <w:sz w:val="18"/>
                <w:szCs w:val="18"/>
                <w:color w:val="auto"/>
              </w:rPr>
              <w:t>24.1*</w:t>
            </w:r>
          </w:p>
        </w:tc>
        <w:tc>
          <w:tcPr>
            <w:tcW w:w="9700" w:type="dxa"/>
            <w:vAlign w:val="bottom"/>
            <w:gridSpan w:val="13"/>
          </w:tcPr>
          <w:p>
            <w:pPr>
              <w:spacing w:after="0"/>
              <w:rPr>
                <w:sz w:val="20"/>
                <w:szCs w:val="20"/>
                <w:color w:val="auto"/>
              </w:rPr>
            </w:pPr>
            <w:r>
              <w:rPr>
                <w:rFonts w:ascii="Arial" w:cs="Arial" w:eastAsia="Arial" w:hAnsi="Arial"/>
                <w:sz w:val="18"/>
                <w:szCs w:val="18"/>
                <w:color w:val="0000FF"/>
              </w:rPr>
              <w:t>Power of Attorney (see signature page).</w:t>
            </w:r>
          </w:p>
        </w:tc>
      </w:tr>
      <w:tr>
        <w:trPr>
          <w:trHeight w:val="212"/>
        </w:trPr>
        <w:tc>
          <w:tcPr>
            <w:tcW w:w="1540" w:type="dxa"/>
            <w:vAlign w:val="bottom"/>
          </w:tcPr>
          <w:p>
            <w:pPr>
              <w:ind w:left="20"/>
              <w:spacing w:after="0"/>
              <w:rPr>
                <w:sz w:val="20"/>
                <w:szCs w:val="20"/>
                <w:color w:val="auto"/>
              </w:rPr>
            </w:pPr>
            <w:r>
              <w:rPr>
                <w:rFonts w:ascii="Arial" w:cs="Arial" w:eastAsia="Arial" w:hAnsi="Arial"/>
                <w:sz w:val="18"/>
                <w:szCs w:val="18"/>
                <w:color w:val="auto"/>
              </w:rPr>
              <w:t>31.1*</w:t>
            </w:r>
          </w:p>
        </w:tc>
        <w:tc>
          <w:tcPr>
            <w:tcW w:w="970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Securities Exchange Act Rule 13a-14(a), as adopted</w:t>
            </w:r>
          </w:p>
        </w:tc>
      </w:tr>
      <w:tr>
        <w:trPr>
          <w:trHeight w:val="183"/>
        </w:trPr>
        <w:tc>
          <w:tcPr>
            <w:tcW w:w="1540" w:type="dxa"/>
            <w:vAlign w:val="bottom"/>
          </w:tcPr>
          <w:p>
            <w:pPr>
              <w:spacing w:after="0"/>
              <w:rPr>
                <w:sz w:val="15"/>
                <w:szCs w:val="15"/>
                <w:color w:val="auto"/>
              </w:rPr>
            </w:pPr>
          </w:p>
        </w:tc>
        <w:tc>
          <w:tcPr>
            <w:tcW w:w="470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pursuant to Section 302 of the Sarbanes-Oxley Act of 2022</w:t>
            </w:r>
          </w:p>
        </w:tc>
        <w:tc>
          <w:tcPr>
            <w:tcW w:w="3800" w:type="dxa"/>
            <w:vAlign w:val="bottom"/>
            <w:tcBorders>
              <w:top w:val="single" w:sz="8" w:color="0000FF"/>
            </w:tcBorders>
            <w:gridSpan w:val="5"/>
          </w:tcPr>
          <w:p>
            <w:pPr>
              <w:spacing w:after="0"/>
              <w:rPr>
                <w:sz w:val="15"/>
                <w:szCs w:val="15"/>
                <w:color w:val="auto"/>
              </w:rPr>
            </w:pPr>
          </w:p>
        </w:tc>
        <w:tc>
          <w:tcPr>
            <w:tcW w:w="1200" w:type="dxa"/>
            <w:vAlign w:val="bottom"/>
          </w:tcPr>
          <w:p>
            <w:pPr>
              <w:spacing w:after="0"/>
              <w:rPr>
                <w:sz w:val="15"/>
                <w:szCs w:val="15"/>
                <w:color w:val="auto"/>
              </w:rPr>
            </w:pPr>
          </w:p>
        </w:tc>
      </w:tr>
      <w:tr>
        <w:trPr>
          <w:trHeight w:val="236"/>
        </w:trPr>
        <w:tc>
          <w:tcPr>
            <w:tcW w:w="1540" w:type="dxa"/>
            <w:vAlign w:val="bottom"/>
          </w:tcPr>
          <w:p>
            <w:pPr>
              <w:ind w:left="20"/>
              <w:spacing w:after="0"/>
              <w:rPr>
                <w:sz w:val="20"/>
                <w:szCs w:val="20"/>
                <w:color w:val="auto"/>
              </w:rPr>
            </w:pPr>
            <w:r>
              <w:rPr>
                <w:rFonts w:ascii="Arial" w:cs="Arial" w:eastAsia="Arial" w:hAnsi="Arial"/>
                <w:sz w:val="18"/>
                <w:szCs w:val="18"/>
                <w:color w:val="auto"/>
              </w:rPr>
              <w:t>31.2*</w:t>
            </w:r>
          </w:p>
        </w:tc>
        <w:tc>
          <w:tcPr>
            <w:tcW w:w="970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and Accounting Officer Pursuant to Securities Exchange Act Rule 13a-</w:t>
            </w:r>
          </w:p>
        </w:tc>
      </w:tr>
      <w:tr>
        <w:trPr>
          <w:trHeight w:val="183"/>
        </w:trPr>
        <w:tc>
          <w:tcPr>
            <w:tcW w:w="154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14(a), as adopted pursuant to Section 302 of the Sarbanes-Oxley Act of 2002</w:t>
            </w:r>
          </w:p>
        </w:tc>
        <w:tc>
          <w:tcPr>
            <w:tcW w:w="2160" w:type="dxa"/>
            <w:vAlign w:val="bottom"/>
            <w:tcBorders>
              <w:top w:val="single" w:sz="8" w:color="0000FF"/>
            </w:tcBorders>
            <w:gridSpan w:val="3"/>
          </w:tcPr>
          <w:p>
            <w:pPr>
              <w:spacing w:after="0"/>
              <w:rPr>
                <w:sz w:val="15"/>
                <w:szCs w:val="15"/>
                <w:color w:val="auto"/>
              </w:rPr>
            </w:pPr>
          </w:p>
        </w:tc>
        <w:tc>
          <w:tcPr>
            <w:tcW w:w="1380" w:type="dxa"/>
            <w:vAlign w:val="bottom"/>
            <w:gridSpan w:val="2"/>
          </w:tcPr>
          <w:p>
            <w:pPr>
              <w:spacing w:after="0"/>
              <w:rPr>
                <w:sz w:val="15"/>
                <w:szCs w:val="15"/>
                <w:color w:val="auto"/>
              </w:rPr>
            </w:pPr>
          </w:p>
        </w:tc>
      </w:tr>
      <w:tr>
        <w:trPr>
          <w:trHeight w:val="237"/>
        </w:trPr>
        <w:tc>
          <w:tcPr>
            <w:tcW w:w="1540" w:type="dxa"/>
            <w:vAlign w:val="bottom"/>
          </w:tcPr>
          <w:p>
            <w:pPr>
              <w:ind w:left="20"/>
              <w:spacing w:after="0"/>
              <w:rPr>
                <w:sz w:val="20"/>
                <w:szCs w:val="20"/>
                <w:color w:val="auto"/>
              </w:rPr>
            </w:pPr>
            <w:r>
              <w:rPr>
                <w:rFonts w:ascii="Arial" w:cs="Arial" w:eastAsia="Arial" w:hAnsi="Arial"/>
                <w:sz w:val="18"/>
                <w:szCs w:val="18"/>
                <w:color w:val="auto"/>
              </w:rPr>
              <w:t>32.1**</w:t>
            </w:r>
          </w:p>
        </w:tc>
        <w:tc>
          <w:tcPr>
            <w:tcW w:w="970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w:t>
            </w:r>
          </w:p>
        </w:tc>
      </w:tr>
      <w:tr>
        <w:trPr>
          <w:trHeight w:val="183"/>
        </w:trPr>
        <w:tc>
          <w:tcPr>
            <w:tcW w:w="1540" w:type="dxa"/>
            <w:vAlign w:val="bottom"/>
          </w:tcPr>
          <w:p>
            <w:pPr>
              <w:spacing w:after="0"/>
              <w:rPr>
                <w:sz w:val="15"/>
                <w:szCs w:val="15"/>
                <w:color w:val="auto"/>
              </w:rPr>
            </w:pPr>
          </w:p>
        </w:tc>
        <w:tc>
          <w:tcPr>
            <w:tcW w:w="818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Section 906 of the Sarbanes-Oxley Act of 2002</w:t>
            </w:r>
          </w:p>
        </w:tc>
        <w:tc>
          <w:tcPr>
            <w:tcW w:w="1520" w:type="dxa"/>
            <w:vAlign w:val="bottom"/>
            <w:gridSpan w:val="4"/>
          </w:tcPr>
          <w:p>
            <w:pPr>
              <w:spacing w:after="0"/>
              <w:rPr>
                <w:sz w:val="15"/>
                <w:szCs w:val="15"/>
                <w:color w:val="auto"/>
              </w:rPr>
            </w:pPr>
          </w:p>
        </w:tc>
      </w:tr>
      <w:tr>
        <w:trPr>
          <w:trHeight w:val="915"/>
        </w:trPr>
        <w:tc>
          <w:tcPr>
            <w:tcW w:w="1540" w:type="dxa"/>
            <w:vAlign w:val="bottom"/>
          </w:tcPr>
          <w:p>
            <w:pPr>
              <w:spacing w:after="0"/>
              <w:rPr>
                <w:sz w:val="24"/>
                <w:szCs w:val="24"/>
                <w:color w:val="auto"/>
              </w:rPr>
            </w:pPr>
          </w:p>
        </w:tc>
        <w:tc>
          <w:tcPr>
            <w:tcW w:w="3740" w:type="dxa"/>
            <w:vAlign w:val="bottom"/>
            <w:tcBorders>
              <w:top w:val="single" w:sz="8" w:color="0000FF"/>
            </w:tcBorders>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1"/>
        </w:trPr>
        <w:tc>
          <w:tcPr>
            <w:tcW w:w="15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20" w:type="dxa"/>
            <w:vAlign w:val="bottom"/>
          </w:tcPr>
          <w:p>
            <w:pPr>
              <w:jc w:val="right"/>
              <w:ind w:right="930"/>
              <w:spacing w:after="0"/>
              <w:rPr>
                <w:sz w:val="20"/>
                <w:szCs w:val="20"/>
                <w:color w:val="auto"/>
              </w:rPr>
            </w:pPr>
            <w:r>
              <w:rPr>
                <w:rFonts w:ascii="Arial" w:cs="Arial" w:eastAsia="Arial" w:hAnsi="Arial"/>
                <w:sz w:val="18"/>
                <w:szCs w:val="18"/>
                <w:color w:val="auto"/>
                <w:w w:val="97"/>
              </w:rPr>
              <w:t>32.2**</w:t>
            </w:r>
          </w:p>
        </w:tc>
        <w:tc>
          <w:tcPr>
            <w:tcW w:w="8140" w:type="dxa"/>
            <w:vAlign w:val="bottom"/>
            <w:gridSpan w:val="3"/>
          </w:tcPr>
          <w:p>
            <w:pPr>
              <w:spacing w:after="0"/>
              <w:rPr>
                <w:sz w:val="20"/>
                <w:szCs w:val="20"/>
                <w:color w:val="auto"/>
              </w:rPr>
            </w:pPr>
            <w:r>
              <w:rPr>
                <w:rFonts w:ascii="Arial" w:cs="Arial" w:eastAsia="Arial" w:hAnsi="Arial"/>
                <w:sz w:val="18"/>
                <w:szCs w:val="18"/>
                <w:color w:val="0000FF"/>
                <w:w w:val="99"/>
              </w:rPr>
              <w:t>Certification of Principal Financial Officer Pursuant to 18 U.S.C. Section 1350, as Adopted Pursuant to</w:t>
            </w:r>
          </w:p>
        </w:tc>
      </w:tr>
      <w:tr>
        <w:trPr>
          <w:trHeight w:val="183"/>
        </w:trPr>
        <w:tc>
          <w:tcPr>
            <w:tcW w:w="1520" w:type="dxa"/>
            <w:vAlign w:val="bottom"/>
          </w:tcPr>
          <w:p>
            <w:pPr>
              <w:spacing w:after="0"/>
              <w:rPr>
                <w:sz w:val="15"/>
                <w:szCs w:val="15"/>
                <w:color w:val="auto"/>
              </w:rPr>
            </w:pPr>
          </w:p>
        </w:tc>
        <w:tc>
          <w:tcPr>
            <w:tcW w:w="812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Section 906 of the Sarbanes-Oxley Act of 2002</w:t>
            </w:r>
          </w:p>
        </w:tc>
        <w:tc>
          <w:tcPr>
            <w:tcW w:w="2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ind w:left="1540" w:right="119" w:hanging="1514"/>
        <w:spacing w:after="0" w:line="271" w:lineRule="auto"/>
        <w:tabs>
          <w:tab w:leader="none" w:pos="1540" w:val="left"/>
        </w:tabs>
        <w:numPr>
          <w:ilvl w:val="0"/>
          <w:numId w:val="49"/>
        </w:numPr>
        <w:rPr>
          <w:rFonts w:ascii="Arial" w:cs="Arial" w:eastAsia="Arial" w:hAnsi="Arial"/>
          <w:sz w:val="18"/>
          <w:szCs w:val="18"/>
          <w:color w:val="auto"/>
        </w:rPr>
      </w:pPr>
      <w:hyperlink r:id="rId150">
        <w:r>
          <w:rPr>
            <w:rFonts w:ascii="Arial" w:cs="Arial" w:eastAsia="Arial" w:hAnsi="Arial"/>
            <w:sz w:val="18"/>
            <w:szCs w:val="18"/>
            <w:color w:val="auto"/>
          </w:rPr>
          <w:t>Salarius Pharmaceuticals, Inc. Clawback Policy (incorporated by reference to Exhibit 97 to the Registrant’s</w:t>
        </w:r>
      </w:hyperlink>
      <w:r>
        <w:rPr>
          <w:rFonts w:ascii="Arial" w:cs="Arial" w:eastAsia="Arial" w:hAnsi="Arial"/>
          <w:sz w:val="18"/>
          <w:szCs w:val="18"/>
          <w:color w:val="auto"/>
        </w:rPr>
        <w:t xml:space="preserve"> </w:t>
      </w:r>
      <w:hyperlink r:id="rId150">
        <w:r>
          <w:rPr>
            <w:rFonts w:ascii="Arial" w:cs="Arial" w:eastAsia="Arial" w:hAnsi="Arial"/>
            <w:sz w:val="18"/>
            <w:szCs w:val="18"/>
            <w:color w:val="auto"/>
          </w:rPr>
          <w:t>Form 10-K filed with the SEC on March 22, 2024)</w:t>
        </w:r>
      </w:hyperlink>
    </w:p>
    <w:p>
      <w:pPr>
        <w:sectPr>
          <w:pgSz w:w="11900" w:h="16838" w:orient="portrait"/>
          <w:cols w:equalWidth="0" w:num="1">
            <w:col w:w="10139"/>
          </w:cols>
          <w:pgMar w:left="320" w:top="274" w:right="1440" w:bottom="1440" w:gutter="0" w:footer="0" w:header="0"/>
        </w:sectPr>
      </w:pPr>
    </w:p>
    <w:p>
      <w:pPr>
        <w:spacing w:after="0" w:line="10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XBRL Instance Document</w:t>
      </w:r>
    </w:p>
    <w:p>
      <w:pPr>
        <w:spacing w:after="0" w:line="115" w:lineRule="exact"/>
        <w:rPr>
          <w:rFonts w:ascii="Arial" w:cs="Arial" w:eastAsia="Arial" w:hAnsi="Arial"/>
          <w:sz w:val="18"/>
          <w:szCs w:val="18"/>
          <w:color w:val="auto"/>
        </w:rPr>
      </w:pPr>
    </w:p>
    <w:p>
      <w:pPr>
        <w:sectPr>
          <w:pgSz w:w="11900" w:h="16838" w:orient="portrait"/>
          <w:cols w:equalWidth="0" w:num="2">
            <w:col w:w="820" w:space="720"/>
            <w:col w:w="8599"/>
          </w:cols>
          <w:pgMar w:left="320" w:top="274" w:right="1440"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7"/>
          <w:szCs w:val="17"/>
          <w:color w:val="auto"/>
        </w:rPr>
        <w:t>XBRL Schema Document</w:t>
      </w:r>
    </w:p>
    <w:p>
      <w:pPr>
        <w:spacing w:after="0" w:line="115" w:lineRule="exact"/>
        <w:rPr>
          <w:rFonts w:ascii="Arial" w:cs="Arial" w:eastAsia="Arial" w:hAnsi="Arial"/>
          <w:sz w:val="18"/>
          <w:szCs w:val="18"/>
          <w:color w:val="auto"/>
        </w:rPr>
      </w:pPr>
    </w:p>
    <w:p>
      <w:pPr>
        <w:sectPr>
          <w:pgSz w:w="11900" w:h="16838" w:orient="portrait"/>
          <w:cols w:equalWidth="0" w:num="2">
            <w:col w:w="820" w:space="720"/>
            <w:col w:w="8599"/>
          </w:cols>
          <w:pgMar w:left="320" w:top="274" w:right="1440"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7"/>
          <w:szCs w:val="17"/>
          <w:color w:val="auto"/>
        </w:rPr>
        <w:t>XBRL Calculation Linkbase Document</w:t>
      </w:r>
    </w:p>
    <w:p>
      <w:pPr>
        <w:spacing w:after="0" w:line="115" w:lineRule="exact"/>
        <w:rPr>
          <w:rFonts w:ascii="Arial" w:cs="Arial" w:eastAsia="Arial" w:hAnsi="Arial"/>
          <w:sz w:val="18"/>
          <w:szCs w:val="18"/>
          <w:color w:val="auto"/>
        </w:rPr>
      </w:pPr>
    </w:p>
    <w:p>
      <w:pPr>
        <w:sectPr>
          <w:pgSz w:w="11900" w:h="16838" w:orient="portrait"/>
          <w:cols w:equalWidth="0" w:num="2">
            <w:col w:w="820" w:space="720"/>
            <w:col w:w="8599"/>
          </w:cols>
          <w:pgMar w:left="320" w:top="274" w:right="1440"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7"/>
          <w:szCs w:val="17"/>
          <w:color w:val="auto"/>
        </w:rPr>
        <w:t>XBRL Definition Linkbase Document</w:t>
      </w:r>
    </w:p>
    <w:p>
      <w:pPr>
        <w:spacing w:after="0" w:line="115" w:lineRule="exact"/>
        <w:rPr>
          <w:rFonts w:ascii="Arial" w:cs="Arial" w:eastAsia="Arial" w:hAnsi="Arial"/>
          <w:sz w:val="18"/>
          <w:szCs w:val="18"/>
          <w:color w:val="auto"/>
        </w:rPr>
      </w:pPr>
    </w:p>
    <w:p>
      <w:pPr>
        <w:sectPr>
          <w:pgSz w:w="11900" w:h="16838" w:orient="portrait"/>
          <w:cols w:equalWidth="0" w:num="2">
            <w:col w:w="820" w:space="720"/>
            <w:col w:w="8599"/>
          </w:cols>
          <w:pgMar w:left="320" w:top="274" w:right="1440"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7"/>
          <w:szCs w:val="17"/>
          <w:color w:val="auto"/>
        </w:rPr>
        <w:t>XBRL Label Linkbase Document</w:t>
      </w:r>
    </w:p>
    <w:p>
      <w:pPr>
        <w:spacing w:after="0" w:line="115" w:lineRule="exact"/>
        <w:rPr>
          <w:rFonts w:ascii="Arial" w:cs="Arial" w:eastAsia="Arial" w:hAnsi="Arial"/>
          <w:sz w:val="18"/>
          <w:szCs w:val="18"/>
          <w:color w:val="auto"/>
        </w:rPr>
      </w:pPr>
    </w:p>
    <w:p>
      <w:pPr>
        <w:sectPr>
          <w:pgSz w:w="11900" w:h="16838" w:orient="portrait"/>
          <w:cols w:equalWidth="0" w:num="2">
            <w:col w:w="820" w:space="720"/>
            <w:col w:w="8599"/>
          </w:cols>
          <w:pgMar w:left="320" w:top="274" w:right="1440"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7"/>
          <w:szCs w:val="17"/>
          <w:color w:val="auto"/>
        </w:rPr>
        <w:t>XBRL Presentation Linkbase Document</w:t>
      </w:r>
    </w:p>
    <w:p>
      <w:pPr>
        <w:spacing w:after="0" w:line="61" w:lineRule="exact"/>
        <w:rPr>
          <w:rFonts w:ascii="Arial" w:cs="Arial" w:eastAsia="Arial" w:hAnsi="Arial"/>
          <w:sz w:val="18"/>
          <w:szCs w:val="18"/>
          <w:color w:val="auto"/>
        </w:rPr>
      </w:pPr>
    </w:p>
    <w:p>
      <w:pPr>
        <w:sectPr>
          <w:pgSz w:w="11900" w:h="16838" w:orient="portrait"/>
          <w:cols w:equalWidth="0" w:num="2">
            <w:col w:w="820" w:space="720"/>
            <w:col w:w="8599"/>
          </w:cols>
          <w:pgMar w:left="320" w:top="274" w:right="1440" w:bottom="1440" w:gutter="0" w:footer="0" w:header="0"/>
          <w:type w:val="continuous"/>
        </w:sectPr>
      </w:pPr>
    </w:p>
    <w:p>
      <w:pPr>
        <w:ind w:left="1540" w:hanging="1514"/>
        <w:spacing w:after="0"/>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120" w:hanging="112"/>
        <w:spacing w:after="0"/>
        <w:tabs>
          <w:tab w:leader="none" w:pos="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and provided separately to the SEC pursuant to a request for confidential treatment.</w:t>
      </w:r>
    </w:p>
    <w:p>
      <w:pPr>
        <w:spacing w:after="0" w:line="27" w:lineRule="exact"/>
        <w:rPr>
          <w:rFonts w:ascii="Arial" w:cs="Arial" w:eastAsia="Arial" w:hAnsi="Arial"/>
          <w:sz w:val="18"/>
          <w:szCs w:val="18"/>
          <w:color w:val="auto"/>
        </w:rPr>
      </w:pPr>
    </w:p>
    <w:p>
      <w:pPr>
        <w:ind w:right="6419" w:firstLine="8"/>
        <w:spacing w:after="0" w:line="254" w:lineRule="auto"/>
        <w:tabs>
          <w:tab w:leader="none" w:pos="11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plans or arrangements. *Filed herewith.</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345"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85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March 21, 2025</w:t>
      </w:r>
      <w:r>
        <w:rPr>
          <w:sz w:val="20"/>
          <w:szCs w:val="20"/>
          <w:color w:val="auto"/>
        </w:rPr>
        <w:tab/>
      </w:r>
      <w:r>
        <w:rPr>
          <w:rFonts w:ascii="Arial" w:cs="Arial" w:eastAsia="Arial" w:hAnsi="Arial"/>
          <w:sz w:val="17"/>
          <w:szCs w:val="17"/>
          <w:color w:val="auto"/>
        </w:rPr>
        <w:t>SALARIUS PHARMACEUTICALS, INC.</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David J. Arthur</w:t>
      </w:r>
    </w:p>
    <w:p>
      <w:pPr>
        <w:ind w:left="5200"/>
        <w:spacing w:after="0" w:line="203" w:lineRule="auto"/>
        <w:rPr>
          <w:sz w:val="20"/>
          <w:szCs w:val="20"/>
          <w:color w:val="auto"/>
        </w:rPr>
      </w:pPr>
      <w:r>
        <w:rPr>
          <w:rFonts w:ascii="Arial" w:cs="Arial" w:eastAsia="Arial" w:hAnsi="Arial"/>
          <w:sz w:val="18"/>
          <w:szCs w:val="18"/>
          <w:color w:val="auto"/>
        </w:rPr>
        <w:t>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-101600</wp:posOffset>
            </wp:positionV>
            <wp:extent cx="9398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0" w:lineRule="exact"/>
        <w:rPr>
          <w:sz w:val="20"/>
          <w:szCs w:val="20"/>
          <w:color w:val="auto"/>
        </w:rPr>
      </w:pPr>
    </w:p>
    <w:p>
      <w:pPr>
        <w:spacing w:after="0" w:line="26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Each of the undersigned officers and directors of Salarius Pharmaceuticals, Inc., hereby constitutes and appoints David J. Arthur and Mark J. Rosenblum, their true and lawful attorney-in-fact and agent, for them and in their name, place and stead, in any and all capacities, to sign their name to any and all amendments to this Annual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w:t>
      </w:r>
    </w:p>
    <w:p>
      <w:pPr>
        <w:spacing w:after="0" w:line="14" w:lineRule="exact"/>
        <w:rPr>
          <w:sz w:val="20"/>
          <w:szCs w:val="20"/>
          <w:color w:val="auto"/>
        </w:rPr>
      </w:pPr>
    </w:p>
    <w:p>
      <w:pPr>
        <w:spacing w:after="0"/>
        <w:tabs>
          <w:tab w:leader="none" w:pos="1000" w:val="left"/>
          <w:tab w:leader="none" w:pos="1660" w:val="left"/>
          <w:tab w:leader="none" w:pos="2420" w:val="left"/>
          <w:tab w:leader="none" w:pos="3700" w:val="left"/>
          <w:tab w:leader="none" w:pos="4500" w:val="left"/>
          <w:tab w:leader="none" w:pos="5160" w:val="left"/>
          <w:tab w:leader="none" w:pos="5920" w:val="left"/>
          <w:tab w:leader="none" w:pos="7240" w:val="left"/>
          <w:tab w:leader="none" w:pos="8060" w:val="left"/>
          <w:tab w:leader="none" w:pos="8780" w:val="left"/>
          <w:tab w:leader="none" w:pos="9540" w:val="left"/>
          <w:tab w:leader="none" w:pos="10500" w:val="left"/>
        </w:tabs>
        <w:rPr>
          <w:sz w:val="20"/>
          <w:szCs w:val="20"/>
          <w:color w:val="auto"/>
        </w:rPr>
      </w:pPr>
      <w:r>
        <w:rPr>
          <w:rFonts w:ascii="Arial" w:cs="Arial" w:eastAsia="Arial" w:hAnsi="Arial"/>
          <w:sz w:val="18"/>
          <w:szCs w:val="18"/>
          <w:color w:val="auto"/>
        </w:rPr>
        <w:t>behalf</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registrant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capacities</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dates</w:t>
      </w:r>
      <w:r>
        <w:rPr>
          <w:sz w:val="20"/>
          <w:szCs w:val="20"/>
          <w:color w:val="auto"/>
        </w:rPr>
        <w:tab/>
      </w:r>
      <w:r>
        <w:rPr>
          <w:rFonts w:ascii="Arial" w:cs="Arial" w:eastAsia="Arial" w:hAnsi="Arial"/>
          <w:sz w:val="17"/>
          <w:szCs w:val="17"/>
          <w:color w:val="auto"/>
        </w:rPr>
        <w:t>indicated</w:t>
      </w:r>
    </w:p>
    <w:p>
      <w:pPr>
        <w:sectPr>
          <w:pgSz w:w="11900" w:h="16838" w:orient="portrait"/>
          <w:cols w:equalWidth="0" w:num="1">
            <w:col w:w="11240"/>
          </w:cols>
          <w:pgMar w:left="320" w:top="274" w:right="339" w:bottom="1440" w:gutter="0" w:footer="0" w:header="0"/>
        </w:sectPr>
      </w:pP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080" w:type="dxa"/>
            <w:vAlign w:val="bottom"/>
          </w:tcPr>
          <w:p>
            <w:pPr>
              <w:spacing w:after="0"/>
              <w:rPr>
                <w:sz w:val="21"/>
                <w:szCs w:val="21"/>
                <w:color w:val="auto"/>
              </w:rPr>
            </w:pPr>
          </w:p>
        </w:tc>
        <w:tc>
          <w:tcPr>
            <w:tcW w:w="2260" w:type="dxa"/>
            <w:vAlign w:val="bottom"/>
            <w:gridSpan w:val="7"/>
          </w:tcPr>
          <w:p>
            <w:pPr>
              <w:ind w:left="80"/>
              <w:spacing w:after="0"/>
              <w:rPr>
                <w:sz w:val="20"/>
                <w:szCs w:val="20"/>
                <w:color w:val="auto"/>
              </w:rPr>
            </w:pPr>
            <w:r>
              <w:rPr>
                <w:rFonts w:ascii="Arial" w:cs="Arial" w:eastAsia="Arial" w:hAnsi="Arial"/>
                <w:sz w:val="18"/>
                <w:szCs w:val="18"/>
                <w:b w:val="1"/>
                <w:bCs w:val="1"/>
                <w:i w:val="1"/>
                <w:iCs w:val="1"/>
                <w:color w:val="auto"/>
              </w:rPr>
              <w:t>SIGNATURE</w:t>
            </w:r>
          </w:p>
        </w:tc>
        <w:tc>
          <w:tcPr>
            <w:tcW w:w="4880" w:type="dxa"/>
            <w:vAlign w:val="bottom"/>
          </w:tcPr>
          <w:p>
            <w:pPr>
              <w:ind w:left="2260"/>
              <w:spacing w:after="0"/>
              <w:rPr>
                <w:sz w:val="20"/>
                <w:szCs w:val="20"/>
                <w:color w:val="auto"/>
              </w:rPr>
            </w:pPr>
            <w:r>
              <w:rPr>
                <w:rFonts w:ascii="Arial" w:cs="Arial" w:eastAsia="Arial" w:hAnsi="Arial"/>
                <w:sz w:val="18"/>
                <w:szCs w:val="18"/>
                <w:b w:val="1"/>
                <w:bCs w:val="1"/>
                <w:i w:val="1"/>
                <w:iCs w:val="1"/>
                <w:color w:val="auto"/>
              </w:rPr>
              <w:t>TITLE</w:t>
            </w:r>
          </w:p>
        </w:tc>
      </w:tr>
      <w:tr>
        <w:trPr>
          <w:trHeight w:val="204"/>
        </w:trPr>
        <w:tc>
          <w:tcPr>
            <w:tcW w:w="3340" w:type="dxa"/>
            <w:vAlign w:val="bottom"/>
            <w:gridSpan w:val="8"/>
          </w:tcPr>
          <w:p>
            <w:pPr>
              <w:spacing w:after="0" w:line="204" w:lineRule="exact"/>
              <w:rPr>
                <w:sz w:val="20"/>
                <w:szCs w:val="20"/>
                <w:color w:val="auto"/>
              </w:rPr>
            </w:pPr>
            <w:r>
              <w:rPr>
                <w:rFonts w:ascii="Arial" w:cs="Arial" w:eastAsia="Arial" w:hAnsi="Arial"/>
                <w:sz w:val="18"/>
                <w:szCs w:val="18"/>
                <w:i w:val="1"/>
                <w:iCs w:val="1"/>
                <w:color w:val="auto"/>
              </w:rPr>
              <w:t>/s/ William K. McVicar William K. McVicar</w:t>
            </w:r>
          </w:p>
        </w:tc>
        <w:tc>
          <w:tcPr>
            <w:tcW w:w="4880" w:type="dxa"/>
            <w:vAlign w:val="bottom"/>
          </w:tcPr>
          <w:p>
            <w:pPr>
              <w:ind w:left="60"/>
              <w:spacing w:after="0" w:line="204" w:lineRule="exact"/>
              <w:rPr>
                <w:sz w:val="20"/>
                <w:szCs w:val="20"/>
                <w:color w:val="auto"/>
              </w:rPr>
            </w:pPr>
            <w:r>
              <w:rPr>
                <w:rFonts w:ascii="Arial" w:cs="Arial" w:eastAsia="Arial" w:hAnsi="Arial"/>
                <w:sz w:val="18"/>
                <w:szCs w:val="18"/>
                <w:i w:val="1"/>
                <w:iCs w:val="1"/>
                <w:color w:val="auto"/>
              </w:rPr>
              <w:t>Chairman of the Board</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37"/>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David J. Arthur David J. Arthur</w:t>
            </w: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Director, President &amp; Chief Executive Officer (Principal</w:t>
            </w:r>
          </w:p>
        </w:tc>
      </w:tr>
      <w:tr>
        <w:trPr>
          <w:trHeight w:val="241"/>
        </w:trPr>
        <w:tc>
          <w:tcPr>
            <w:tcW w:w="10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Executive Officer)</w:t>
            </w:r>
          </w:p>
        </w:tc>
      </w:tr>
      <w:tr>
        <w:trPr>
          <w:trHeight w:val="212"/>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Mark J. Rosenblum Mark J.</w:t>
            </w: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Executive Vice President of Finance and Chief Financial</w:t>
            </w:r>
          </w:p>
        </w:tc>
      </w:tr>
      <w:tr>
        <w:trPr>
          <w:trHeight w:val="206"/>
        </w:trPr>
        <w:tc>
          <w:tcPr>
            <w:tcW w:w="1800" w:type="dxa"/>
            <w:vAlign w:val="bottom"/>
            <w:tcBorders>
              <w:top w:val="single" w:sz="8" w:color="auto"/>
            </w:tcBorders>
            <w:gridSpan w:val="7"/>
          </w:tcPr>
          <w:p>
            <w:pPr>
              <w:spacing w:after="0"/>
              <w:rPr>
                <w:sz w:val="20"/>
                <w:szCs w:val="20"/>
                <w:color w:val="auto"/>
              </w:rPr>
            </w:pPr>
            <w:r>
              <w:rPr>
                <w:rFonts w:ascii="Arial" w:cs="Arial" w:eastAsia="Arial" w:hAnsi="Arial"/>
                <w:sz w:val="18"/>
                <w:szCs w:val="18"/>
                <w:i w:val="1"/>
                <w:iCs w:val="1"/>
                <w:color w:val="auto"/>
              </w:rPr>
              <w:t>Rosenblum</w:t>
            </w:r>
          </w:p>
        </w:tc>
        <w:tc>
          <w:tcPr>
            <w:tcW w:w="1540" w:type="dxa"/>
            <w:vAlign w:val="bottom"/>
          </w:tcPr>
          <w:p>
            <w:pPr>
              <w:spacing w:after="0"/>
              <w:rPr>
                <w:sz w:val="17"/>
                <w:szCs w:val="17"/>
                <w:color w:val="auto"/>
              </w:rPr>
            </w:pP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Officer</w:t>
            </w:r>
          </w:p>
        </w:tc>
      </w:tr>
      <w:tr>
        <w:trPr>
          <w:trHeight w:val="237"/>
        </w:trPr>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w w:val="99"/>
              </w:rPr>
              <w:t>( Principal Financial Officer and Principal Accounting Officer)</w:t>
            </w:r>
          </w:p>
        </w:tc>
      </w:tr>
      <w:tr>
        <w:trPr>
          <w:trHeight w:val="212"/>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Tess Burleson Tess Burleson</w:t>
            </w: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r>
      <w:tr>
        <w:trPr>
          <w:trHeight w:val="236"/>
        </w:trPr>
        <w:tc>
          <w:tcPr>
            <w:tcW w:w="1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9"/>
              </w:rPr>
              <w:t>/s/ Arnold Hanish</w:t>
            </w:r>
          </w:p>
        </w:tc>
        <w:tc>
          <w:tcPr>
            <w:tcW w:w="40" w:type="dxa"/>
            <w:vAlign w:val="bottom"/>
            <w:tcBorders>
              <w:top w:val="single" w:sz="8" w:color="auto"/>
            </w:tcBorders>
            <w:gridSpan w:val="2"/>
          </w:tcPr>
          <w:p>
            <w:pPr>
              <w:spacing w:after="0"/>
              <w:rPr>
                <w:sz w:val="20"/>
                <w:szCs w:val="20"/>
                <w:color w:val="auto"/>
              </w:rPr>
            </w:pPr>
          </w:p>
        </w:tc>
        <w:tc>
          <w:tcPr>
            <w:tcW w:w="1920" w:type="dxa"/>
            <w:vAlign w:val="bottom"/>
            <w:gridSpan w:val="4"/>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r>
      <w:tr>
        <w:trPr>
          <w:trHeight w:val="240"/>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Arnold Hanish</w:t>
            </w:r>
          </w:p>
        </w:tc>
        <w:tc>
          <w:tcPr>
            <w:tcW w:w="4880" w:type="dxa"/>
            <w:vAlign w:val="bottom"/>
          </w:tcPr>
          <w:p>
            <w:pPr>
              <w:spacing w:after="0"/>
              <w:rPr>
                <w:sz w:val="20"/>
                <w:szCs w:val="20"/>
                <w:color w:val="auto"/>
              </w:rPr>
            </w:pPr>
          </w:p>
        </w:tc>
      </w:tr>
      <w:tr>
        <w:trPr>
          <w:trHeight w:val="212"/>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Paul Lammers Paul Lammers</w:t>
            </w: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r>
      <w:tr>
        <w:trPr>
          <w:trHeight w:val="237"/>
        </w:trPr>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/s/ Jon Lieber</w:t>
            </w:r>
          </w:p>
        </w:tc>
        <w:tc>
          <w:tcPr>
            <w:tcW w:w="1940" w:type="dxa"/>
            <w:vAlign w:val="bottom"/>
            <w:gridSpan w:val="5"/>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r>
      <w:tr>
        <w:trPr>
          <w:trHeight w:val="240"/>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Jon Lieber</w:t>
            </w:r>
          </w:p>
        </w:tc>
        <w:tc>
          <w:tcPr>
            <w:tcW w:w="2260" w:type="dxa"/>
            <w:vAlign w:val="bottom"/>
            <w:gridSpan w:val="7"/>
          </w:tcPr>
          <w:p>
            <w:pPr>
              <w:spacing w:after="0"/>
              <w:rPr>
                <w:sz w:val="20"/>
                <w:szCs w:val="20"/>
                <w:color w:val="auto"/>
              </w:rPr>
            </w:pPr>
          </w:p>
        </w:tc>
        <w:tc>
          <w:tcPr>
            <w:tcW w:w="4880" w:type="dxa"/>
            <w:vAlign w:val="bottom"/>
          </w:tcPr>
          <w:p>
            <w:pPr>
              <w:spacing w:after="0"/>
              <w:rPr>
                <w:sz w:val="20"/>
                <w:szCs w:val="20"/>
                <w:color w:val="auto"/>
              </w:rPr>
            </w:pPr>
          </w:p>
        </w:tc>
      </w:tr>
      <w:tr>
        <w:trPr>
          <w:trHeight w:val="212"/>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Bruce McCreedy Bruce McCreedy</w:t>
            </w:r>
          </w:p>
        </w:tc>
        <w:tc>
          <w:tcPr>
            <w:tcW w:w="488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00" w:lineRule="exact"/>
        <w:rPr>
          <w:sz w:val="20"/>
          <w:szCs w:val="20"/>
          <w:color w:val="auto"/>
        </w:rPr>
      </w:pPr>
    </w:p>
    <w:p>
      <w:pPr>
        <w:sectPr>
          <w:pgSz w:w="11900" w:h="16838" w:orient="portrait"/>
          <w:cols w:equalWidth="0" w:num="2">
            <w:col w:w="8240" w:space="700"/>
            <w:col w:w="2300"/>
          </w:cols>
          <w:pgMar w:left="320" w:top="2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274"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i w:val="1"/>
          <w:iCs w:val="1"/>
          <w:color w:val="232323"/>
        </w:rPr>
        <w:t>Ex</w:t>
      </w:r>
      <w:r>
        <w:rPr>
          <w:rFonts w:ascii="Times New Roman" w:cs="Times New Roman" w:eastAsia="Times New Roman" w:hAnsi="Times New Roman"/>
          <w:sz w:val="20"/>
          <w:szCs w:val="20"/>
          <w:i w:val="1"/>
          <w:iCs w:val="1"/>
          <w:color w:val="424444"/>
        </w:rPr>
        <w:t>ec</w:t>
      </w:r>
      <w:r>
        <w:rPr>
          <w:rFonts w:ascii="Times New Roman" w:cs="Times New Roman" w:eastAsia="Times New Roman" w:hAnsi="Times New Roman"/>
          <w:sz w:val="20"/>
          <w:szCs w:val="20"/>
          <w:i w:val="1"/>
          <w:iCs w:val="1"/>
          <w:color w:val="232323"/>
        </w:rPr>
        <w:t>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3D3F3F"/>
        </w:rPr>
        <w:t xml:space="preserve">AMENDMENT </w:t>
      </w:r>
      <w:r>
        <w:rPr>
          <w:rFonts w:ascii="Times New Roman" w:cs="Times New Roman" w:eastAsia="Times New Roman" w:hAnsi="Times New Roman"/>
          <w:sz w:val="21"/>
          <w:szCs w:val="21"/>
          <w:b w:val="1"/>
          <w:bCs w:val="1"/>
          <w:color w:val="2D2F2F"/>
        </w:rPr>
        <w:t>1</w:t>
      </w:r>
      <w:r>
        <w:rPr>
          <w:rFonts w:ascii="Times New Roman" w:cs="Times New Roman" w:eastAsia="Times New Roman" w:hAnsi="Times New Roman"/>
          <w:sz w:val="21"/>
          <w:szCs w:val="21"/>
          <w:b w:val="1"/>
          <w:bCs w:val="1"/>
          <w:color w:val="3D3F3F"/>
        </w:rPr>
        <w:t xml:space="preserve"> TO CONSULTING AGREEMENT</w:t>
      </w:r>
    </w:p>
    <w:p>
      <w:pPr>
        <w:spacing w:after="0" w:line="233" w:lineRule="exact"/>
        <w:rPr>
          <w:sz w:val="20"/>
          <w:szCs w:val="20"/>
          <w:color w:val="auto"/>
        </w:rPr>
      </w:pPr>
    </w:p>
    <w:p>
      <w:pPr>
        <w:jc w:val="both"/>
        <w:ind w:left="100" w:right="60" w:firstLine="648"/>
        <w:spacing w:after="0" w:line="281" w:lineRule="auto"/>
        <w:rPr>
          <w:sz w:val="20"/>
          <w:szCs w:val="20"/>
          <w:color w:val="auto"/>
        </w:rPr>
      </w:pPr>
      <w:r>
        <w:rPr>
          <w:rFonts w:ascii="Times New Roman" w:cs="Times New Roman" w:eastAsia="Times New Roman" w:hAnsi="Times New Roman"/>
          <w:sz w:val="20"/>
          <w:szCs w:val="20"/>
          <w:color w:val="4F5050"/>
        </w:rPr>
        <w:t xml:space="preserve">This </w:t>
      </w:r>
      <w:r>
        <w:rPr>
          <w:rFonts w:ascii="Times New Roman" w:cs="Times New Roman" w:eastAsia="Times New Roman" w:hAnsi="Times New Roman"/>
          <w:sz w:val="20"/>
          <w:szCs w:val="20"/>
          <w:color w:val="3D3F3F"/>
        </w:rPr>
        <w:t>Amendment 1</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646664"/>
        </w:rPr>
        <w:t>to</w:t>
      </w:r>
      <w:r>
        <w:rPr>
          <w:rFonts w:ascii="Times New Roman" w:cs="Times New Roman" w:eastAsia="Times New Roman" w:hAnsi="Times New Roman"/>
          <w:sz w:val="20"/>
          <w:szCs w:val="20"/>
          <w:color w:val="4F5050"/>
        </w:rPr>
        <w:t xml:space="preserve"> Consulting </w:t>
      </w:r>
      <w:r>
        <w:rPr>
          <w:rFonts w:ascii="Times New Roman" w:cs="Times New Roman" w:eastAsia="Times New Roman" w:hAnsi="Times New Roman"/>
          <w:sz w:val="20"/>
          <w:szCs w:val="20"/>
          <w:color w:val="3D3F3F"/>
        </w:rPr>
        <w:t>Agreem</w:t>
      </w:r>
      <w:r>
        <w:rPr>
          <w:rFonts w:ascii="Times New Roman" w:cs="Times New Roman" w:eastAsia="Times New Roman" w:hAnsi="Times New Roman"/>
          <w:sz w:val="20"/>
          <w:szCs w:val="20"/>
          <w:color w:val="646664"/>
        </w:rPr>
        <w:t>e</w:t>
      </w:r>
      <w:r>
        <w:rPr>
          <w:rFonts w:ascii="Times New Roman" w:cs="Times New Roman" w:eastAsia="Times New Roman" w:hAnsi="Times New Roman"/>
          <w:sz w:val="20"/>
          <w:szCs w:val="20"/>
          <w:color w:val="3D3F3F"/>
        </w:rPr>
        <w:t>nt</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u w:val="single" w:color="auto"/>
          <w:color w:val="4F5050"/>
        </w:rPr>
        <w:t>("Consulting Agreement")</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3D3F3F"/>
        </w:rPr>
        <w:t>dated</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646664"/>
        </w:rPr>
        <w:t>Fe</w:t>
      </w:r>
      <w:r>
        <w:rPr>
          <w:rFonts w:ascii="Times New Roman" w:cs="Times New Roman" w:eastAsia="Times New Roman" w:hAnsi="Times New Roman"/>
          <w:sz w:val="20"/>
          <w:szCs w:val="20"/>
          <w:color w:val="3D3F3F"/>
        </w:rPr>
        <w:t>bruary</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646664"/>
        </w:rPr>
        <w:t>20,</w:t>
      </w:r>
      <w:r>
        <w:rPr>
          <w:rFonts w:ascii="Times New Roman" w:cs="Times New Roman" w:eastAsia="Times New Roman" w:hAnsi="Times New Roman"/>
          <w:sz w:val="20"/>
          <w:szCs w:val="20"/>
          <w:color w:val="4F5050"/>
        </w:rPr>
        <w:t xml:space="preserve"> 2024 is effective as of </w:t>
      </w:r>
      <w:r>
        <w:rPr>
          <w:rFonts w:ascii="Times New Roman" w:cs="Times New Roman" w:eastAsia="Times New Roman" w:hAnsi="Times New Roman"/>
          <w:sz w:val="20"/>
          <w:szCs w:val="20"/>
          <w:color w:val="646664"/>
        </w:rPr>
        <w:t>Febru</w:t>
      </w:r>
      <w:r>
        <w:rPr>
          <w:rFonts w:ascii="Times New Roman" w:cs="Times New Roman" w:eastAsia="Times New Roman" w:hAnsi="Times New Roman"/>
          <w:sz w:val="20"/>
          <w:szCs w:val="20"/>
          <w:color w:val="3D3F3F"/>
        </w:rPr>
        <w:t>ary</w:t>
      </w:r>
      <w:r>
        <w:rPr>
          <w:rFonts w:ascii="Times New Roman" w:cs="Times New Roman" w:eastAsia="Times New Roman" w:hAnsi="Times New Roman"/>
          <w:sz w:val="20"/>
          <w:szCs w:val="20"/>
          <w:color w:val="4F5050"/>
        </w:rPr>
        <w:t xml:space="preserve"> 20, </w:t>
      </w:r>
      <w:r>
        <w:rPr>
          <w:rFonts w:ascii="Times New Roman" w:cs="Times New Roman" w:eastAsia="Times New Roman" w:hAnsi="Times New Roman"/>
          <w:sz w:val="20"/>
          <w:szCs w:val="20"/>
          <w:color w:val="646664"/>
        </w:rPr>
        <w:t>2</w:t>
      </w:r>
      <w:r>
        <w:rPr>
          <w:rFonts w:ascii="Times New Roman" w:cs="Times New Roman" w:eastAsia="Times New Roman" w:hAnsi="Times New Roman"/>
          <w:sz w:val="20"/>
          <w:szCs w:val="20"/>
          <w:color w:val="3D3F3F"/>
        </w:rPr>
        <w:t>025</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646664"/>
        </w:rPr>
        <w:t>(the</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u w:val="single" w:color="auto"/>
          <w:color w:val="646664"/>
        </w:rPr>
        <w:t>"</w:t>
      </w:r>
      <w:r>
        <w:rPr>
          <w:rFonts w:ascii="Times New Roman" w:cs="Times New Roman" w:eastAsia="Times New Roman" w:hAnsi="Times New Roman"/>
          <w:sz w:val="20"/>
          <w:szCs w:val="20"/>
          <w:u w:val="single" w:color="auto"/>
          <w:color w:val="3D3F3F"/>
        </w:rPr>
        <w:t>Effe</w:t>
      </w:r>
      <w:r>
        <w:rPr>
          <w:rFonts w:ascii="Times New Roman" w:cs="Times New Roman" w:eastAsia="Times New Roman" w:hAnsi="Times New Roman"/>
          <w:sz w:val="20"/>
          <w:szCs w:val="20"/>
          <w:u w:val="single" w:color="auto"/>
          <w:color w:val="646664"/>
        </w:rPr>
        <w:t>ctive</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u w:val="single" w:color="auto"/>
          <w:color w:val="3D3F3F"/>
        </w:rPr>
        <w:t>Dat</w:t>
      </w:r>
      <w:r>
        <w:rPr>
          <w:rFonts w:ascii="Times New Roman" w:cs="Times New Roman" w:eastAsia="Times New Roman" w:hAnsi="Times New Roman"/>
          <w:sz w:val="20"/>
          <w:szCs w:val="20"/>
          <w:u w:val="single" w:color="auto"/>
          <w:color w:val="646664"/>
        </w:rPr>
        <w:t>e")</w:t>
      </w:r>
      <w:r>
        <w:rPr>
          <w:rFonts w:ascii="Times New Roman" w:cs="Times New Roman" w:eastAsia="Times New Roman" w:hAnsi="Times New Roman"/>
          <w:sz w:val="20"/>
          <w:szCs w:val="20"/>
          <w:color w:val="4F5050"/>
        </w:rPr>
        <w:t xml:space="preserve"> by and between </w:t>
      </w:r>
      <w:r>
        <w:rPr>
          <w:rFonts w:ascii="Times New Roman" w:cs="Times New Roman" w:eastAsia="Times New Roman" w:hAnsi="Times New Roman"/>
          <w:sz w:val="20"/>
          <w:szCs w:val="20"/>
          <w:color w:val="646664"/>
        </w:rPr>
        <w:t>Salarius</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3D3F3F"/>
        </w:rPr>
        <w:t>Pharma</w:t>
      </w:r>
      <w:r>
        <w:rPr>
          <w:rFonts w:ascii="Times New Roman" w:cs="Times New Roman" w:eastAsia="Times New Roman" w:hAnsi="Times New Roman"/>
          <w:sz w:val="20"/>
          <w:szCs w:val="20"/>
          <w:color w:val="646664"/>
        </w:rPr>
        <w:t>ceut</w:t>
      </w:r>
      <w:r>
        <w:rPr>
          <w:rFonts w:ascii="Times New Roman" w:cs="Times New Roman" w:eastAsia="Times New Roman" w:hAnsi="Times New Roman"/>
          <w:sz w:val="20"/>
          <w:szCs w:val="20"/>
          <w:color w:val="3D3F3F"/>
        </w:rPr>
        <w:t>ical</w:t>
      </w:r>
      <w:r>
        <w:rPr>
          <w:rFonts w:ascii="Times New Roman" w:cs="Times New Roman" w:eastAsia="Times New Roman" w:hAnsi="Times New Roman"/>
          <w:sz w:val="20"/>
          <w:szCs w:val="20"/>
          <w:color w:val="646664"/>
        </w:rPr>
        <w:t>s,</w:t>
      </w:r>
      <w:r>
        <w:rPr>
          <w:rFonts w:ascii="Times New Roman" w:cs="Times New Roman" w:eastAsia="Times New Roman" w:hAnsi="Times New Roman"/>
          <w:sz w:val="20"/>
          <w:szCs w:val="20"/>
          <w:color w:val="4F5050"/>
        </w:rPr>
        <w:t xml:space="preserve"> Inc., a Delaware corporation </w:t>
      </w:r>
      <w:r>
        <w:rPr>
          <w:rFonts w:ascii="Times New Roman" w:cs="Times New Roman" w:eastAsia="Times New Roman" w:hAnsi="Times New Roman"/>
          <w:sz w:val="20"/>
          <w:szCs w:val="20"/>
          <w:color w:val="646664"/>
        </w:rPr>
        <w:t>(the</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u w:val="single" w:color="auto"/>
          <w:color w:val="646664"/>
        </w:rPr>
        <w:t>"Com</w:t>
      </w:r>
      <w:r>
        <w:rPr>
          <w:rFonts w:ascii="Times New Roman" w:cs="Times New Roman" w:eastAsia="Times New Roman" w:hAnsi="Times New Roman"/>
          <w:sz w:val="20"/>
          <w:szCs w:val="20"/>
          <w:u w:val="single" w:color="auto"/>
          <w:color w:val="3D3F3F"/>
        </w:rPr>
        <w:t>pan</w:t>
      </w:r>
      <w:r>
        <w:rPr>
          <w:rFonts w:ascii="Times New Roman" w:cs="Times New Roman" w:eastAsia="Times New Roman" w:hAnsi="Times New Roman"/>
          <w:sz w:val="20"/>
          <w:szCs w:val="20"/>
          <w:u w:val="single" w:color="auto"/>
          <w:color w:val="646664"/>
        </w:rPr>
        <w:t>y"),</w:t>
      </w:r>
      <w:r>
        <w:rPr>
          <w:rFonts w:ascii="Times New Roman" w:cs="Times New Roman" w:eastAsia="Times New Roman" w:hAnsi="Times New Roman"/>
          <w:sz w:val="20"/>
          <w:szCs w:val="20"/>
          <w:color w:val="4F5050"/>
        </w:rPr>
        <w:t xml:space="preserve"> and David J. Arthur </w:t>
      </w:r>
      <w:r>
        <w:rPr>
          <w:rFonts w:ascii="Times New Roman" w:cs="Times New Roman" w:eastAsia="Times New Roman" w:hAnsi="Times New Roman"/>
          <w:sz w:val="20"/>
          <w:szCs w:val="20"/>
          <w:u w:val="single" w:color="auto"/>
          <w:color w:val="646664"/>
        </w:rPr>
        <w:t>("</w:t>
      </w:r>
      <w:r>
        <w:rPr>
          <w:rFonts w:ascii="Times New Roman" w:cs="Times New Roman" w:eastAsia="Times New Roman" w:hAnsi="Times New Roman"/>
          <w:sz w:val="20"/>
          <w:szCs w:val="20"/>
          <w:u w:val="single" w:color="auto"/>
          <w:color w:val="3D3F3F"/>
        </w:rPr>
        <w:t>Consultant</w:t>
      </w:r>
      <w:r>
        <w:rPr>
          <w:rFonts w:ascii="Times New Roman" w:cs="Times New Roman" w:eastAsia="Times New Roman" w:hAnsi="Times New Roman"/>
          <w:sz w:val="20"/>
          <w:szCs w:val="20"/>
          <w:u w:val="single" w:color="auto"/>
          <w:color w:val="646664"/>
        </w:rPr>
        <w:t>"</w:t>
      </w:r>
      <w:r>
        <w:rPr>
          <w:rFonts w:ascii="Times New Roman" w:cs="Times New Roman" w:eastAsia="Times New Roman" w:hAnsi="Times New Roman"/>
          <w:sz w:val="20"/>
          <w:szCs w:val="20"/>
          <w:u w:val="single" w:color="auto"/>
          <w:color w:val="3D3F3F"/>
        </w:rPr>
        <w:t>)</w:t>
      </w:r>
      <w:r>
        <w:rPr>
          <w:rFonts w:ascii="Times New Roman" w:cs="Times New Roman" w:eastAsia="Times New Roman" w:hAnsi="Times New Roman"/>
          <w:sz w:val="20"/>
          <w:szCs w:val="20"/>
          <w:u w:val="single" w:color="auto"/>
          <w:color w:val="646664"/>
        </w:rPr>
        <w:t>,</w:t>
      </w:r>
      <w:r>
        <w:rPr>
          <w:rFonts w:ascii="Times New Roman" w:cs="Times New Roman" w:eastAsia="Times New Roman" w:hAnsi="Times New Roman"/>
          <w:sz w:val="20"/>
          <w:szCs w:val="20"/>
          <w:color w:val="4F5050"/>
        </w:rPr>
        <w:t xml:space="preserve"> effective generally </w:t>
      </w:r>
      <w:r>
        <w:rPr>
          <w:rFonts w:ascii="Times New Roman" w:cs="Times New Roman" w:eastAsia="Times New Roman" w:hAnsi="Times New Roman"/>
          <w:sz w:val="20"/>
          <w:szCs w:val="20"/>
          <w:color w:val="3D3F3F"/>
        </w:rPr>
        <w:t>as</w:t>
      </w:r>
      <w:r>
        <w:rPr>
          <w:rFonts w:ascii="Times New Roman" w:cs="Times New Roman" w:eastAsia="Times New Roman" w:hAnsi="Times New Roman"/>
          <w:sz w:val="20"/>
          <w:szCs w:val="20"/>
          <w:color w:val="4F5050"/>
        </w:rPr>
        <w:t xml:space="preserve"> of </w:t>
      </w:r>
      <w:r>
        <w:rPr>
          <w:rFonts w:ascii="Times New Roman" w:cs="Times New Roman" w:eastAsia="Times New Roman" w:hAnsi="Times New Roman"/>
          <w:sz w:val="20"/>
          <w:szCs w:val="20"/>
          <w:color w:val="3D3F3F"/>
        </w:rPr>
        <w:t>the Effective</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2D2F2F"/>
        </w:rPr>
        <w:t>D</w:t>
      </w:r>
      <w:r>
        <w:rPr>
          <w:rFonts w:ascii="Times New Roman" w:cs="Times New Roman" w:eastAsia="Times New Roman" w:hAnsi="Times New Roman"/>
          <w:sz w:val="20"/>
          <w:szCs w:val="20"/>
          <w:color w:val="4F5050"/>
        </w:rPr>
        <w:t xml:space="preserve">ate except as otherwise expressly </w:t>
      </w:r>
      <w:r>
        <w:rPr>
          <w:rFonts w:ascii="Times New Roman" w:cs="Times New Roman" w:eastAsia="Times New Roman" w:hAnsi="Times New Roman"/>
          <w:sz w:val="20"/>
          <w:szCs w:val="20"/>
          <w:color w:val="3D3F3F"/>
        </w:rPr>
        <w:t>provided</w:t>
      </w:r>
      <w:r>
        <w:rPr>
          <w:rFonts w:ascii="Times New Roman" w:cs="Times New Roman" w:eastAsia="Times New Roman" w:hAnsi="Times New Roman"/>
          <w:sz w:val="20"/>
          <w:szCs w:val="20"/>
          <w:color w:val="4F5050"/>
        </w:rPr>
        <w:t xml:space="preserve"> below. Consultant a</w:t>
      </w:r>
      <w:r>
        <w:rPr>
          <w:rFonts w:ascii="Times New Roman" w:cs="Times New Roman" w:eastAsia="Times New Roman" w:hAnsi="Times New Roman"/>
          <w:sz w:val="20"/>
          <w:szCs w:val="20"/>
          <w:color w:val="2D2F2F"/>
        </w:rPr>
        <w:t>n</w:t>
      </w:r>
      <w:r>
        <w:rPr>
          <w:rFonts w:ascii="Times New Roman" w:cs="Times New Roman" w:eastAsia="Times New Roman" w:hAnsi="Times New Roman"/>
          <w:sz w:val="20"/>
          <w:szCs w:val="20"/>
          <w:color w:val="4F5050"/>
        </w:rPr>
        <w:t xml:space="preserve">d </w:t>
      </w:r>
      <w:r>
        <w:rPr>
          <w:rFonts w:ascii="Times New Roman" w:cs="Times New Roman" w:eastAsia="Times New Roman" w:hAnsi="Times New Roman"/>
          <w:sz w:val="20"/>
          <w:szCs w:val="20"/>
          <w:color w:val="2D2F2F"/>
        </w:rPr>
        <w:t>th</w:t>
      </w:r>
      <w:r>
        <w:rPr>
          <w:rFonts w:ascii="Times New Roman" w:cs="Times New Roman" w:eastAsia="Times New Roman" w:hAnsi="Times New Roman"/>
          <w:sz w:val="20"/>
          <w:szCs w:val="20"/>
          <w:color w:val="4F5050"/>
        </w:rPr>
        <w:t xml:space="preserve">e </w:t>
      </w:r>
      <w:r>
        <w:rPr>
          <w:rFonts w:ascii="Times New Roman" w:cs="Times New Roman" w:eastAsia="Times New Roman" w:hAnsi="Times New Roman"/>
          <w:sz w:val="20"/>
          <w:szCs w:val="20"/>
          <w:color w:val="646664"/>
        </w:rPr>
        <w:t>Com</w:t>
      </w:r>
      <w:r>
        <w:rPr>
          <w:rFonts w:ascii="Times New Roman" w:cs="Times New Roman" w:eastAsia="Times New Roman" w:hAnsi="Times New Roman"/>
          <w:sz w:val="20"/>
          <w:szCs w:val="20"/>
          <w:color w:val="2D2F2F"/>
        </w:rPr>
        <w:t>p</w:t>
      </w:r>
      <w:r>
        <w:rPr>
          <w:rFonts w:ascii="Times New Roman" w:cs="Times New Roman" w:eastAsia="Times New Roman" w:hAnsi="Times New Roman"/>
          <w:sz w:val="20"/>
          <w:szCs w:val="20"/>
          <w:color w:val="4F5050"/>
        </w:rPr>
        <w:t xml:space="preserve">any are </w:t>
      </w:r>
      <w:r>
        <w:rPr>
          <w:rFonts w:ascii="Times New Roman" w:cs="Times New Roman" w:eastAsia="Times New Roman" w:hAnsi="Times New Roman"/>
          <w:sz w:val="20"/>
          <w:szCs w:val="20"/>
          <w:color w:val="646664"/>
        </w:rPr>
        <w:t>somet</w:t>
      </w:r>
      <w:r>
        <w:rPr>
          <w:rFonts w:ascii="Times New Roman" w:cs="Times New Roman" w:eastAsia="Times New Roman" w:hAnsi="Times New Roman"/>
          <w:sz w:val="20"/>
          <w:szCs w:val="20"/>
          <w:color w:val="3D3F3F"/>
        </w:rPr>
        <w:t>im</w:t>
      </w:r>
      <w:r>
        <w:rPr>
          <w:rFonts w:ascii="Times New Roman" w:cs="Times New Roman" w:eastAsia="Times New Roman" w:hAnsi="Times New Roman"/>
          <w:sz w:val="20"/>
          <w:szCs w:val="20"/>
          <w:color w:val="646664"/>
        </w:rPr>
        <w:t>es</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3D3F3F"/>
        </w:rPr>
        <w:t>referr</w:t>
      </w:r>
      <w:r>
        <w:rPr>
          <w:rFonts w:ascii="Times New Roman" w:cs="Times New Roman" w:eastAsia="Times New Roman" w:hAnsi="Times New Roman"/>
          <w:sz w:val="20"/>
          <w:szCs w:val="20"/>
          <w:color w:val="646664"/>
        </w:rPr>
        <w:t>ed</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3D3F3F"/>
        </w:rPr>
        <w:t>to herein</w:t>
      </w:r>
      <w:r>
        <w:rPr>
          <w:rFonts w:ascii="Times New Roman" w:cs="Times New Roman" w:eastAsia="Times New Roman" w:hAnsi="Times New Roman"/>
          <w:sz w:val="20"/>
          <w:szCs w:val="20"/>
          <w:color w:val="646664"/>
        </w:rPr>
        <w:t>,</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2D2F2F"/>
        </w:rPr>
        <w:t>i</w:t>
      </w:r>
      <w:r>
        <w:rPr>
          <w:rFonts w:ascii="Times New Roman" w:cs="Times New Roman" w:eastAsia="Times New Roman" w:hAnsi="Times New Roman"/>
          <w:sz w:val="20"/>
          <w:szCs w:val="20"/>
          <w:color w:val="4F5050"/>
        </w:rPr>
        <w:t xml:space="preserve">ndividually, as </w:t>
      </w:r>
      <w:r>
        <w:rPr>
          <w:rFonts w:ascii="Times New Roman" w:cs="Times New Roman" w:eastAsia="Times New Roman" w:hAnsi="Times New Roman"/>
          <w:sz w:val="20"/>
          <w:szCs w:val="20"/>
          <w:color w:val="3D3F3F"/>
        </w:rPr>
        <w:t>a</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u w:val="single" w:color="auto"/>
          <w:color w:val="646664"/>
        </w:rPr>
        <w:t>"</w:t>
      </w:r>
      <w:r>
        <w:rPr>
          <w:rFonts w:ascii="Times New Roman" w:cs="Times New Roman" w:eastAsia="Times New Roman" w:hAnsi="Times New Roman"/>
          <w:sz w:val="20"/>
          <w:szCs w:val="20"/>
          <w:u w:val="single" w:color="auto"/>
          <w:color w:val="3D3F3F"/>
        </w:rPr>
        <w:t>P</w:t>
      </w:r>
      <w:r>
        <w:rPr>
          <w:rFonts w:ascii="Times New Roman" w:cs="Times New Roman" w:eastAsia="Times New Roman" w:hAnsi="Times New Roman"/>
          <w:sz w:val="20"/>
          <w:szCs w:val="20"/>
          <w:u w:val="single" w:color="auto"/>
          <w:color w:val="646664"/>
        </w:rPr>
        <w:t>arty"</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646664"/>
        </w:rPr>
        <w:t>or,</w:t>
      </w:r>
      <w:r>
        <w:rPr>
          <w:rFonts w:ascii="Times New Roman" w:cs="Times New Roman" w:eastAsia="Times New Roman" w:hAnsi="Times New Roman"/>
          <w:sz w:val="20"/>
          <w:szCs w:val="20"/>
          <w:color w:val="4F5050"/>
        </w:rPr>
        <w:t xml:space="preserve"> collectively</w:t>
      </w:r>
      <w:r>
        <w:rPr>
          <w:rFonts w:ascii="Times New Roman" w:cs="Times New Roman" w:eastAsia="Times New Roman" w:hAnsi="Times New Roman"/>
          <w:sz w:val="20"/>
          <w:szCs w:val="20"/>
          <w:color w:val="7B7C7C"/>
        </w:rPr>
        <w:t>,</w:t>
      </w:r>
      <w:r>
        <w:rPr>
          <w:rFonts w:ascii="Times New Roman" w:cs="Times New Roman" w:eastAsia="Times New Roman" w:hAnsi="Times New Roman"/>
          <w:sz w:val="20"/>
          <w:szCs w:val="20"/>
          <w:color w:val="4F5050"/>
        </w:rPr>
        <w:t xml:space="preserve"> </w:t>
      </w:r>
      <w:r>
        <w:rPr>
          <w:rFonts w:ascii="Times New Roman" w:cs="Times New Roman" w:eastAsia="Times New Roman" w:hAnsi="Times New Roman"/>
          <w:sz w:val="20"/>
          <w:szCs w:val="20"/>
          <w:color w:val="646664"/>
        </w:rPr>
        <w:t>as</w:t>
      </w:r>
      <w:r>
        <w:rPr>
          <w:rFonts w:ascii="Times New Roman" w:cs="Times New Roman" w:eastAsia="Times New Roman" w:hAnsi="Times New Roman"/>
          <w:sz w:val="20"/>
          <w:szCs w:val="20"/>
          <w:color w:val="4F5050"/>
        </w:rPr>
        <w:t xml:space="preserve"> the </w:t>
      </w:r>
      <w:r>
        <w:rPr>
          <w:rFonts w:ascii="Times New Roman" w:cs="Times New Roman" w:eastAsia="Times New Roman" w:hAnsi="Times New Roman"/>
          <w:sz w:val="20"/>
          <w:szCs w:val="20"/>
          <w:u w:val="single" w:color="auto"/>
          <w:color w:val="646664"/>
        </w:rPr>
        <w:t>"</w:t>
      </w:r>
      <w:r>
        <w:rPr>
          <w:rFonts w:ascii="Times New Roman" w:cs="Times New Roman" w:eastAsia="Times New Roman" w:hAnsi="Times New Roman"/>
          <w:sz w:val="20"/>
          <w:szCs w:val="20"/>
          <w:u w:val="single" w:color="auto"/>
          <w:color w:val="3D3F3F"/>
        </w:rPr>
        <w:t>Parti</w:t>
      </w:r>
      <w:r>
        <w:rPr>
          <w:rFonts w:ascii="Times New Roman" w:cs="Times New Roman" w:eastAsia="Times New Roman" w:hAnsi="Times New Roman"/>
          <w:sz w:val="20"/>
          <w:szCs w:val="20"/>
          <w:u w:val="single" w:color="auto"/>
          <w:color w:val="646664"/>
        </w:rPr>
        <w:t>es."</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2D2F2F"/>
        </w:rPr>
        <w:t>RECITALS</w:t>
      </w:r>
    </w:p>
    <w:p>
      <w:pPr>
        <w:spacing w:after="0" w:line="218" w:lineRule="exact"/>
        <w:rPr>
          <w:sz w:val="20"/>
          <w:szCs w:val="20"/>
          <w:color w:val="auto"/>
        </w:rPr>
      </w:pPr>
    </w:p>
    <w:p>
      <w:pPr>
        <w:jc w:val="both"/>
        <w:ind w:left="140" w:right="40" w:firstLine="655"/>
        <w:spacing w:after="0" w:line="285" w:lineRule="auto"/>
        <w:rPr>
          <w:sz w:val="20"/>
          <w:szCs w:val="20"/>
          <w:color w:val="auto"/>
        </w:rPr>
      </w:pPr>
      <w:r>
        <w:rPr>
          <w:rFonts w:ascii="Times New Roman" w:cs="Times New Roman" w:eastAsia="Times New Roman" w:hAnsi="Times New Roman"/>
          <w:sz w:val="21"/>
          <w:szCs w:val="21"/>
          <w:b w:val="1"/>
          <w:bCs w:val="1"/>
          <w:color w:val="2D2F2F"/>
        </w:rPr>
        <w:t>WHEREAS</w:t>
      </w:r>
      <w:r>
        <w:rPr>
          <w:rFonts w:ascii="Times New Roman" w:cs="Times New Roman" w:eastAsia="Times New Roman" w:hAnsi="Times New Roman"/>
          <w:sz w:val="21"/>
          <w:szCs w:val="21"/>
          <w:b w:val="1"/>
          <w:bCs w:val="1"/>
          <w:color w:val="4F5050"/>
        </w:rPr>
        <w:t>,</w:t>
      </w:r>
      <w:r>
        <w:rPr>
          <w:rFonts w:ascii="Times New Roman" w:cs="Times New Roman" w:eastAsia="Times New Roman" w:hAnsi="Times New Roman"/>
          <w:sz w:val="21"/>
          <w:szCs w:val="21"/>
          <w:b w:val="1"/>
          <w:bCs w:val="1"/>
          <w:color w:val="2D2F2F"/>
        </w:rPr>
        <w:t xml:space="preserve"> </w:t>
      </w:r>
      <w:r>
        <w:rPr>
          <w:rFonts w:ascii="Times New Roman" w:cs="Times New Roman" w:eastAsia="Times New Roman" w:hAnsi="Times New Roman"/>
          <w:sz w:val="21"/>
          <w:szCs w:val="21"/>
          <w:color w:val="4F5050"/>
        </w:rPr>
        <w:t>the Company desires to engage Consultant</w:t>
      </w:r>
      <w:r>
        <w:rPr>
          <w:rFonts w:ascii="Times New Roman" w:cs="Times New Roman" w:eastAsia="Times New Roman" w:hAnsi="Times New Roman"/>
          <w:sz w:val="21"/>
          <w:szCs w:val="21"/>
          <w:color w:val="7B7C7C"/>
        </w:rPr>
        <w:t>,</w:t>
      </w:r>
      <w:r>
        <w:rPr>
          <w:rFonts w:ascii="Times New Roman" w:cs="Times New Roman" w:eastAsia="Times New Roman" w:hAnsi="Times New Roman"/>
          <w:sz w:val="21"/>
          <w:szCs w:val="21"/>
          <w:b w:val="1"/>
          <w:bCs w:val="1"/>
          <w:color w:val="2D2F2F"/>
        </w:rPr>
        <w:t xml:space="preserve"> </w:t>
      </w:r>
      <w:r>
        <w:rPr>
          <w:rFonts w:ascii="Times New Roman" w:cs="Times New Roman" w:eastAsia="Times New Roman" w:hAnsi="Times New Roman"/>
          <w:sz w:val="21"/>
          <w:szCs w:val="21"/>
          <w:color w:val="4F5050"/>
        </w:rPr>
        <w:t>and</w:t>
      </w:r>
      <w:r>
        <w:rPr>
          <w:rFonts w:ascii="Times New Roman" w:cs="Times New Roman" w:eastAsia="Times New Roman" w:hAnsi="Times New Roman"/>
          <w:sz w:val="21"/>
          <w:szCs w:val="21"/>
          <w:b w:val="1"/>
          <w:bCs w:val="1"/>
          <w:color w:val="2D2F2F"/>
        </w:rPr>
        <w:t xml:space="preserve"> </w:t>
      </w:r>
      <w:r>
        <w:rPr>
          <w:rFonts w:ascii="Times New Roman" w:cs="Times New Roman" w:eastAsia="Times New Roman" w:hAnsi="Times New Roman"/>
          <w:sz w:val="21"/>
          <w:szCs w:val="21"/>
          <w:color w:val="646664"/>
        </w:rPr>
        <w:t>Cons</w:t>
      </w:r>
      <w:r>
        <w:rPr>
          <w:rFonts w:ascii="Times New Roman" w:cs="Times New Roman" w:eastAsia="Times New Roman" w:hAnsi="Times New Roman"/>
          <w:sz w:val="21"/>
          <w:szCs w:val="21"/>
          <w:color w:val="3D3F3F"/>
        </w:rPr>
        <w:t>ultant</w:t>
      </w:r>
      <w:r>
        <w:rPr>
          <w:rFonts w:ascii="Times New Roman" w:cs="Times New Roman" w:eastAsia="Times New Roman" w:hAnsi="Times New Roman"/>
          <w:sz w:val="21"/>
          <w:szCs w:val="21"/>
          <w:b w:val="1"/>
          <w:bCs w:val="1"/>
          <w:color w:val="2D2F2F"/>
        </w:rPr>
        <w:t xml:space="preserve"> </w:t>
      </w:r>
      <w:r>
        <w:rPr>
          <w:rFonts w:ascii="Times New Roman" w:cs="Times New Roman" w:eastAsia="Times New Roman" w:hAnsi="Times New Roman"/>
          <w:sz w:val="21"/>
          <w:szCs w:val="21"/>
          <w:color w:val="646664"/>
        </w:rPr>
        <w:t>des</w:t>
      </w:r>
      <w:r>
        <w:rPr>
          <w:rFonts w:ascii="Times New Roman" w:cs="Times New Roman" w:eastAsia="Times New Roman" w:hAnsi="Times New Roman"/>
          <w:sz w:val="21"/>
          <w:szCs w:val="21"/>
          <w:color w:val="3D3F3F"/>
        </w:rPr>
        <w:t>ire</w:t>
      </w:r>
      <w:r>
        <w:rPr>
          <w:rFonts w:ascii="Times New Roman" w:cs="Times New Roman" w:eastAsia="Times New Roman" w:hAnsi="Times New Roman"/>
          <w:sz w:val="21"/>
          <w:szCs w:val="21"/>
          <w:color w:val="646664"/>
        </w:rPr>
        <w:t>s</w:t>
      </w:r>
      <w:r>
        <w:rPr>
          <w:rFonts w:ascii="Times New Roman" w:cs="Times New Roman" w:eastAsia="Times New Roman" w:hAnsi="Times New Roman"/>
          <w:sz w:val="21"/>
          <w:szCs w:val="21"/>
          <w:b w:val="1"/>
          <w:bCs w:val="1"/>
          <w:color w:val="2D2F2F"/>
        </w:rPr>
        <w:t xml:space="preserve"> </w:t>
      </w:r>
      <w:r>
        <w:rPr>
          <w:rFonts w:ascii="Times New Roman" w:cs="Times New Roman" w:eastAsia="Times New Roman" w:hAnsi="Times New Roman"/>
          <w:sz w:val="21"/>
          <w:szCs w:val="21"/>
          <w:color w:val="4F5050"/>
        </w:rPr>
        <w:t>to provide consulting services to</w:t>
      </w:r>
      <w:r>
        <w:rPr>
          <w:rFonts w:ascii="Times New Roman" w:cs="Times New Roman" w:eastAsia="Times New Roman" w:hAnsi="Times New Roman"/>
          <w:sz w:val="21"/>
          <w:szCs w:val="21"/>
          <w:b w:val="1"/>
          <w:bCs w:val="1"/>
          <w:color w:val="2D2F2F"/>
        </w:rPr>
        <w:t xml:space="preserve"> </w:t>
      </w:r>
      <w:r>
        <w:rPr>
          <w:rFonts w:ascii="Times New Roman" w:cs="Times New Roman" w:eastAsia="Times New Roman" w:hAnsi="Times New Roman"/>
          <w:sz w:val="21"/>
          <w:szCs w:val="21"/>
          <w:color w:val="3D3F3F"/>
        </w:rPr>
        <w:t>the</w:t>
      </w:r>
      <w:r>
        <w:rPr>
          <w:rFonts w:ascii="Times New Roman" w:cs="Times New Roman" w:eastAsia="Times New Roman" w:hAnsi="Times New Roman"/>
          <w:sz w:val="21"/>
          <w:szCs w:val="21"/>
          <w:b w:val="1"/>
          <w:bCs w:val="1"/>
          <w:color w:val="2D2F2F"/>
        </w:rPr>
        <w:t xml:space="preserve"> </w:t>
      </w:r>
      <w:r>
        <w:rPr>
          <w:rFonts w:ascii="Times New Roman" w:cs="Times New Roman" w:eastAsia="Times New Roman" w:hAnsi="Times New Roman"/>
          <w:sz w:val="21"/>
          <w:szCs w:val="21"/>
          <w:color w:val="4F5050"/>
        </w:rPr>
        <w:t xml:space="preserve">Company pursuant to the terms and conditions contained </w:t>
      </w:r>
      <w:r>
        <w:rPr>
          <w:rFonts w:ascii="Times New Roman" w:cs="Times New Roman" w:eastAsia="Times New Roman" w:hAnsi="Times New Roman"/>
          <w:sz w:val="21"/>
          <w:szCs w:val="21"/>
          <w:color w:val="3D3F3F"/>
        </w:rPr>
        <w:t>herein.</w:t>
      </w:r>
    </w:p>
    <w:p>
      <w:pPr>
        <w:spacing w:after="0" w:line="155" w:lineRule="exact"/>
        <w:rPr>
          <w:sz w:val="20"/>
          <w:szCs w:val="20"/>
          <w:color w:val="auto"/>
        </w:rPr>
      </w:pPr>
    </w:p>
    <w:p>
      <w:pPr>
        <w:jc w:val="both"/>
        <w:ind w:left="140" w:right="40" w:firstLine="640"/>
        <w:spacing w:after="0" w:line="270" w:lineRule="auto"/>
        <w:rPr>
          <w:sz w:val="20"/>
          <w:szCs w:val="20"/>
          <w:color w:val="auto"/>
        </w:rPr>
      </w:pPr>
      <w:r>
        <w:rPr>
          <w:rFonts w:ascii="Times New Roman" w:cs="Times New Roman" w:eastAsia="Times New Roman" w:hAnsi="Times New Roman"/>
          <w:sz w:val="21"/>
          <w:szCs w:val="21"/>
          <w:b w:val="1"/>
          <w:bCs w:val="1"/>
          <w:color w:val="4F5050"/>
        </w:rPr>
        <w:t>N</w:t>
      </w:r>
      <w:r>
        <w:rPr>
          <w:rFonts w:ascii="Times New Roman" w:cs="Times New Roman" w:eastAsia="Times New Roman" w:hAnsi="Times New Roman"/>
          <w:sz w:val="21"/>
          <w:szCs w:val="21"/>
          <w:b w:val="1"/>
          <w:bCs w:val="1"/>
          <w:color w:val="2D2F2F"/>
        </w:rPr>
        <w:t>OW, THEREFORE</w:t>
      </w:r>
      <w:r>
        <w:rPr>
          <w:rFonts w:ascii="Times New Roman" w:cs="Times New Roman" w:eastAsia="Times New Roman" w:hAnsi="Times New Roman"/>
          <w:sz w:val="21"/>
          <w:szCs w:val="21"/>
          <w:b w:val="1"/>
          <w:bCs w:val="1"/>
          <w:color w:val="7B7C7C"/>
        </w:rPr>
        <w:t>,</w:t>
      </w:r>
      <w:r>
        <w:rPr>
          <w:rFonts w:ascii="Times New Roman" w:cs="Times New Roman" w:eastAsia="Times New Roman" w:hAnsi="Times New Roman"/>
          <w:sz w:val="21"/>
          <w:szCs w:val="21"/>
          <w:b w:val="1"/>
          <w:bCs w:val="1"/>
          <w:color w:val="4F5050"/>
        </w:rPr>
        <w:t xml:space="preserve"> </w:t>
      </w:r>
      <w:r>
        <w:rPr>
          <w:rFonts w:ascii="Times New Roman" w:cs="Times New Roman" w:eastAsia="Times New Roman" w:hAnsi="Times New Roman"/>
          <w:sz w:val="21"/>
          <w:szCs w:val="21"/>
          <w:color w:val="3D3F3F"/>
        </w:rPr>
        <w:t>in</w:t>
      </w:r>
      <w:r>
        <w:rPr>
          <w:rFonts w:ascii="Times New Roman" w:cs="Times New Roman" w:eastAsia="Times New Roman" w:hAnsi="Times New Roman"/>
          <w:sz w:val="21"/>
          <w:szCs w:val="21"/>
          <w:b w:val="1"/>
          <w:bCs w:val="1"/>
          <w:color w:val="4F5050"/>
        </w:rPr>
        <w:t xml:space="preserve"> </w:t>
      </w:r>
      <w:r>
        <w:rPr>
          <w:rFonts w:ascii="Times New Roman" w:cs="Times New Roman" w:eastAsia="Times New Roman" w:hAnsi="Times New Roman"/>
          <w:sz w:val="21"/>
          <w:szCs w:val="21"/>
          <w:color w:val="4F5050"/>
        </w:rPr>
        <w:t>considera</w:t>
      </w:r>
      <w:r>
        <w:rPr>
          <w:rFonts w:ascii="Times New Roman" w:cs="Times New Roman" w:eastAsia="Times New Roman" w:hAnsi="Times New Roman"/>
          <w:sz w:val="21"/>
          <w:szCs w:val="21"/>
          <w:color w:val="1D1F1F"/>
        </w:rPr>
        <w:t>t</w:t>
      </w:r>
      <w:r>
        <w:rPr>
          <w:rFonts w:ascii="Times New Roman" w:cs="Times New Roman" w:eastAsia="Times New Roman" w:hAnsi="Times New Roman"/>
          <w:sz w:val="21"/>
          <w:szCs w:val="21"/>
          <w:color w:val="3D3F3F"/>
        </w:rPr>
        <w:t>ion</w:t>
      </w:r>
      <w:r>
        <w:rPr>
          <w:rFonts w:ascii="Times New Roman" w:cs="Times New Roman" w:eastAsia="Times New Roman" w:hAnsi="Times New Roman"/>
          <w:sz w:val="21"/>
          <w:szCs w:val="21"/>
          <w:b w:val="1"/>
          <w:bCs w:val="1"/>
          <w:color w:val="4F5050"/>
        </w:rPr>
        <w:t xml:space="preserve"> </w:t>
      </w:r>
      <w:r>
        <w:rPr>
          <w:rFonts w:ascii="Times New Roman" w:cs="Times New Roman" w:eastAsia="Times New Roman" w:hAnsi="Times New Roman"/>
          <w:sz w:val="21"/>
          <w:szCs w:val="21"/>
          <w:color w:val="646664"/>
        </w:rPr>
        <w:t>of</w:t>
      </w:r>
      <w:r>
        <w:rPr>
          <w:rFonts w:ascii="Times New Roman" w:cs="Times New Roman" w:eastAsia="Times New Roman" w:hAnsi="Times New Roman"/>
          <w:sz w:val="21"/>
          <w:szCs w:val="21"/>
          <w:b w:val="1"/>
          <w:bCs w:val="1"/>
          <w:color w:val="4F5050"/>
        </w:rPr>
        <w:t xml:space="preserve"> </w:t>
      </w:r>
      <w:r>
        <w:rPr>
          <w:rFonts w:ascii="Times New Roman" w:cs="Times New Roman" w:eastAsia="Times New Roman" w:hAnsi="Times New Roman"/>
          <w:sz w:val="21"/>
          <w:szCs w:val="21"/>
          <w:color w:val="4F5050"/>
        </w:rPr>
        <w:t>the prem</w:t>
      </w:r>
      <w:r>
        <w:rPr>
          <w:rFonts w:ascii="Times New Roman" w:cs="Times New Roman" w:eastAsia="Times New Roman" w:hAnsi="Times New Roman"/>
          <w:sz w:val="21"/>
          <w:szCs w:val="21"/>
          <w:color w:val="2D2F2F"/>
        </w:rPr>
        <w:t>i</w:t>
      </w:r>
      <w:r>
        <w:rPr>
          <w:rFonts w:ascii="Times New Roman" w:cs="Times New Roman" w:eastAsia="Times New Roman" w:hAnsi="Times New Roman"/>
          <w:sz w:val="21"/>
          <w:szCs w:val="21"/>
          <w:color w:val="646664"/>
        </w:rPr>
        <w:t>ses</w:t>
      </w:r>
      <w:r>
        <w:rPr>
          <w:rFonts w:ascii="Times New Roman" w:cs="Times New Roman" w:eastAsia="Times New Roman" w:hAnsi="Times New Roman"/>
          <w:sz w:val="21"/>
          <w:szCs w:val="21"/>
          <w:b w:val="1"/>
          <w:bCs w:val="1"/>
          <w:color w:val="4F5050"/>
        </w:rPr>
        <w:t xml:space="preserve"> </w:t>
      </w:r>
      <w:r>
        <w:rPr>
          <w:rFonts w:ascii="Times New Roman" w:cs="Times New Roman" w:eastAsia="Times New Roman" w:hAnsi="Times New Roman"/>
          <w:sz w:val="21"/>
          <w:szCs w:val="21"/>
          <w:color w:val="4F5050"/>
        </w:rPr>
        <w:t>and mutual promises, covenants and obligations contained herein</w:t>
      </w:r>
      <w:r>
        <w:rPr>
          <w:rFonts w:ascii="Times New Roman" w:cs="Times New Roman" w:eastAsia="Times New Roman" w:hAnsi="Times New Roman"/>
          <w:sz w:val="21"/>
          <w:szCs w:val="21"/>
          <w:color w:val="7B7C7C"/>
        </w:rPr>
        <w:t>,</w:t>
      </w:r>
      <w:r>
        <w:rPr>
          <w:rFonts w:ascii="Times New Roman" w:cs="Times New Roman" w:eastAsia="Times New Roman" w:hAnsi="Times New Roman"/>
          <w:sz w:val="21"/>
          <w:szCs w:val="21"/>
          <w:b w:val="1"/>
          <w:bCs w:val="1"/>
          <w:color w:val="4F5050"/>
        </w:rPr>
        <w:t xml:space="preserve"> </w:t>
      </w:r>
      <w:r>
        <w:rPr>
          <w:rFonts w:ascii="Times New Roman" w:cs="Times New Roman" w:eastAsia="Times New Roman" w:hAnsi="Times New Roman"/>
          <w:sz w:val="21"/>
          <w:szCs w:val="21"/>
          <w:color w:val="4F5050"/>
        </w:rPr>
        <w:t xml:space="preserve">and for other </w:t>
      </w:r>
      <w:r>
        <w:rPr>
          <w:rFonts w:ascii="Times New Roman" w:cs="Times New Roman" w:eastAsia="Times New Roman" w:hAnsi="Times New Roman"/>
          <w:sz w:val="21"/>
          <w:szCs w:val="21"/>
          <w:color w:val="646664"/>
        </w:rPr>
        <w:t>good</w:t>
      </w:r>
      <w:r>
        <w:rPr>
          <w:rFonts w:ascii="Times New Roman" w:cs="Times New Roman" w:eastAsia="Times New Roman" w:hAnsi="Times New Roman"/>
          <w:sz w:val="21"/>
          <w:szCs w:val="21"/>
          <w:color w:val="4F5050"/>
        </w:rPr>
        <w:t xml:space="preserve"> and </w:t>
      </w:r>
      <w:r>
        <w:rPr>
          <w:rFonts w:ascii="Times New Roman" w:cs="Times New Roman" w:eastAsia="Times New Roman" w:hAnsi="Times New Roman"/>
          <w:sz w:val="21"/>
          <w:szCs w:val="21"/>
          <w:color w:val="646664"/>
        </w:rPr>
        <w:t>valuable</w:t>
      </w:r>
      <w:r>
        <w:rPr>
          <w:rFonts w:ascii="Times New Roman" w:cs="Times New Roman" w:eastAsia="Times New Roman" w:hAnsi="Times New Roman"/>
          <w:sz w:val="21"/>
          <w:szCs w:val="21"/>
          <w:color w:val="4F5050"/>
        </w:rPr>
        <w:t xml:space="preserve"> consideration</w:t>
      </w:r>
      <w:r>
        <w:rPr>
          <w:rFonts w:ascii="Times New Roman" w:cs="Times New Roman" w:eastAsia="Times New Roman" w:hAnsi="Times New Roman"/>
          <w:sz w:val="21"/>
          <w:szCs w:val="21"/>
          <w:color w:val="7B7C7C"/>
        </w:rPr>
        <w:t>,</w:t>
      </w:r>
      <w:r>
        <w:rPr>
          <w:rFonts w:ascii="Times New Roman" w:cs="Times New Roman" w:eastAsia="Times New Roman" w:hAnsi="Times New Roman"/>
          <w:sz w:val="21"/>
          <w:szCs w:val="21"/>
          <w:color w:val="4F5050"/>
        </w:rPr>
        <w:t xml:space="preserve"> the </w:t>
      </w:r>
      <w:r>
        <w:rPr>
          <w:rFonts w:ascii="Times New Roman" w:cs="Times New Roman" w:eastAsia="Times New Roman" w:hAnsi="Times New Roman"/>
          <w:sz w:val="21"/>
          <w:szCs w:val="21"/>
          <w:color w:val="3D3F3F"/>
        </w:rPr>
        <w:t>rec</w:t>
      </w:r>
      <w:r>
        <w:rPr>
          <w:rFonts w:ascii="Times New Roman" w:cs="Times New Roman" w:eastAsia="Times New Roman" w:hAnsi="Times New Roman"/>
          <w:sz w:val="21"/>
          <w:szCs w:val="21"/>
          <w:color w:val="646664"/>
        </w:rPr>
        <w:t>eipt</w:t>
      </w:r>
      <w:r>
        <w:rPr>
          <w:rFonts w:ascii="Times New Roman" w:cs="Times New Roman" w:eastAsia="Times New Roman" w:hAnsi="Times New Roman"/>
          <w:sz w:val="21"/>
          <w:szCs w:val="21"/>
          <w:color w:val="4F5050"/>
        </w:rPr>
        <w:t xml:space="preserve"> and </w:t>
      </w:r>
      <w:r>
        <w:rPr>
          <w:rFonts w:ascii="Times New Roman" w:cs="Times New Roman" w:eastAsia="Times New Roman" w:hAnsi="Times New Roman"/>
          <w:sz w:val="21"/>
          <w:szCs w:val="21"/>
          <w:color w:val="646664"/>
        </w:rPr>
        <w:t>s</w:t>
      </w:r>
      <w:r>
        <w:rPr>
          <w:rFonts w:ascii="Times New Roman" w:cs="Times New Roman" w:eastAsia="Times New Roman" w:hAnsi="Times New Roman"/>
          <w:sz w:val="21"/>
          <w:szCs w:val="21"/>
          <w:color w:val="3D3F3F"/>
        </w:rPr>
        <w:t>ufficiency</w:t>
      </w:r>
      <w:r>
        <w:rPr>
          <w:rFonts w:ascii="Times New Roman" w:cs="Times New Roman" w:eastAsia="Times New Roman" w:hAnsi="Times New Roman"/>
          <w:sz w:val="21"/>
          <w:szCs w:val="21"/>
          <w:color w:val="4F5050"/>
        </w:rPr>
        <w:t xml:space="preserve"> of which are </w:t>
      </w:r>
      <w:r>
        <w:rPr>
          <w:rFonts w:ascii="Times New Roman" w:cs="Times New Roman" w:eastAsia="Times New Roman" w:hAnsi="Times New Roman"/>
          <w:sz w:val="21"/>
          <w:szCs w:val="21"/>
          <w:color w:val="2D2F2F"/>
        </w:rPr>
        <w:t>h</w:t>
      </w:r>
      <w:r>
        <w:rPr>
          <w:rFonts w:ascii="Times New Roman" w:cs="Times New Roman" w:eastAsia="Times New Roman" w:hAnsi="Times New Roman"/>
          <w:sz w:val="21"/>
          <w:szCs w:val="21"/>
          <w:color w:val="4F5050"/>
        </w:rPr>
        <w:t xml:space="preserve">ereby acknowledged, the </w:t>
      </w:r>
      <w:r>
        <w:rPr>
          <w:rFonts w:ascii="Times New Roman" w:cs="Times New Roman" w:eastAsia="Times New Roman" w:hAnsi="Times New Roman"/>
          <w:sz w:val="21"/>
          <w:szCs w:val="21"/>
          <w:color w:val="3D3F3F"/>
        </w:rPr>
        <w:t>Partie</w:t>
      </w:r>
      <w:r>
        <w:rPr>
          <w:rFonts w:ascii="Times New Roman" w:cs="Times New Roman" w:eastAsia="Times New Roman" w:hAnsi="Times New Roman"/>
          <w:sz w:val="21"/>
          <w:szCs w:val="21"/>
          <w:color w:val="646664"/>
        </w:rPr>
        <w:t>s</w:t>
      </w:r>
      <w:r>
        <w:rPr>
          <w:rFonts w:ascii="Times New Roman" w:cs="Times New Roman" w:eastAsia="Times New Roman" w:hAnsi="Times New Roman"/>
          <w:sz w:val="21"/>
          <w:szCs w:val="21"/>
          <w:color w:val="4F5050"/>
        </w:rPr>
        <w:t xml:space="preserve"> hereby agree as </w:t>
      </w:r>
      <w:r>
        <w:rPr>
          <w:rFonts w:ascii="Times New Roman" w:cs="Times New Roman" w:eastAsia="Times New Roman" w:hAnsi="Times New Roman"/>
          <w:sz w:val="21"/>
          <w:szCs w:val="21"/>
          <w:color w:val="3D3F3F"/>
        </w:rPr>
        <w:t>follows:</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7B7C7C"/>
        </w:rPr>
        <w:t>E</w:t>
      </w:r>
      <w:r>
        <w:rPr>
          <w:rFonts w:ascii="Times New Roman" w:cs="Times New Roman" w:eastAsia="Times New Roman" w:hAnsi="Times New Roman"/>
          <w:sz w:val="21"/>
          <w:szCs w:val="21"/>
          <w:color w:val="4F5050"/>
        </w:rPr>
        <w:t>xhib</w:t>
      </w:r>
      <w:r>
        <w:rPr>
          <w:rFonts w:ascii="Times New Roman" w:cs="Times New Roman" w:eastAsia="Times New Roman" w:hAnsi="Times New Roman"/>
          <w:sz w:val="21"/>
          <w:szCs w:val="21"/>
          <w:color w:val="1D1F1F"/>
        </w:rPr>
        <w:t>i</w:t>
      </w:r>
      <w:r>
        <w:rPr>
          <w:rFonts w:ascii="Times New Roman" w:cs="Times New Roman" w:eastAsia="Times New Roman" w:hAnsi="Times New Roman"/>
          <w:sz w:val="21"/>
          <w:szCs w:val="21"/>
          <w:color w:val="4F5050"/>
        </w:rPr>
        <w:t>t A</w:t>
      </w:r>
      <w:r>
        <w:rPr>
          <w:rFonts w:ascii="Times New Roman" w:cs="Times New Roman" w:eastAsia="Times New Roman" w:hAnsi="Times New Roman"/>
          <w:sz w:val="21"/>
          <w:szCs w:val="21"/>
          <w:color w:val="7B7C7C"/>
        </w:rPr>
        <w:t xml:space="preserve"> </w:t>
      </w:r>
      <w:r>
        <w:rPr>
          <w:rFonts w:ascii="Times New Roman" w:cs="Times New Roman" w:eastAsia="Times New Roman" w:hAnsi="Times New Roman"/>
          <w:sz w:val="21"/>
          <w:szCs w:val="21"/>
          <w:color w:val="646664"/>
        </w:rPr>
        <w:t>Sections 2</w:t>
      </w:r>
      <w:r>
        <w:rPr>
          <w:rFonts w:ascii="Times New Roman" w:cs="Times New Roman" w:eastAsia="Times New Roman" w:hAnsi="Times New Roman"/>
          <w:sz w:val="21"/>
          <w:szCs w:val="21"/>
          <w:color w:val="7B7C7C"/>
        </w:rPr>
        <w:t xml:space="preserve"> </w:t>
      </w:r>
      <w:r>
        <w:rPr>
          <w:rFonts w:ascii="Times New Roman" w:cs="Times New Roman" w:eastAsia="Times New Roman" w:hAnsi="Times New Roman"/>
          <w:sz w:val="21"/>
          <w:szCs w:val="21"/>
          <w:color w:val="4F5050"/>
        </w:rPr>
        <w:t>and 4 are</w:t>
      </w:r>
      <w:r>
        <w:rPr>
          <w:rFonts w:ascii="Times New Roman" w:cs="Times New Roman" w:eastAsia="Times New Roman" w:hAnsi="Times New Roman"/>
          <w:sz w:val="21"/>
          <w:szCs w:val="21"/>
          <w:color w:val="7B7C7C"/>
        </w:rPr>
        <w:t xml:space="preserve"> </w:t>
      </w:r>
      <w:r>
        <w:rPr>
          <w:rFonts w:ascii="Times New Roman" w:cs="Times New Roman" w:eastAsia="Times New Roman" w:hAnsi="Times New Roman"/>
          <w:sz w:val="21"/>
          <w:szCs w:val="21"/>
          <w:color w:val="646664"/>
        </w:rPr>
        <w:t>amende</w:t>
      </w:r>
      <w:r>
        <w:rPr>
          <w:rFonts w:ascii="Times New Roman" w:cs="Times New Roman" w:eastAsia="Times New Roman" w:hAnsi="Times New Roman"/>
          <w:sz w:val="21"/>
          <w:szCs w:val="21"/>
          <w:color w:val="3D3F3F"/>
        </w:rPr>
        <w:t>d</w:t>
      </w:r>
      <w:r>
        <w:rPr>
          <w:rFonts w:ascii="Times New Roman" w:cs="Times New Roman" w:eastAsia="Times New Roman" w:hAnsi="Times New Roman"/>
          <w:sz w:val="21"/>
          <w:szCs w:val="21"/>
          <w:color w:val="7B7C7C"/>
        </w:rPr>
        <w:t xml:space="preserve"> </w:t>
      </w:r>
      <w:r>
        <w:rPr>
          <w:rFonts w:ascii="Times New Roman" w:cs="Times New Roman" w:eastAsia="Times New Roman" w:hAnsi="Times New Roman"/>
          <w:sz w:val="21"/>
          <w:szCs w:val="21"/>
          <w:color w:val="646664"/>
        </w:rPr>
        <w:t>in</w:t>
      </w:r>
      <w:r>
        <w:rPr>
          <w:rFonts w:ascii="Times New Roman" w:cs="Times New Roman" w:eastAsia="Times New Roman" w:hAnsi="Times New Roman"/>
          <w:sz w:val="21"/>
          <w:szCs w:val="21"/>
          <w:color w:val="7B7C7C"/>
        </w:rPr>
        <w:t xml:space="preserve"> </w:t>
      </w:r>
      <w:r>
        <w:rPr>
          <w:rFonts w:ascii="Times New Roman" w:cs="Times New Roman" w:eastAsia="Times New Roman" w:hAnsi="Times New Roman"/>
          <w:sz w:val="21"/>
          <w:szCs w:val="21"/>
          <w:color w:val="4F5050"/>
        </w:rPr>
        <w:t>their entirety</w:t>
      </w:r>
      <w:r>
        <w:rPr>
          <w:rFonts w:ascii="Times New Roman" w:cs="Times New Roman" w:eastAsia="Times New Roman" w:hAnsi="Times New Roman"/>
          <w:sz w:val="21"/>
          <w:szCs w:val="21"/>
          <w:color w:val="7B7C7C"/>
        </w:rPr>
        <w:t xml:space="preserve"> </w:t>
      </w:r>
      <w:r>
        <w:rPr>
          <w:rFonts w:ascii="Times New Roman" w:cs="Times New Roman" w:eastAsia="Times New Roman" w:hAnsi="Times New Roman"/>
          <w:sz w:val="21"/>
          <w:szCs w:val="21"/>
          <w:color w:val="3D3F3F"/>
        </w:rPr>
        <w:t>a</w:t>
      </w:r>
      <w:r>
        <w:rPr>
          <w:rFonts w:ascii="Times New Roman" w:cs="Times New Roman" w:eastAsia="Times New Roman" w:hAnsi="Times New Roman"/>
          <w:sz w:val="21"/>
          <w:szCs w:val="21"/>
          <w:color w:val="646664"/>
        </w:rPr>
        <w:t>s</w:t>
      </w:r>
      <w:r>
        <w:rPr>
          <w:rFonts w:ascii="Times New Roman" w:cs="Times New Roman" w:eastAsia="Times New Roman" w:hAnsi="Times New Roman"/>
          <w:sz w:val="21"/>
          <w:szCs w:val="21"/>
          <w:color w:val="7B7C7C"/>
        </w:rPr>
        <w:t xml:space="preserve"> </w:t>
      </w:r>
      <w:r>
        <w:rPr>
          <w:rFonts w:ascii="Times New Roman" w:cs="Times New Roman" w:eastAsia="Times New Roman" w:hAnsi="Times New Roman"/>
          <w:sz w:val="21"/>
          <w:szCs w:val="21"/>
          <w:color w:val="4F5050"/>
        </w:rPr>
        <w:t>fo</w:t>
      </w:r>
      <w:r>
        <w:rPr>
          <w:rFonts w:ascii="Times New Roman" w:cs="Times New Roman" w:eastAsia="Times New Roman" w:hAnsi="Times New Roman"/>
          <w:sz w:val="21"/>
          <w:szCs w:val="21"/>
          <w:color w:val="2D2F2F"/>
        </w:rPr>
        <w:t>ll</w:t>
      </w:r>
      <w:r>
        <w:rPr>
          <w:rFonts w:ascii="Times New Roman" w:cs="Times New Roman" w:eastAsia="Times New Roman" w:hAnsi="Times New Roman"/>
          <w:sz w:val="21"/>
          <w:szCs w:val="21"/>
          <w:color w:val="646664"/>
        </w:rPr>
        <w:t>ows:</w:t>
      </w:r>
    </w:p>
    <w:p>
      <w:pPr>
        <w:spacing w:after="0" w:line="265" w:lineRule="exact"/>
        <w:rPr>
          <w:sz w:val="20"/>
          <w:szCs w:val="20"/>
          <w:color w:val="auto"/>
        </w:rPr>
      </w:pPr>
    </w:p>
    <w:p>
      <w:pPr>
        <w:jc w:val="both"/>
        <w:ind w:left="140" w:right="20" w:firstLine="10"/>
        <w:spacing w:after="0" w:line="262" w:lineRule="auto"/>
        <w:tabs>
          <w:tab w:leader="none" w:pos="345" w:val="left"/>
        </w:tabs>
        <w:numPr>
          <w:ilvl w:val="0"/>
          <w:numId w:val="52"/>
        </w:numPr>
        <w:rPr>
          <w:rFonts w:ascii="Times New Roman" w:cs="Times New Roman" w:eastAsia="Times New Roman" w:hAnsi="Times New Roman"/>
          <w:sz w:val="19"/>
          <w:szCs w:val="19"/>
          <w:u w:val="single" w:color="auto"/>
          <w:color w:val="646664"/>
        </w:rPr>
      </w:pPr>
      <w:r>
        <w:rPr>
          <w:rFonts w:ascii="Times New Roman" w:cs="Times New Roman" w:eastAsia="Times New Roman" w:hAnsi="Times New Roman"/>
          <w:sz w:val="19"/>
          <w:szCs w:val="19"/>
          <w:u w:val="single" w:color="auto"/>
          <w:color w:val="646664"/>
        </w:rPr>
        <w:t>Se</w:t>
      </w:r>
      <w:r>
        <w:rPr>
          <w:rFonts w:ascii="Times New Roman" w:cs="Times New Roman" w:eastAsia="Times New Roman" w:hAnsi="Times New Roman"/>
          <w:sz w:val="19"/>
          <w:szCs w:val="19"/>
          <w:u w:val="single" w:color="auto"/>
          <w:color w:val="3D3F3F"/>
        </w:rPr>
        <w:t>rvices</w:t>
      </w:r>
      <w:r>
        <w:rPr>
          <w:rFonts w:ascii="Times New Roman" w:cs="Times New Roman" w:eastAsia="Times New Roman" w:hAnsi="Times New Roman"/>
          <w:sz w:val="19"/>
          <w:szCs w:val="19"/>
          <w:color w:val="3D3F3F"/>
        </w:rPr>
        <w:t>.</w:t>
      </w:r>
      <w:r>
        <w:rPr>
          <w:rFonts w:ascii="Times New Roman" w:cs="Times New Roman" w:eastAsia="Times New Roman" w:hAnsi="Times New Roman"/>
          <w:sz w:val="19"/>
          <w:szCs w:val="19"/>
          <w:color w:val="646664"/>
        </w:rPr>
        <w:t xml:space="preserve"> Cons</w:t>
      </w:r>
      <w:r>
        <w:rPr>
          <w:rFonts w:ascii="Times New Roman" w:cs="Times New Roman" w:eastAsia="Times New Roman" w:hAnsi="Times New Roman"/>
          <w:sz w:val="19"/>
          <w:szCs w:val="19"/>
          <w:color w:val="2D2F2F"/>
        </w:rPr>
        <w:t>ultan</w:t>
      </w:r>
      <w:r>
        <w:rPr>
          <w:rFonts w:ascii="Times New Roman" w:cs="Times New Roman" w:eastAsia="Times New Roman" w:hAnsi="Times New Roman"/>
          <w:sz w:val="19"/>
          <w:szCs w:val="19"/>
          <w:color w:val="4F5050"/>
        </w:rPr>
        <w:t>t</w:t>
      </w:r>
      <w:r>
        <w:rPr>
          <w:rFonts w:ascii="Times New Roman" w:cs="Times New Roman" w:eastAsia="Times New Roman" w:hAnsi="Times New Roman"/>
          <w:sz w:val="19"/>
          <w:szCs w:val="19"/>
          <w:color w:val="646664"/>
        </w:rPr>
        <w:t xml:space="preserve"> s</w:t>
      </w:r>
      <w:r>
        <w:rPr>
          <w:rFonts w:ascii="Times New Roman" w:cs="Times New Roman" w:eastAsia="Times New Roman" w:hAnsi="Times New Roman"/>
          <w:sz w:val="19"/>
          <w:szCs w:val="19"/>
          <w:color w:val="3D3F3F"/>
        </w:rPr>
        <w:t>hall</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2D2F2F"/>
        </w:rPr>
        <w:t>pro</w:t>
      </w:r>
      <w:r>
        <w:rPr>
          <w:rFonts w:ascii="Times New Roman" w:cs="Times New Roman" w:eastAsia="Times New Roman" w:hAnsi="Times New Roman"/>
          <w:sz w:val="19"/>
          <w:szCs w:val="19"/>
          <w:color w:val="4F5050"/>
        </w:rPr>
        <w:t>vide</w:t>
      </w:r>
      <w:r>
        <w:rPr>
          <w:rFonts w:ascii="Times New Roman" w:cs="Times New Roman" w:eastAsia="Times New Roman" w:hAnsi="Times New Roman"/>
          <w:sz w:val="19"/>
          <w:szCs w:val="19"/>
          <w:color w:val="646664"/>
        </w:rPr>
        <w:t xml:space="preserve"> se</w:t>
      </w:r>
      <w:r>
        <w:rPr>
          <w:rFonts w:ascii="Times New Roman" w:cs="Times New Roman" w:eastAsia="Times New Roman" w:hAnsi="Times New Roman"/>
          <w:sz w:val="19"/>
          <w:szCs w:val="19"/>
          <w:color w:val="2D2F2F"/>
        </w:rPr>
        <w:t>r</w:t>
      </w:r>
      <w:r>
        <w:rPr>
          <w:rFonts w:ascii="Times New Roman" w:cs="Times New Roman" w:eastAsia="Times New Roman" w:hAnsi="Times New Roman"/>
          <w:sz w:val="19"/>
          <w:szCs w:val="19"/>
          <w:color w:val="4F5050"/>
        </w:rPr>
        <w:t>vices as</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2D2F2F"/>
        </w:rPr>
        <w:t>m</w:t>
      </w:r>
      <w:r>
        <w:rPr>
          <w:rFonts w:ascii="Times New Roman" w:cs="Times New Roman" w:eastAsia="Times New Roman" w:hAnsi="Times New Roman"/>
          <w:sz w:val="19"/>
          <w:szCs w:val="19"/>
          <w:color w:val="4F5050"/>
        </w:rPr>
        <w:t>ay</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be r</w:t>
      </w:r>
      <w:r>
        <w:rPr>
          <w:rFonts w:ascii="Times New Roman" w:cs="Times New Roman" w:eastAsia="Times New Roman" w:hAnsi="Times New Roman"/>
          <w:sz w:val="19"/>
          <w:szCs w:val="19"/>
          <w:color w:val="646664"/>
        </w:rPr>
        <w:t>eq</w:t>
      </w:r>
      <w:r>
        <w:rPr>
          <w:rFonts w:ascii="Times New Roman" w:cs="Times New Roman" w:eastAsia="Times New Roman" w:hAnsi="Times New Roman"/>
          <w:sz w:val="19"/>
          <w:szCs w:val="19"/>
          <w:color w:val="3D3F3F"/>
        </w:rPr>
        <w:t>uested</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by the Co</w:t>
      </w:r>
      <w:r>
        <w:rPr>
          <w:rFonts w:ascii="Times New Roman" w:cs="Times New Roman" w:eastAsia="Times New Roman" w:hAnsi="Times New Roman"/>
          <w:sz w:val="19"/>
          <w:szCs w:val="19"/>
          <w:color w:val="2D2F2F"/>
        </w:rPr>
        <w:t>mp</w:t>
      </w:r>
      <w:r>
        <w:rPr>
          <w:rFonts w:ascii="Times New Roman" w:cs="Times New Roman" w:eastAsia="Times New Roman" w:hAnsi="Times New Roman"/>
          <w:sz w:val="19"/>
          <w:szCs w:val="19"/>
          <w:color w:val="4F5050"/>
        </w:rPr>
        <w:t>a</w:t>
      </w:r>
      <w:r>
        <w:rPr>
          <w:rFonts w:ascii="Times New Roman" w:cs="Times New Roman" w:eastAsia="Times New Roman" w:hAnsi="Times New Roman"/>
          <w:sz w:val="19"/>
          <w:szCs w:val="19"/>
          <w:color w:val="2D2F2F"/>
        </w:rPr>
        <w:t>n</w:t>
      </w:r>
      <w:r>
        <w:rPr>
          <w:rFonts w:ascii="Times New Roman" w:cs="Times New Roman" w:eastAsia="Times New Roman" w:hAnsi="Times New Roman"/>
          <w:sz w:val="19"/>
          <w:szCs w:val="19"/>
          <w:color w:val="4F5050"/>
        </w:rPr>
        <w:t>y (t</w:t>
      </w:r>
      <w:r>
        <w:rPr>
          <w:rFonts w:ascii="Times New Roman" w:cs="Times New Roman" w:eastAsia="Times New Roman" w:hAnsi="Times New Roman"/>
          <w:sz w:val="19"/>
          <w:szCs w:val="19"/>
          <w:color w:val="2D2F2F"/>
        </w:rPr>
        <w:t>h</w:t>
      </w:r>
      <w:r>
        <w:rPr>
          <w:rFonts w:ascii="Times New Roman" w:cs="Times New Roman" w:eastAsia="Times New Roman" w:hAnsi="Times New Roman"/>
          <w:sz w:val="19"/>
          <w:szCs w:val="19"/>
          <w:color w:val="4F5050"/>
        </w:rPr>
        <w:t>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u w:val="single" w:color="auto"/>
          <w:color w:val="646664"/>
        </w:rPr>
        <w:t>"Se</w:t>
      </w:r>
      <w:r>
        <w:rPr>
          <w:rFonts w:ascii="Times New Roman" w:cs="Times New Roman" w:eastAsia="Times New Roman" w:hAnsi="Times New Roman"/>
          <w:sz w:val="19"/>
          <w:szCs w:val="19"/>
          <w:u w:val="single" w:color="auto"/>
          <w:color w:val="3D3F3F"/>
        </w:rPr>
        <w:t>rvices")</w:t>
      </w:r>
      <w:r>
        <w:rPr>
          <w:rFonts w:ascii="Times New Roman" w:cs="Times New Roman" w:eastAsia="Times New Roman" w:hAnsi="Times New Roman"/>
          <w:sz w:val="19"/>
          <w:szCs w:val="19"/>
          <w:color w:val="3D3F3F"/>
        </w:rPr>
        <w:t>. During</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the Tenn,</w:t>
      </w:r>
      <w:r>
        <w:rPr>
          <w:rFonts w:ascii="Times New Roman" w:cs="Times New Roman" w:eastAsia="Times New Roman" w:hAnsi="Times New Roman"/>
          <w:sz w:val="19"/>
          <w:szCs w:val="19"/>
          <w:color w:val="646664"/>
        </w:rPr>
        <w:t xml:space="preserve"> s</w:t>
      </w:r>
      <w:r>
        <w:rPr>
          <w:rFonts w:ascii="Times New Roman" w:cs="Times New Roman" w:eastAsia="Times New Roman" w:hAnsi="Times New Roman"/>
          <w:sz w:val="19"/>
          <w:szCs w:val="19"/>
          <w:color w:val="3D3F3F"/>
        </w:rPr>
        <w:t>uch</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Services</w:t>
      </w:r>
      <w:r>
        <w:rPr>
          <w:rFonts w:ascii="Times New Roman" w:cs="Times New Roman" w:eastAsia="Times New Roman" w:hAnsi="Times New Roman"/>
          <w:sz w:val="19"/>
          <w:szCs w:val="19"/>
          <w:color w:val="646664"/>
        </w:rPr>
        <w:t xml:space="preserve"> shal</w:t>
      </w:r>
      <w:r>
        <w:rPr>
          <w:rFonts w:ascii="Times New Roman" w:cs="Times New Roman" w:eastAsia="Times New Roman" w:hAnsi="Times New Roman"/>
          <w:sz w:val="19"/>
          <w:szCs w:val="19"/>
          <w:color w:val="3D3F3F"/>
        </w:rPr>
        <w:t>l</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include</w:t>
      </w:r>
      <w:r>
        <w:rPr>
          <w:rFonts w:ascii="Times New Roman" w:cs="Times New Roman" w:eastAsia="Times New Roman" w:hAnsi="Times New Roman"/>
          <w:sz w:val="19"/>
          <w:szCs w:val="19"/>
          <w:color w:val="646664"/>
        </w:rPr>
        <w:t>,</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among</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ot</w:t>
      </w:r>
      <w:r>
        <w:rPr>
          <w:rFonts w:ascii="Times New Roman" w:cs="Times New Roman" w:eastAsia="Times New Roman" w:hAnsi="Times New Roman"/>
          <w:sz w:val="19"/>
          <w:szCs w:val="19"/>
          <w:color w:val="2D2F2F"/>
        </w:rPr>
        <w:t>h</w:t>
      </w:r>
      <w:r>
        <w:rPr>
          <w:rFonts w:ascii="Times New Roman" w:cs="Times New Roman" w:eastAsia="Times New Roman" w:hAnsi="Times New Roman"/>
          <w:sz w:val="19"/>
          <w:szCs w:val="19"/>
          <w:color w:val="4F5050"/>
        </w:rPr>
        <w:t>er</w:t>
      </w:r>
      <w:r>
        <w:rPr>
          <w:rFonts w:ascii="Times New Roman" w:cs="Times New Roman" w:eastAsia="Times New Roman" w:hAnsi="Times New Roman"/>
          <w:sz w:val="19"/>
          <w:szCs w:val="19"/>
          <w:color w:val="3D3F3F"/>
        </w:rPr>
        <w:t xml:space="preserve"> thin</w:t>
      </w:r>
      <w:r>
        <w:rPr>
          <w:rFonts w:ascii="Times New Roman" w:cs="Times New Roman" w:eastAsia="Times New Roman" w:hAnsi="Times New Roman"/>
          <w:sz w:val="19"/>
          <w:szCs w:val="19"/>
          <w:color w:val="646664"/>
        </w:rPr>
        <w:t>gs,</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conti</w:t>
      </w:r>
      <w:r>
        <w:rPr>
          <w:rFonts w:ascii="Times New Roman" w:cs="Times New Roman" w:eastAsia="Times New Roman" w:hAnsi="Times New Roman"/>
          <w:sz w:val="19"/>
          <w:szCs w:val="19"/>
          <w:color w:val="2D2F2F"/>
        </w:rPr>
        <w:t>n</w:t>
      </w:r>
      <w:r>
        <w:rPr>
          <w:rFonts w:ascii="Times New Roman" w:cs="Times New Roman" w:eastAsia="Times New Roman" w:hAnsi="Times New Roman"/>
          <w:sz w:val="19"/>
          <w:szCs w:val="19"/>
          <w:color w:val="4F5050"/>
        </w:rPr>
        <w:t>ued</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service</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by Consultant to</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2D2F2F"/>
        </w:rPr>
        <w:t>t</w:t>
      </w:r>
      <w:r>
        <w:rPr>
          <w:rFonts w:ascii="Times New Roman" w:cs="Times New Roman" w:eastAsia="Times New Roman" w:hAnsi="Times New Roman"/>
          <w:sz w:val="19"/>
          <w:szCs w:val="19"/>
          <w:color w:val="4F5050"/>
        </w:rPr>
        <w:t>he</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Co</w:t>
      </w:r>
      <w:r>
        <w:rPr>
          <w:rFonts w:ascii="Times New Roman" w:cs="Times New Roman" w:eastAsia="Times New Roman" w:hAnsi="Times New Roman"/>
          <w:sz w:val="19"/>
          <w:szCs w:val="19"/>
          <w:color w:val="3D3F3F"/>
        </w:rPr>
        <w:t>mpan</w:t>
      </w:r>
      <w:r>
        <w:rPr>
          <w:rFonts w:ascii="Times New Roman" w:cs="Times New Roman" w:eastAsia="Times New Roman" w:hAnsi="Times New Roman"/>
          <w:sz w:val="19"/>
          <w:szCs w:val="19"/>
          <w:color w:val="646664"/>
        </w:rPr>
        <w:t>y as</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its C</w:t>
      </w:r>
      <w:r>
        <w:rPr>
          <w:rFonts w:ascii="Times New Roman" w:cs="Times New Roman" w:eastAsia="Times New Roman" w:hAnsi="Times New Roman"/>
          <w:sz w:val="19"/>
          <w:szCs w:val="19"/>
          <w:color w:val="2D2F2F"/>
        </w:rPr>
        <w:t>h</w:t>
      </w:r>
      <w:r>
        <w:rPr>
          <w:rFonts w:ascii="Times New Roman" w:cs="Times New Roman" w:eastAsia="Times New Roman" w:hAnsi="Times New Roman"/>
          <w:sz w:val="19"/>
          <w:szCs w:val="19"/>
          <w:color w:val="4F5050"/>
        </w:rPr>
        <w:t>ief</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Exec</w:t>
      </w:r>
      <w:r>
        <w:rPr>
          <w:rFonts w:ascii="Times New Roman" w:cs="Times New Roman" w:eastAsia="Times New Roman" w:hAnsi="Times New Roman"/>
          <w:sz w:val="19"/>
          <w:szCs w:val="19"/>
          <w:color w:val="3D3F3F"/>
        </w:rPr>
        <w:t>uti</w:t>
      </w:r>
      <w:r>
        <w:rPr>
          <w:rFonts w:ascii="Times New Roman" w:cs="Times New Roman" w:eastAsia="Times New Roman" w:hAnsi="Times New Roman"/>
          <w:sz w:val="19"/>
          <w:szCs w:val="19"/>
          <w:color w:val="646664"/>
        </w:rPr>
        <w:t>ve</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Officer</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u w:val="single" w:color="auto"/>
          <w:color w:val="646664"/>
        </w:rPr>
        <w:t>("CEO")</w:t>
      </w:r>
      <w:r>
        <w:rPr>
          <w:rFonts w:ascii="Times New Roman" w:cs="Times New Roman" w:eastAsia="Times New Roman" w:hAnsi="Times New Roman"/>
          <w:sz w:val="19"/>
          <w:szCs w:val="19"/>
          <w:color w:val="3D3F3F"/>
        </w:rPr>
        <w:t xml:space="preserve"> and </w:t>
      </w:r>
      <w:r>
        <w:rPr>
          <w:rFonts w:ascii="Times New Roman" w:cs="Times New Roman" w:eastAsia="Times New Roman" w:hAnsi="Times New Roman"/>
          <w:sz w:val="19"/>
          <w:szCs w:val="19"/>
          <w:color w:val="4F5050"/>
        </w:rPr>
        <w:t>Preside</w:t>
      </w:r>
      <w:r>
        <w:rPr>
          <w:rFonts w:ascii="Times New Roman" w:cs="Times New Roman" w:eastAsia="Times New Roman" w:hAnsi="Times New Roman"/>
          <w:sz w:val="19"/>
          <w:szCs w:val="19"/>
          <w:color w:val="2D2F2F"/>
        </w:rPr>
        <w:t>n</w:t>
      </w:r>
      <w:r>
        <w:rPr>
          <w:rFonts w:ascii="Times New Roman" w:cs="Times New Roman" w:eastAsia="Times New Roman" w:hAnsi="Times New Roman"/>
          <w:sz w:val="19"/>
          <w:szCs w:val="19"/>
          <w:color w:val="646664"/>
        </w:rPr>
        <w:t>t</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along</w:t>
      </w:r>
      <w:r>
        <w:rPr>
          <w:rFonts w:ascii="Times New Roman" w:cs="Times New Roman" w:eastAsia="Times New Roman" w:hAnsi="Times New Roman"/>
          <w:sz w:val="19"/>
          <w:szCs w:val="19"/>
          <w:color w:val="646664"/>
        </w:rPr>
        <w:t>wi</w:t>
      </w:r>
      <w:r>
        <w:rPr>
          <w:rFonts w:ascii="Times New Roman" w:cs="Times New Roman" w:eastAsia="Times New Roman" w:hAnsi="Times New Roman"/>
          <w:sz w:val="19"/>
          <w:szCs w:val="19"/>
          <w:color w:val="3D3F3F"/>
        </w:rPr>
        <w:t xml:space="preserve">th </w:t>
      </w:r>
      <w:r>
        <w:rPr>
          <w:rFonts w:ascii="Times New Roman" w:cs="Times New Roman" w:eastAsia="Times New Roman" w:hAnsi="Times New Roman"/>
          <w:sz w:val="19"/>
          <w:szCs w:val="19"/>
          <w:color w:val="646664"/>
        </w:rPr>
        <w:t>a</w:t>
      </w:r>
      <w:r>
        <w:rPr>
          <w:rFonts w:ascii="Times New Roman" w:cs="Times New Roman" w:eastAsia="Times New Roman" w:hAnsi="Times New Roman"/>
          <w:sz w:val="19"/>
          <w:szCs w:val="19"/>
          <w:color w:val="3D3F3F"/>
        </w:rPr>
        <w:t>ll</w:t>
      </w:r>
      <w:r>
        <w:rPr>
          <w:rFonts w:ascii="Times New Roman" w:cs="Times New Roman" w:eastAsia="Times New Roman" w:hAnsi="Times New Roman"/>
          <w:sz w:val="19"/>
          <w:szCs w:val="19"/>
          <w:color w:val="646664"/>
        </w:rPr>
        <w:t xml:space="preserve"> t</w:t>
      </w:r>
      <w:r>
        <w:rPr>
          <w:rFonts w:ascii="Times New Roman" w:cs="Times New Roman" w:eastAsia="Times New Roman" w:hAnsi="Times New Roman"/>
          <w:sz w:val="19"/>
          <w:szCs w:val="19"/>
          <w:color w:val="3D3F3F"/>
        </w:rPr>
        <w:t>he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duties</w:t>
      </w:r>
      <w:r>
        <w:rPr>
          <w:rFonts w:ascii="Times New Roman" w:cs="Times New Roman" w:eastAsia="Times New Roman" w:hAnsi="Times New Roman"/>
          <w:sz w:val="19"/>
          <w:szCs w:val="19"/>
          <w:color w:val="646664"/>
        </w:rPr>
        <w:t xml:space="preserve"> and </w:t>
      </w:r>
      <w:r>
        <w:rPr>
          <w:rFonts w:ascii="Times New Roman" w:cs="Times New Roman" w:eastAsia="Times New Roman" w:hAnsi="Times New Roman"/>
          <w:sz w:val="19"/>
          <w:szCs w:val="19"/>
          <w:color w:val="4F5050"/>
        </w:rPr>
        <w:t>respon</w:t>
      </w:r>
      <w:r>
        <w:rPr>
          <w:rFonts w:ascii="Times New Roman" w:cs="Times New Roman" w:eastAsia="Times New Roman" w:hAnsi="Times New Roman"/>
          <w:sz w:val="19"/>
          <w:szCs w:val="19"/>
          <w:color w:val="7B7C7C"/>
        </w:rPr>
        <w:t>s</w:t>
      </w:r>
      <w:r>
        <w:rPr>
          <w:rFonts w:ascii="Times New Roman" w:cs="Times New Roman" w:eastAsia="Times New Roman" w:hAnsi="Times New Roman"/>
          <w:sz w:val="19"/>
          <w:szCs w:val="19"/>
          <w:color w:val="3D3F3F"/>
        </w:rPr>
        <w:t>ibi</w:t>
      </w:r>
      <w:r>
        <w:rPr>
          <w:rFonts w:ascii="Times New Roman" w:cs="Times New Roman" w:eastAsia="Times New Roman" w:hAnsi="Times New Roman"/>
          <w:sz w:val="19"/>
          <w:szCs w:val="19"/>
          <w:color w:val="646664"/>
        </w:rPr>
        <w:t>li</w:t>
      </w:r>
      <w:r>
        <w:rPr>
          <w:rFonts w:ascii="Times New Roman" w:cs="Times New Roman" w:eastAsia="Times New Roman" w:hAnsi="Times New Roman"/>
          <w:sz w:val="19"/>
          <w:szCs w:val="19"/>
          <w:color w:val="3D3F3F"/>
        </w:rPr>
        <w:t>tie</w:t>
      </w:r>
      <w:r>
        <w:rPr>
          <w:rFonts w:ascii="Times New Roman" w:cs="Times New Roman" w:eastAsia="Times New Roman" w:hAnsi="Times New Roman"/>
          <w:sz w:val="19"/>
          <w:szCs w:val="19"/>
          <w:color w:val="646664"/>
        </w:rPr>
        <w:t xml:space="preserve">s </w:t>
      </w:r>
      <w:r>
        <w:rPr>
          <w:rFonts w:ascii="Times New Roman" w:cs="Times New Roman" w:eastAsia="Times New Roman" w:hAnsi="Times New Roman"/>
          <w:sz w:val="19"/>
          <w:szCs w:val="19"/>
          <w:color w:val="4F5050"/>
        </w:rPr>
        <w:t>that customari</w:t>
      </w:r>
      <w:r>
        <w:rPr>
          <w:rFonts w:ascii="Times New Roman" w:cs="Times New Roman" w:eastAsia="Times New Roman" w:hAnsi="Times New Roman"/>
          <w:sz w:val="19"/>
          <w:szCs w:val="19"/>
          <w:color w:val="1D1F1F"/>
        </w:rPr>
        <w:t>l</w:t>
      </w:r>
      <w:r>
        <w:rPr>
          <w:rFonts w:ascii="Times New Roman" w:cs="Times New Roman" w:eastAsia="Times New Roman" w:hAnsi="Times New Roman"/>
          <w:sz w:val="19"/>
          <w:szCs w:val="19"/>
          <w:color w:val="646664"/>
        </w:rPr>
        <w:t>y go w</w:t>
      </w:r>
      <w:r>
        <w:rPr>
          <w:rFonts w:ascii="Times New Roman" w:cs="Times New Roman" w:eastAsia="Times New Roman" w:hAnsi="Times New Roman"/>
          <w:sz w:val="19"/>
          <w:szCs w:val="19"/>
          <w:color w:val="3D3F3F"/>
        </w:rPr>
        <w:t>ith</w:t>
      </w:r>
      <w:r>
        <w:rPr>
          <w:rFonts w:ascii="Times New Roman" w:cs="Times New Roman" w:eastAsia="Times New Roman" w:hAnsi="Times New Roman"/>
          <w:sz w:val="19"/>
          <w:szCs w:val="19"/>
          <w:color w:val="646664"/>
        </w:rPr>
        <w:t xml:space="preserve"> servi</w:t>
      </w:r>
      <w:r>
        <w:rPr>
          <w:rFonts w:ascii="Times New Roman" w:cs="Times New Roman" w:eastAsia="Times New Roman" w:hAnsi="Times New Roman"/>
          <w:sz w:val="19"/>
          <w:szCs w:val="19"/>
          <w:color w:val="3D3F3F"/>
        </w:rPr>
        <w:t>ng</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the Company as</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i</w:t>
      </w:r>
      <w:r>
        <w:rPr>
          <w:rFonts w:ascii="Times New Roman" w:cs="Times New Roman" w:eastAsia="Times New Roman" w:hAnsi="Times New Roman"/>
          <w:sz w:val="19"/>
          <w:szCs w:val="19"/>
          <w:color w:val="646664"/>
        </w:rPr>
        <w:t xml:space="preserve">ts CEO. Consultant shall </w:t>
      </w:r>
      <w:r>
        <w:rPr>
          <w:rFonts w:ascii="Times New Roman" w:cs="Times New Roman" w:eastAsia="Times New Roman" w:hAnsi="Times New Roman"/>
          <w:sz w:val="19"/>
          <w:szCs w:val="19"/>
          <w:color w:val="4F5050"/>
        </w:rPr>
        <w:t>devote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n</w:t>
      </w:r>
      <w:r>
        <w:rPr>
          <w:rFonts w:ascii="Times New Roman" w:cs="Times New Roman" w:eastAsia="Times New Roman" w:hAnsi="Times New Roman"/>
          <w:sz w:val="19"/>
          <w:szCs w:val="19"/>
          <w:color w:val="646664"/>
        </w:rPr>
        <w:t xml:space="preserve">o </w:t>
      </w:r>
      <w:r>
        <w:rPr>
          <w:rFonts w:ascii="Times New Roman" w:cs="Times New Roman" w:eastAsia="Times New Roman" w:hAnsi="Times New Roman"/>
          <w:sz w:val="19"/>
          <w:szCs w:val="19"/>
          <w:color w:val="4F5050"/>
        </w:rPr>
        <w:t>more than</w:t>
      </w:r>
      <w:r>
        <w:rPr>
          <w:rFonts w:ascii="Times New Roman" w:cs="Times New Roman" w:eastAsia="Times New Roman" w:hAnsi="Times New Roman"/>
          <w:sz w:val="19"/>
          <w:szCs w:val="19"/>
          <w:color w:val="646664"/>
        </w:rPr>
        <w:t xml:space="preserve"> 24 </w:t>
      </w:r>
      <w:r>
        <w:rPr>
          <w:rFonts w:ascii="Times New Roman" w:cs="Times New Roman" w:eastAsia="Times New Roman" w:hAnsi="Times New Roman"/>
          <w:sz w:val="19"/>
          <w:szCs w:val="19"/>
          <w:color w:val="3D3F3F"/>
        </w:rPr>
        <w:t>hour</w:t>
      </w:r>
      <w:r>
        <w:rPr>
          <w:rFonts w:ascii="Times New Roman" w:cs="Times New Roman" w:eastAsia="Times New Roman" w:hAnsi="Times New Roman"/>
          <w:sz w:val="19"/>
          <w:szCs w:val="19"/>
          <w:color w:val="646664"/>
        </w:rPr>
        <w:t xml:space="preserve">s </w:t>
      </w:r>
      <w:r>
        <w:rPr>
          <w:rFonts w:ascii="Times New Roman" w:cs="Times New Roman" w:eastAsia="Times New Roman" w:hAnsi="Times New Roman"/>
          <w:sz w:val="19"/>
          <w:szCs w:val="19"/>
          <w:color w:val="3D3F3F"/>
        </w:rPr>
        <w:t>per</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 xml:space="preserve">month </w:t>
      </w:r>
      <w:r>
        <w:rPr>
          <w:rFonts w:ascii="Times New Roman" w:cs="Times New Roman" w:eastAsia="Times New Roman" w:hAnsi="Times New Roman"/>
          <w:sz w:val="19"/>
          <w:szCs w:val="19"/>
          <w:color w:val="4F5050"/>
        </w:rPr>
        <w:t>to</w:t>
      </w:r>
      <w:r>
        <w:rPr>
          <w:rFonts w:ascii="Times New Roman" w:cs="Times New Roman" w:eastAsia="Times New Roman" w:hAnsi="Times New Roman"/>
          <w:sz w:val="19"/>
          <w:szCs w:val="19"/>
          <w:color w:val="3D3F3F"/>
        </w:rPr>
        <w:t xml:space="preserve"> performing </w:t>
      </w:r>
      <w:r>
        <w:rPr>
          <w:rFonts w:ascii="Times New Roman" w:cs="Times New Roman" w:eastAsia="Times New Roman" w:hAnsi="Times New Roman"/>
          <w:sz w:val="19"/>
          <w:szCs w:val="19"/>
          <w:color w:val="4F5050"/>
        </w:rPr>
        <w:t>the Serv</w:t>
      </w:r>
      <w:r>
        <w:rPr>
          <w:rFonts w:ascii="Times New Roman" w:cs="Times New Roman" w:eastAsia="Times New Roman" w:hAnsi="Times New Roman"/>
          <w:sz w:val="19"/>
          <w:szCs w:val="19"/>
          <w:color w:val="2D2F2F"/>
        </w:rPr>
        <w:t>i</w:t>
      </w:r>
      <w:r>
        <w:rPr>
          <w:rFonts w:ascii="Times New Roman" w:cs="Times New Roman" w:eastAsia="Times New Roman" w:hAnsi="Times New Roman"/>
          <w:sz w:val="19"/>
          <w:szCs w:val="19"/>
          <w:color w:val="4F5050"/>
        </w:rPr>
        <w:t>ces</w:t>
      </w:r>
      <w:r>
        <w:rPr>
          <w:rFonts w:ascii="Times New Roman" w:cs="Times New Roman" w:eastAsia="Times New Roman" w:hAnsi="Times New Roman"/>
          <w:sz w:val="19"/>
          <w:szCs w:val="19"/>
          <w:color w:val="3D3F3F"/>
        </w:rPr>
        <w:t xml:space="preserve"> hereunder </w:t>
      </w:r>
      <w:r>
        <w:rPr>
          <w:rFonts w:ascii="Times New Roman" w:cs="Times New Roman" w:eastAsia="Times New Roman" w:hAnsi="Times New Roman"/>
          <w:sz w:val="19"/>
          <w:szCs w:val="19"/>
          <w:color w:val="4F5050"/>
        </w:rPr>
        <w:t>without</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2D2F2F"/>
        </w:rPr>
        <w:t>t</w:t>
      </w:r>
      <w:r>
        <w:rPr>
          <w:rFonts w:ascii="Times New Roman" w:cs="Times New Roman" w:eastAsia="Times New Roman" w:hAnsi="Times New Roman"/>
          <w:sz w:val="19"/>
          <w:szCs w:val="19"/>
          <w:color w:val="4F5050"/>
        </w:rPr>
        <w:t>he expresse</w:t>
      </w:r>
      <w:r>
        <w:rPr>
          <w:rFonts w:ascii="Times New Roman" w:cs="Times New Roman" w:eastAsia="Times New Roman" w:hAnsi="Times New Roman"/>
          <w:sz w:val="19"/>
          <w:szCs w:val="19"/>
          <w:color w:val="2D2F2F"/>
        </w:rPr>
        <w:t>d</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written</w:t>
      </w:r>
      <w:r>
        <w:rPr>
          <w:rFonts w:ascii="Times New Roman" w:cs="Times New Roman" w:eastAsia="Times New Roman" w:hAnsi="Times New Roman"/>
          <w:sz w:val="19"/>
          <w:szCs w:val="19"/>
          <w:color w:val="3D3F3F"/>
        </w:rPr>
        <w:t xml:space="preserve"> consent </w:t>
      </w:r>
      <w:r>
        <w:rPr>
          <w:rFonts w:ascii="Times New Roman" w:cs="Times New Roman" w:eastAsia="Times New Roman" w:hAnsi="Times New Roman"/>
          <w:sz w:val="19"/>
          <w:szCs w:val="19"/>
          <w:color w:val="4F5050"/>
        </w:rPr>
        <w:t>of</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2D2F2F"/>
        </w:rPr>
        <w:t>th</w:t>
      </w:r>
      <w:r>
        <w:rPr>
          <w:rFonts w:ascii="Times New Roman" w:cs="Times New Roman" w:eastAsia="Times New Roman" w:hAnsi="Times New Roman"/>
          <w:sz w:val="19"/>
          <w:szCs w:val="19"/>
          <w:color w:val="4F5050"/>
        </w:rPr>
        <w:t>e</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Co</w:t>
      </w:r>
      <w:r>
        <w:rPr>
          <w:rFonts w:ascii="Times New Roman" w:cs="Times New Roman" w:eastAsia="Times New Roman" w:hAnsi="Times New Roman"/>
          <w:sz w:val="19"/>
          <w:szCs w:val="19"/>
          <w:color w:val="2D2F2F"/>
        </w:rPr>
        <w:t>mp</w:t>
      </w:r>
      <w:r>
        <w:rPr>
          <w:rFonts w:ascii="Times New Roman" w:cs="Times New Roman" w:eastAsia="Times New Roman" w:hAnsi="Times New Roman"/>
          <w:sz w:val="19"/>
          <w:szCs w:val="19"/>
          <w:color w:val="4F5050"/>
        </w:rPr>
        <w:t>a</w:t>
      </w:r>
      <w:r>
        <w:rPr>
          <w:rFonts w:ascii="Times New Roman" w:cs="Times New Roman" w:eastAsia="Times New Roman" w:hAnsi="Times New Roman"/>
          <w:sz w:val="19"/>
          <w:szCs w:val="19"/>
          <w:color w:val="2D2F2F"/>
        </w:rPr>
        <w:t>n</w:t>
      </w:r>
      <w:r>
        <w:rPr>
          <w:rFonts w:ascii="Times New Roman" w:cs="Times New Roman" w:eastAsia="Times New Roman" w:hAnsi="Times New Roman"/>
          <w:sz w:val="19"/>
          <w:szCs w:val="19"/>
          <w:color w:val="4F5050"/>
        </w:rPr>
        <w:t>y Contact.</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2D2F2F"/>
        </w:rPr>
        <w:t>In</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add</w:t>
      </w:r>
      <w:r>
        <w:rPr>
          <w:rFonts w:ascii="Times New Roman" w:cs="Times New Roman" w:eastAsia="Times New Roman" w:hAnsi="Times New Roman"/>
          <w:sz w:val="19"/>
          <w:szCs w:val="19"/>
          <w:color w:val="1D1F1F"/>
        </w:rPr>
        <w:t>i</w:t>
      </w:r>
      <w:r>
        <w:rPr>
          <w:rFonts w:ascii="Times New Roman" w:cs="Times New Roman" w:eastAsia="Times New Roman" w:hAnsi="Times New Roman"/>
          <w:sz w:val="19"/>
          <w:szCs w:val="19"/>
          <w:color w:val="3D3F3F"/>
        </w:rPr>
        <w:t xml:space="preserve">tion </w:t>
      </w:r>
      <w:r>
        <w:rPr>
          <w:rFonts w:ascii="Times New Roman" w:cs="Times New Roman" w:eastAsia="Times New Roman" w:hAnsi="Times New Roman"/>
          <w:sz w:val="19"/>
          <w:szCs w:val="19"/>
          <w:color w:val="4F5050"/>
        </w:rPr>
        <w:t>to</w:t>
      </w:r>
      <w:r>
        <w:rPr>
          <w:rFonts w:ascii="Times New Roman" w:cs="Times New Roman" w:eastAsia="Times New Roman" w:hAnsi="Times New Roman"/>
          <w:sz w:val="19"/>
          <w:szCs w:val="19"/>
          <w:color w:val="3D3F3F"/>
        </w:rPr>
        <w:t xml:space="preserve"> the </w:t>
      </w:r>
      <w:r>
        <w:rPr>
          <w:rFonts w:ascii="Times New Roman" w:cs="Times New Roman" w:eastAsia="Times New Roman" w:hAnsi="Times New Roman"/>
          <w:sz w:val="19"/>
          <w:szCs w:val="19"/>
          <w:color w:val="4F5050"/>
        </w:rPr>
        <w:t>Services,</w:t>
      </w:r>
      <w:r>
        <w:rPr>
          <w:rFonts w:ascii="Times New Roman" w:cs="Times New Roman" w:eastAsia="Times New Roman" w:hAnsi="Times New Roman"/>
          <w:sz w:val="19"/>
          <w:szCs w:val="19"/>
          <w:color w:val="3D3F3F"/>
        </w:rPr>
        <w:t xml:space="preserve"> Con</w:t>
      </w:r>
      <w:r>
        <w:rPr>
          <w:rFonts w:ascii="Times New Roman" w:cs="Times New Roman" w:eastAsia="Times New Roman" w:hAnsi="Times New Roman"/>
          <w:sz w:val="19"/>
          <w:szCs w:val="19"/>
          <w:color w:val="646664"/>
        </w:rPr>
        <w:t>s</w:t>
      </w:r>
      <w:r>
        <w:rPr>
          <w:rFonts w:ascii="Times New Roman" w:cs="Times New Roman" w:eastAsia="Times New Roman" w:hAnsi="Times New Roman"/>
          <w:sz w:val="19"/>
          <w:szCs w:val="19"/>
          <w:color w:val="3D3F3F"/>
        </w:rPr>
        <w:t xml:space="preserve">ultant </w:t>
      </w:r>
      <w:r>
        <w:rPr>
          <w:rFonts w:ascii="Times New Roman" w:cs="Times New Roman" w:eastAsia="Times New Roman" w:hAnsi="Times New Roman"/>
          <w:sz w:val="19"/>
          <w:szCs w:val="19"/>
          <w:color w:val="4F5050"/>
        </w:rPr>
        <w:t>con</w:t>
      </w:r>
      <w:r>
        <w:rPr>
          <w:rFonts w:ascii="Times New Roman" w:cs="Times New Roman" w:eastAsia="Times New Roman" w:hAnsi="Times New Roman"/>
          <w:sz w:val="19"/>
          <w:szCs w:val="19"/>
          <w:color w:val="2D2F2F"/>
        </w:rPr>
        <w:t>t</w:t>
      </w:r>
      <w:r>
        <w:rPr>
          <w:rFonts w:ascii="Times New Roman" w:cs="Times New Roman" w:eastAsia="Times New Roman" w:hAnsi="Times New Roman"/>
          <w:sz w:val="19"/>
          <w:szCs w:val="19"/>
          <w:color w:val="4F5050"/>
        </w:rPr>
        <w:t>inues to</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serve</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the Company as a</w:t>
      </w:r>
      <w:r>
        <w:rPr>
          <w:rFonts w:ascii="Times New Roman" w:cs="Times New Roman" w:eastAsia="Times New Roman" w:hAnsi="Times New Roman"/>
          <w:sz w:val="19"/>
          <w:szCs w:val="19"/>
          <w:color w:val="3D3F3F"/>
        </w:rPr>
        <w:t xml:space="preserve"> m</w:t>
      </w:r>
      <w:r>
        <w:rPr>
          <w:rFonts w:ascii="Times New Roman" w:cs="Times New Roman" w:eastAsia="Times New Roman" w:hAnsi="Times New Roman"/>
          <w:sz w:val="19"/>
          <w:szCs w:val="19"/>
          <w:color w:val="646664"/>
        </w:rPr>
        <w:t>em</w:t>
      </w:r>
      <w:r>
        <w:rPr>
          <w:rFonts w:ascii="Times New Roman" w:cs="Times New Roman" w:eastAsia="Times New Roman" w:hAnsi="Times New Roman"/>
          <w:sz w:val="19"/>
          <w:szCs w:val="19"/>
          <w:color w:val="3D3F3F"/>
        </w:rPr>
        <w:t>be</w:t>
      </w:r>
      <w:r>
        <w:rPr>
          <w:rFonts w:ascii="Times New Roman" w:cs="Times New Roman" w:eastAsia="Times New Roman" w:hAnsi="Times New Roman"/>
          <w:sz w:val="19"/>
          <w:szCs w:val="19"/>
          <w:color w:val="1D1F1F"/>
        </w:rPr>
        <w:t>r</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of its</w:t>
      </w:r>
      <w:r>
        <w:rPr>
          <w:rFonts w:ascii="Times New Roman" w:cs="Times New Roman" w:eastAsia="Times New Roman" w:hAnsi="Times New Roman"/>
          <w:sz w:val="19"/>
          <w:szCs w:val="19"/>
          <w:color w:val="3D3F3F"/>
        </w:rPr>
        <w:t xml:space="preserve"> B</w:t>
      </w:r>
      <w:r>
        <w:rPr>
          <w:rFonts w:ascii="Times New Roman" w:cs="Times New Roman" w:eastAsia="Times New Roman" w:hAnsi="Times New Roman"/>
          <w:sz w:val="19"/>
          <w:szCs w:val="19"/>
          <w:color w:val="646664"/>
        </w:rPr>
        <w:t>oard of</w:t>
      </w:r>
      <w:r>
        <w:rPr>
          <w:rFonts w:ascii="Times New Roman" w:cs="Times New Roman" w:eastAsia="Times New Roman" w:hAnsi="Times New Roman"/>
          <w:sz w:val="19"/>
          <w:szCs w:val="19"/>
          <w:color w:val="3D3F3F"/>
        </w:rPr>
        <w:t xml:space="preserve"> Dir</w:t>
      </w:r>
      <w:r>
        <w:rPr>
          <w:rFonts w:ascii="Times New Roman" w:cs="Times New Roman" w:eastAsia="Times New Roman" w:hAnsi="Times New Roman"/>
          <w:sz w:val="19"/>
          <w:szCs w:val="19"/>
          <w:color w:val="646664"/>
        </w:rPr>
        <w:t>ecto</w:t>
      </w:r>
      <w:r>
        <w:rPr>
          <w:rFonts w:ascii="Times New Roman" w:cs="Times New Roman" w:eastAsia="Times New Roman" w:hAnsi="Times New Roman"/>
          <w:sz w:val="19"/>
          <w:szCs w:val="19"/>
          <w:color w:val="3D3F3F"/>
        </w:rPr>
        <w:t>r</w:t>
      </w:r>
      <w:r>
        <w:rPr>
          <w:rFonts w:ascii="Times New Roman" w:cs="Times New Roman" w:eastAsia="Times New Roman" w:hAnsi="Times New Roman"/>
          <w:sz w:val="19"/>
          <w:szCs w:val="19"/>
          <w:color w:val="646664"/>
        </w:rPr>
        <w:t>s.</w:t>
      </w:r>
    </w:p>
    <w:p>
      <w:pPr>
        <w:spacing w:after="0" w:line="157" w:lineRule="exact"/>
        <w:rPr>
          <w:rFonts w:ascii="Times New Roman" w:cs="Times New Roman" w:eastAsia="Times New Roman" w:hAnsi="Times New Roman"/>
          <w:sz w:val="19"/>
          <w:szCs w:val="19"/>
          <w:u w:val="single" w:color="auto"/>
          <w:color w:val="646664"/>
        </w:rPr>
      </w:pPr>
    </w:p>
    <w:p>
      <w:pPr>
        <w:jc w:val="both"/>
        <w:ind w:left="160"/>
        <w:spacing w:after="0" w:line="253" w:lineRule="auto"/>
        <w:tabs>
          <w:tab w:leader="none" w:pos="380" w:val="left"/>
        </w:tabs>
        <w:numPr>
          <w:ilvl w:val="0"/>
          <w:numId w:val="53"/>
        </w:numPr>
        <w:rPr>
          <w:rFonts w:ascii="Times New Roman" w:cs="Times New Roman" w:eastAsia="Times New Roman" w:hAnsi="Times New Roman"/>
          <w:sz w:val="19"/>
          <w:szCs w:val="19"/>
          <w:u w:val="single" w:color="auto"/>
          <w:color w:val="4F5050"/>
        </w:rPr>
      </w:pPr>
      <w:r>
        <w:rPr>
          <w:rFonts w:ascii="Times New Roman" w:cs="Times New Roman" w:eastAsia="Times New Roman" w:hAnsi="Times New Roman"/>
          <w:sz w:val="19"/>
          <w:szCs w:val="19"/>
          <w:u w:val="single" w:color="auto"/>
          <w:color w:val="4F5050"/>
        </w:rPr>
        <w:t>Com</w:t>
      </w:r>
      <w:r>
        <w:rPr>
          <w:rFonts w:ascii="Times New Roman" w:cs="Times New Roman" w:eastAsia="Times New Roman" w:hAnsi="Times New Roman"/>
          <w:sz w:val="19"/>
          <w:szCs w:val="19"/>
          <w:u w:val="single" w:color="auto"/>
          <w:color w:val="2D2F2F"/>
        </w:rPr>
        <w:t>p</w:t>
      </w:r>
      <w:r>
        <w:rPr>
          <w:rFonts w:ascii="Times New Roman" w:cs="Times New Roman" w:eastAsia="Times New Roman" w:hAnsi="Times New Roman"/>
          <w:sz w:val="19"/>
          <w:szCs w:val="19"/>
          <w:u w:val="single" w:color="auto"/>
          <w:color w:val="4F5050"/>
        </w:rPr>
        <w:t>e</w:t>
      </w:r>
      <w:r>
        <w:rPr>
          <w:rFonts w:ascii="Times New Roman" w:cs="Times New Roman" w:eastAsia="Times New Roman" w:hAnsi="Times New Roman"/>
          <w:sz w:val="19"/>
          <w:szCs w:val="19"/>
          <w:u w:val="single" w:color="auto"/>
          <w:color w:val="2D2F2F"/>
        </w:rPr>
        <w:t>nsa</w:t>
      </w:r>
      <w:r>
        <w:rPr>
          <w:rFonts w:ascii="Times New Roman" w:cs="Times New Roman" w:eastAsia="Times New Roman" w:hAnsi="Times New Roman"/>
          <w:sz w:val="19"/>
          <w:szCs w:val="19"/>
          <w:u w:val="single" w:color="auto"/>
          <w:color w:val="4F5050"/>
        </w:rPr>
        <w:t>t</w:t>
      </w:r>
      <w:r>
        <w:rPr>
          <w:rFonts w:ascii="Times New Roman" w:cs="Times New Roman" w:eastAsia="Times New Roman" w:hAnsi="Times New Roman"/>
          <w:sz w:val="19"/>
          <w:szCs w:val="19"/>
          <w:u w:val="single" w:color="auto"/>
          <w:color w:val="1D1F1F"/>
        </w:rPr>
        <w:t>i</w:t>
      </w:r>
      <w:r>
        <w:rPr>
          <w:rFonts w:ascii="Times New Roman" w:cs="Times New Roman" w:eastAsia="Times New Roman" w:hAnsi="Times New Roman"/>
          <w:sz w:val="19"/>
          <w:szCs w:val="19"/>
          <w:u w:val="single" w:color="auto"/>
          <w:color w:val="4F5050"/>
        </w:rPr>
        <w:t>on</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2D2F2F"/>
        </w:rPr>
        <w:t>In</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3D3F3F"/>
        </w:rPr>
        <w:t>con</w:t>
      </w:r>
      <w:r>
        <w:rPr>
          <w:rFonts w:ascii="Times New Roman" w:cs="Times New Roman" w:eastAsia="Times New Roman" w:hAnsi="Times New Roman"/>
          <w:sz w:val="19"/>
          <w:szCs w:val="19"/>
          <w:color w:val="646664"/>
        </w:rPr>
        <w:t>si</w:t>
      </w:r>
      <w:r>
        <w:rPr>
          <w:rFonts w:ascii="Times New Roman" w:cs="Times New Roman" w:eastAsia="Times New Roman" w:hAnsi="Times New Roman"/>
          <w:sz w:val="19"/>
          <w:szCs w:val="19"/>
          <w:color w:val="3D3F3F"/>
        </w:rPr>
        <w:t>deration</w:t>
      </w:r>
      <w:r>
        <w:rPr>
          <w:rFonts w:ascii="Times New Roman" w:cs="Times New Roman" w:eastAsia="Times New Roman" w:hAnsi="Times New Roman"/>
          <w:sz w:val="19"/>
          <w:szCs w:val="19"/>
          <w:color w:val="4F5050"/>
        </w:rPr>
        <w:t xml:space="preserve"> of the Serv</w:t>
      </w:r>
      <w:r>
        <w:rPr>
          <w:rFonts w:ascii="Times New Roman" w:cs="Times New Roman" w:eastAsia="Times New Roman" w:hAnsi="Times New Roman"/>
          <w:sz w:val="19"/>
          <w:szCs w:val="19"/>
          <w:color w:val="2D2F2F"/>
        </w:rPr>
        <w:t>i</w:t>
      </w:r>
      <w:r>
        <w:rPr>
          <w:rFonts w:ascii="Times New Roman" w:cs="Times New Roman" w:eastAsia="Times New Roman" w:hAnsi="Times New Roman"/>
          <w:sz w:val="19"/>
          <w:szCs w:val="19"/>
          <w:color w:val="4F5050"/>
        </w:rPr>
        <w:t xml:space="preserve">ces </w:t>
      </w:r>
      <w:r>
        <w:rPr>
          <w:rFonts w:ascii="Times New Roman" w:cs="Times New Roman" w:eastAsia="Times New Roman" w:hAnsi="Times New Roman"/>
          <w:sz w:val="19"/>
          <w:szCs w:val="19"/>
          <w:color w:val="1D1F1F"/>
        </w:rPr>
        <w:t>p</w:t>
      </w:r>
      <w:r>
        <w:rPr>
          <w:rFonts w:ascii="Times New Roman" w:cs="Times New Roman" w:eastAsia="Times New Roman" w:hAnsi="Times New Roman"/>
          <w:sz w:val="19"/>
          <w:szCs w:val="19"/>
          <w:color w:val="3D3F3F"/>
        </w:rPr>
        <w:t>erformed</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2D2F2F"/>
        </w:rPr>
        <w:t>b</w:t>
      </w:r>
      <w:r>
        <w:rPr>
          <w:rFonts w:ascii="Times New Roman" w:cs="Times New Roman" w:eastAsia="Times New Roman" w:hAnsi="Times New Roman"/>
          <w:sz w:val="19"/>
          <w:szCs w:val="19"/>
          <w:color w:val="4F5050"/>
        </w:rPr>
        <w:t>y Consu</w:t>
      </w:r>
      <w:r>
        <w:rPr>
          <w:rFonts w:ascii="Times New Roman" w:cs="Times New Roman" w:eastAsia="Times New Roman" w:hAnsi="Times New Roman"/>
          <w:sz w:val="19"/>
          <w:szCs w:val="19"/>
          <w:color w:val="1D1F1F"/>
        </w:rPr>
        <w:t>l</w:t>
      </w:r>
      <w:r>
        <w:rPr>
          <w:rFonts w:ascii="Times New Roman" w:cs="Times New Roman" w:eastAsia="Times New Roman" w:hAnsi="Times New Roman"/>
          <w:sz w:val="19"/>
          <w:szCs w:val="19"/>
          <w:color w:val="4F5050"/>
        </w:rPr>
        <w:t>ta</w:t>
      </w:r>
      <w:r>
        <w:rPr>
          <w:rFonts w:ascii="Times New Roman" w:cs="Times New Roman" w:eastAsia="Times New Roman" w:hAnsi="Times New Roman"/>
          <w:sz w:val="19"/>
          <w:szCs w:val="19"/>
          <w:color w:val="2D2F2F"/>
        </w:rPr>
        <w:t>nt un</w:t>
      </w:r>
      <w:r>
        <w:rPr>
          <w:rFonts w:ascii="Times New Roman" w:cs="Times New Roman" w:eastAsia="Times New Roman" w:hAnsi="Times New Roman"/>
          <w:sz w:val="19"/>
          <w:szCs w:val="19"/>
          <w:color w:val="4F5050"/>
        </w:rPr>
        <w:t>der the Consulti</w:t>
      </w:r>
      <w:r>
        <w:rPr>
          <w:rFonts w:ascii="Times New Roman" w:cs="Times New Roman" w:eastAsia="Times New Roman" w:hAnsi="Times New Roman"/>
          <w:sz w:val="19"/>
          <w:szCs w:val="19"/>
          <w:color w:val="1D1F1F"/>
        </w:rPr>
        <w:t>n</w:t>
      </w:r>
      <w:r>
        <w:rPr>
          <w:rFonts w:ascii="Times New Roman" w:cs="Times New Roman" w:eastAsia="Times New Roman" w:hAnsi="Times New Roman"/>
          <w:sz w:val="19"/>
          <w:szCs w:val="19"/>
          <w:color w:val="4F5050"/>
        </w:rPr>
        <w:t>g Ag</w:t>
      </w:r>
      <w:r>
        <w:rPr>
          <w:rFonts w:ascii="Times New Roman" w:cs="Times New Roman" w:eastAsia="Times New Roman" w:hAnsi="Times New Roman"/>
          <w:sz w:val="19"/>
          <w:szCs w:val="19"/>
          <w:color w:val="2D2F2F"/>
        </w:rPr>
        <w:t>re</w:t>
      </w:r>
      <w:r>
        <w:rPr>
          <w:rFonts w:ascii="Times New Roman" w:cs="Times New Roman" w:eastAsia="Times New Roman" w:hAnsi="Times New Roman"/>
          <w:sz w:val="19"/>
          <w:szCs w:val="19"/>
          <w:color w:val="4F5050"/>
        </w:rPr>
        <w:t>ement</w:t>
      </w:r>
      <w:r>
        <w:rPr>
          <w:rFonts w:ascii="Times New Roman" w:cs="Times New Roman" w:eastAsia="Times New Roman" w:hAnsi="Times New Roman"/>
          <w:sz w:val="19"/>
          <w:szCs w:val="19"/>
          <w:color w:val="7B7C7C"/>
        </w:rPr>
        <w:t>,</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2D2F2F"/>
        </w:rPr>
        <w:t>the</w:t>
      </w:r>
      <w:r>
        <w:rPr>
          <w:rFonts w:ascii="Times New Roman" w:cs="Times New Roman" w:eastAsia="Times New Roman" w:hAnsi="Times New Roman"/>
          <w:sz w:val="19"/>
          <w:szCs w:val="19"/>
          <w:color w:val="4F5050"/>
        </w:rPr>
        <w:t xml:space="preserve"> Company shall </w:t>
      </w:r>
      <w:r>
        <w:rPr>
          <w:rFonts w:ascii="Times New Roman" w:cs="Times New Roman" w:eastAsia="Times New Roman" w:hAnsi="Times New Roman"/>
          <w:sz w:val="19"/>
          <w:szCs w:val="19"/>
          <w:color w:val="3D3F3F"/>
        </w:rPr>
        <w:t>pa</w:t>
      </w:r>
      <w:r>
        <w:rPr>
          <w:rFonts w:ascii="Times New Roman" w:cs="Times New Roman" w:eastAsia="Times New Roman" w:hAnsi="Times New Roman"/>
          <w:sz w:val="19"/>
          <w:szCs w:val="19"/>
          <w:color w:val="646664"/>
        </w:rPr>
        <w:t>y</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3D3F3F"/>
        </w:rPr>
        <w:t>to</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646664"/>
        </w:rPr>
        <w:t>Cons</w:t>
      </w:r>
      <w:r>
        <w:rPr>
          <w:rFonts w:ascii="Times New Roman" w:cs="Times New Roman" w:eastAsia="Times New Roman" w:hAnsi="Times New Roman"/>
          <w:sz w:val="19"/>
          <w:szCs w:val="19"/>
          <w:color w:val="3D3F3F"/>
        </w:rPr>
        <w:t>ultant</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$500 per</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h</w:t>
      </w:r>
      <w:r>
        <w:rPr>
          <w:rFonts w:ascii="Times New Roman" w:cs="Times New Roman" w:eastAsia="Times New Roman" w:hAnsi="Times New Roman"/>
          <w:sz w:val="19"/>
          <w:szCs w:val="19"/>
          <w:color w:val="646664"/>
        </w:rPr>
        <w:t xml:space="preserve">our </w:t>
      </w:r>
      <w:r>
        <w:rPr>
          <w:rFonts w:ascii="Times New Roman" w:cs="Times New Roman" w:eastAsia="Times New Roman" w:hAnsi="Times New Roman"/>
          <w:sz w:val="19"/>
          <w:szCs w:val="19"/>
          <w:color w:val="4F5050"/>
        </w:rPr>
        <w:t>fo</w:t>
      </w:r>
      <w:r>
        <w:rPr>
          <w:rFonts w:ascii="Times New Roman" w:cs="Times New Roman" w:eastAsia="Times New Roman" w:hAnsi="Times New Roman"/>
          <w:sz w:val="19"/>
          <w:szCs w:val="19"/>
          <w:color w:val="2D2F2F"/>
        </w:rPr>
        <w:t>r</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Services provided</w:t>
      </w:r>
      <w:r>
        <w:rPr>
          <w:rFonts w:ascii="Times New Roman" w:cs="Times New Roman" w:eastAsia="Times New Roman" w:hAnsi="Times New Roman"/>
          <w:sz w:val="19"/>
          <w:szCs w:val="19"/>
          <w:color w:val="646664"/>
        </w:rPr>
        <w:t xml:space="preserve"> (t</w:t>
      </w:r>
      <w:r>
        <w:rPr>
          <w:rFonts w:ascii="Times New Roman" w:cs="Times New Roman" w:eastAsia="Times New Roman" w:hAnsi="Times New Roman"/>
          <w:sz w:val="19"/>
          <w:szCs w:val="19"/>
          <w:color w:val="3D3F3F"/>
        </w:rPr>
        <w:t>he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u w:val="single" w:color="auto"/>
          <w:color w:val="646664"/>
        </w:rPr>
        <w:t>"Consult</w:t>
      </w:r>
      <w:r>
        <w:rPr>
          <w:rFonts w:ascii="Times New Roman" w:cs="Times New Roman" w:eastAsia="Times New Roman" w:hAnsi="Times New Roman"/>
          <w:sz w:val="19"/>
          <w:szCs w:val="19"/>
          <w:u w:val="single" w:color="auto"/>
          <w:color w:val="3D3F3F"/>
        </w:rPr>
        <w:t>ing</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u w:val="single" w:color="auto"/>
          <w:color w:val="4F5050"/>
        </w:rPr>
        <w:t>Fee</w:t>
      </w:r>
      <w:r>
        <w:rPr>
          <w:rFonts w:ascii="Times New Roman" w:cs="Times New Roman" w:eastAsia="Times New Roman" w:hAnsi="Times New Roman"/>
          <w:sz w:val="19"/>
          <w:szCs w:val="19"/>
          <w:u w:val="single" w:color="auto"/>
          <w:color w:val="7B7C7C"/>
        </w:rPr>
        <w:t>")</w:t>
      </w:r>
      <w:r>
        <w:rPr>
          <w:rFonts w:ascii="Times New Roman" w:cs="Times New Roman" w:eastAsia="Times New Roman" w:hAnsi="Times New Roman"/>
          <w:sz w:val="19"/>
          <w:szCs w:val="19"/>
          <w:color w:val="4F5050"/>
        </w:rPr>
        <w:t>.</w:t>
      </w:r>
      <w:r>
        <w:rPr>
          <w:rFonts w:ascii="Times New Roman" w:cs="Times New Roman" w:eastAsia="Times New Roman" w:hAnsi="Times New Roman"/>
          <w:sz w:val="19"/>
          <w:szCs w:val="19"/>
          <w:color w:val="646664"/>
        </w:rPr>
        <w:t xml:space="preserve"> Cons</w:t>
      </w:r>
      <w:r>
        <w:rPr>
          <w:rFonts w:ascii="Times New Roman" w:cs="Times New Roman" w:eastAsia="Times New Roman" w:hAnsi="Times New Roman"/>
          <w:sz w:val="19"/>
          <w:szCs w:val="19"/>
          <w:color w:val="3D3F3F"/>
        </w:rPr>
        <w:t>ultant</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7B7C7C"/>
        </w:rPr>
        <w:t>s</w:t>
      </w:r>
      <w:r>
        <w:rPr>
          <w:rFonts w:ascii="Times New Roman" w:cs="Times New Roman" w:eastAsia="Times New Roman" w:hAnsi="Times New Roman"/>
          <w:sz w:val="19"/>
          <w:szCs w:val="19"/>
          <w:color w:val="3D3F3F"/>
        </w:rPr>
        <w:t>hall</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invo</w:t>
      </w:r>
      <w:r>
        <w:rPr>
          <w:rFonts w:ascii="Times New Roman" w:cs="Times New Roman" w:eastAsia="Times New Roman" w:hAnsi="Times New Roman"/>
          <w:sz w:val="19"/>
          <w:szCs w:val="19"/>
          <w:color w:val="1D1F1F"/>
        </w:rPr>
        <w:t>i</w:t>
      </w:r>
      <w:r>
        <w:rPr>
          <w:rFonts w:ascii="Times New Roman" w:cs="Times New Roman" w:eastAsia="Times New Roman" w:hAnsi="Times New Roman"/>
          <w:sz w:val="19"/>
          <w:szCs w:val="19"/>
          <w:color w:val="646664"/>
        </w:rPr>
        <w:t>ce Comp</w:t>
      </w:r>
      <w:r>
        <w:rPr>
          <w:rFonts w:ascii="Times New Roman" w:cs="Times New Roman" w:eastAsia="Times New Roman" w:hAnsi="Times New Roman"/>
          <w:sz w:val="19"/>
          <w:szCs w:val="19"/>
          <w:color w:val="3D3F3F"/>
        </w:rPr>
        <w:t>an</w:t>
      </w:r>
      <w:r>
        <w:rPr>
          <w:rFonts w:ascii="Times New Roman" w:cs="Times New Roman" w:eastAsia="Times New Roman" w:hAnsi="Times New Roman"/>
          <w:sz w:val="19"/>
          <w:szCs w:val="19"/>
          <w:color w:val="646664"/>
        </w:rPr>
        <w:t xml:space="preserve">y for </w:t>
      </w:r>
      <w:r>
        <w:rPr>
          <w:rFonts w:ascii="Times New Roman" w:cs="Times New Roman" w:eastAsia="Times New Roman" w:hAnsi="Times New Roman"/>
          <w:sz w:val="19"/>
          <w:szCs w:val="19"/>
          <w:color w:val="4F5050"/>
        </w:rPr>
        <w:t>amounts</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2D2F2F"/>
        </w:rPr>
        <w:t>d</w:t>
      </w:r>
      <w:r>
        <w:rPr>
          <w:rFonts w:ascii="Times New Roman" w:cs="Times New Roman" w:eastAsia="Times New Roman" w:hAnsi="Times New Roman"/>
          <w:sz w:val="19"/>
          <w:szCs w:val="19"/>
          <w:color w:val="4F5050"/>
        </w:rPr>
        <w:t>ue hereunde</w:t>
      </w:r>
      <w:r>
        <w:rPr>
          <w:rFonts w:ascii="Times New Roman" w:cs="Times New Roman" w:eastAsia="Times New Roman" w:hAnsi="Times New Roman"/>
          <w:sz w:val="19"/>
          <w:szCs w:val="19"/>
          <w:color w:val="1D1F1F"/>
        </w:rPr>
        <w:t>r</w:t>
      </w:r>
      <w:r>
        <w:rPr>
          <w:rFonts w:ascii="Times New Roman" w:cs="Times New Roman" w:eastAsia="Times New Roman" w:hAnsi="Times New Roman"/>
          <w:sz w:val="19"/>
          <w:szCs w:val="19"/>
          <w:color w:val="646664"/>
        </w:rPr>
        <w:t xml:space="preserve"> on a </w:t>
      </w:r>
      <w:r>
        <w:rPr>
          <w:rFonts w:ascii="Times New Roman" w:cs="Times New Roman" w:eastAsia="Times New Roman" w:hAnsi="Times New Roman"/>
          <w:sz w:val="19"/>
          <w:szCs w:val="19"/>
          <w:color w:val="4F5050"/>
        </w:rPr>
        <w:t>monthly basis</w:t>
      </w:r>
      <w:r>
        <w:rPr>
          <w:rFonts w:ascii="Times New Roman" w:cs="Times New Roman" w:eastAsia="Times New Roman" w:hAnsi="Times New Roman"/>
          <w:sz w:val="19"/>
          <w:szCs w:val="19"/>
          <w:color w:val="7B7C7C"/>
        </w:rPr>
        <w:t>,</w:t>
      </w:r>
      <w:r>
        <w:rPr>
          <w:rFonts w:ascii="Times New Roman" w:cs="Times New Roman" w:eastAsia="Times New Roman" w:hAnsi="Times New Roman"/>
          <w:sz w:val="19"/>
          <w:szCs w:val="19"/>
          <w:color w:val="4F5050"/>
        </w:rPr>
        <w:t xml:space="preserve"> including the date, </w:t>
      </w:r>
      <w:r>
        <w:rPr>
          <w:rFonts w:ascii="Times New Roman" w:cs="Times New Roman" w:eastAsia="Times New Roman" w:hAnsi="Times New Roman"/>
          <w:sz w:val="19"/>
          <w:szCs w:val="19"/>
          <w:color w:val="3D3F3F"/>
        </w:rPr>
        <w:t>h</w:t>
      </w:r>
      <w:r>
        <w:rPr>
          <w:rFonts w:ascii="Times New Roman" w:cs="Times New Roman" w:eastAsia="Times New Roman" w:hAnsi="Times New Roman"/>
          <w:sz w:val="19"/>
          <w:szCs w:val="19"/>
          <w:color w:val="646664"/>
        </w:rPr>
        <w:t>ours worked a</w:t>
      </w:r>
      <w:r>
        <w:rPr>
          <w:rFonts w:ascii="Times New Roman" w:cs="Times New Roman" w:eastAsia="Times New Roman" w:hAnsi="Times New Roman"/>
          <w:sz w:val="19"/>
          <w:szCs w:val="19"/>
          <w:color w:val="3D3F3F"/>
        </w:rPr>
        <w:t>nd</w:t>
      </w:r>
      <w:r>
        <w:rPr>
          <w:rFonts w:ascii="Times New Roman" w:cs="Times New Roman" w:eastAsia="Times New Roman" w:hAnsi="Times New Roman"/>
          <w:sz w:val="19"/>
          <w:szCs w:val="19"/>
          <w:color w:val="4F5050"/>
        </w:rPr>
        <w:t xml:space="preserve"> a brief description </w:t>
      </w:r>
      <w:r>
        <w:rPr>
          <w:rFonts w:ascii="Times New Roman" w:cs="Times New Roman" w:eastAsia="Times New Roman" w:hAnsi="Times New Roman"/>
          <w:sz w:val="19"/>
          <w:szCs w:val="19"/>
          <w:color w:val="646664"/>
        </w:rPr>
        <w:t>of</w:t>
      </w:r>
      <w:r>
        <w:rPr>
          <w:rFonts w:ascii="Times New Roman" w:cs="Times New Roman" w:eastAsia="Times New Roman" w:hAnsi="Times New Roman"/>
          <w:sz w:val="19"/>
          <w:szCs w:val="19"/>
          <w:color w:val="4F5050"/>
        </w:rPr>
        <w:t xml:space="preserve"> the work </w:t>
      </w:r>
      <w:r>
        <w:rPr>
          <w:rFonts w:ascii="Times New Roman" w:cs="Times New Roman" w:eastAsia="Times New Roman" w:hAnsi="Times New Roman"/>
          <w:sz w:val="19"/>
          <w:szCs w:val="19"/>
          <w:color w:val="3D3F3F"/>
        </w:rPr>
        <w:t>perform</w:t>
      </w:r>
      <w:r>
        <w:rPr>
          <w:rFonts w:ascii="Times New Roman" w:cs="Times New Roman" w:eastAsia="Times New Roman" w:hAnsi="Times New Roman"/>
          <w:sz w:val="19"/>
          <w:szCs w:val="19"/>
          <w:color w:val="646664"/>
        </w:rPr>
        <w:t>ed</w:t>
      </w:r>
      <w:r>
        <w:rPr>
          <w:rFonts w:ascii="Times New Roman" w:cs="Times New Roman" w:eastAsia="Times New Roman" w:hAnsi="Times New Roman"/>
          <w:sz w:val="19"/>
          <w:szCs w:val="19"/>
          <w:color w:val="3D3F3F"/>
        </w:rPr>
        <w:t>. The</w:t>
      </w:r>
      <w:r>
        <w:rPr>
          <w:rFonts w:ascii="Times New Roman" w:cs="Times New Roman" w:eastAsia="Times New Roman" w:hAnsi="Times New Roman"/>
          <w:sz w:val="19"/>
          <w:szCs w:val="19"/>
          <w:color w:val="4F5050"/>
        </w:rPr>
        <w:t xml:space="preserve"> amounts </w:t>
      </w:r>
      <w:r>
        <w:rPr>
          <w:rFonts w:ascii="Times New Roman" w:cs="Times New Roman" w:eastAsia="Times New Roman" w:hAnsi="Times New Roman"/>
          <w:sz w:val="19"/>
          <w:szCs w:val="19"/>
          <w:color w:val="3D3F3F"/>
        </w:rPr>
        <w:t>due</w:t>
      </w:r>
      <w:r>
        <w:rPr>
          <w:rFonts w:ascii="Times New Roman" w:cs="Times New Roman" w:eastAsia="Times New Roman" w:hAnsi="Times New Roman"/>
          <w:sz w:val="19"/>
          <w:szCs w:val="19"/>
          <w:color w:val="4F5050"/>
        </w:rPr>
        <w:t xml:space="preserve"> hereunder </w:t>
      </w:r>
      <w:r>
        <w:rPr>
          <w:rFonts w:ascii="Times New Roman" w:cs="Times New Roman" w:eastAsia="Times New Roman" w:hAnsi="Times New Roman"/>
          <w:sz w:val="19"/>
          <w:szCs w:val="19"/>
          <w:color w:val="646664"/>
        </w:rPr>
        <w:t>s</w:t>
      </w:r>
      <w:r>
        <w:rPr>
          <w:rFonts w:ascii="Times New Roman" w:cs="Times New Roman" w:eastAsia="Times New Roman" w:hAnsi="Times New Roman"/>
          <w:sz w:val="19"/>
          <w:szCs w:val="19"/>
          <w:color w:val="3D3F3F"/>
        </w:rPr>
        <w:t>hall</w:t>
      </w:r>
      <w:r>
        <w:rPr>
          <w:rFonts w:ascii="Times New Roman" w:cs="Times New Roman" w:eastAsia="Times New Roman" w:hAnsi="Times New Roman"/>
          <w:sz w:val="19"/>
          <w:szCs w:val="19"/>
          <w:color w:val="4F5050"/>
        </w:rPr>
        <w:t xml:space="preserve"> be pa</w:t>
      </w:r>
      <w:r>
        <w:rPr>
          <w:rFonts w:ascii="Times New Roman" w:cs="Times New Roman" w:eastAsia="Times New Roman" w:hAnsi="Times New Roman"/>
          <w:sz w:val="19"/>
          <w:szCs w:val="19"/>
          <w:color w:val="2D2F2F"/>
        </w:rPr>
        <w:t>id</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3D3F3F"/>
        </w:rPr>
        <w:t>by</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646664"/>
        </w:rPr>
        <w:t>Co</w:t>
      </w:r>
      <w:r>
        <w:rPr>
          <w:rFonts w:ascii="Times New Roman" w:cs="Times New Roman" w:eastAsia="Times New Roman" w:hAnsi="Times New Roman"/>
          <w:sz w:val="19"/>
          <w:szCs w:val="19"/>
          <w:color w:val="3D3F3F"/>
        </w:rPr>
        <w:t>mpany</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w</w:t>
      </w:r>
      <w:r>
        <w:rPr>
          <w:rFonts w:ascii="Times New Roman" w:cs="Times New Roman" w:eastAsia="Times New Roman" w:hAnsi="Times New Roman"/>
          <w:sz w:val="19"/>
          <w:szCs w:val="19"/>
          <w:color w:val="2D2F2F"/>
        </w:rPr>
        <w:t>ithin</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thirty</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(30)</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days</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of recei</w:t>
      </w:r>
      <w:r>
        <w:rPr>
          <w:rFonts w:ascii="Times New Roman" w:cs="Times New Roman" w:eastAsia="Times New Roman" w:hAnsi="Times New Roman"/>
          <w:sz w:val="19"/>
          <w:szCs w:val="19"/>
          <w:color w:val="1D1F1F"/>
        </w:rPr>
        <w:t>p</w:t>
      </w:r>
      <w:r>
        <w:rPr>
          <w:rFonts w:ascii="Times New Roman" w:cs="Times New Roman" w:eastAsia="Times New Roman" w:hAnsi="Times New Roman"/>
          <w:sz w:val="19"/>
          <w:szCs w:val="19"/>
          <w:color w:val="4F5050"/>
        </w:rPr>
        <w:t>t of t</w:t>
      </w:r>
      <w:r>
        <w:rPr>
          <w:rFonts w:ascii="Times New Roman" w:cs="Times New Roman" w:eastAsia="Times New Roman" w:hAnsi="Times New Roman"/>
          <w:sz w:val="19"/>
          <w:szCs w:val="19"/>
          <w:color w:val="2D2F2F"/>
        </w:rPr>
        <w:t>h</w:t>
      </w:r>
      <w:r>
        <w:rPr>
          <w:rFonts w:ascii="Times New Roman" w:cs="Times New Roman" w:eastAsia="Times New Roman" w:hAnsi="Times New Roman"/>
          <w:sz w:val="19"/>
          <w:szCs w:val="19"/>
          <w:color w:val="4F5050"/>
        </w:rPr>
        <w:t>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applicable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invoice.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1D1F1F"/>
        </w:rPr>
        <w:t>I</w:t>
      </w:r>
      <w:r>
        <w:rPr>
          <w:rFonts w:ascii="Times New Roman" w:cs="Times New Roman" w:eastAsia="Times New Roman" w:hAnsi="Times New Roman"/>
          <w:sz w:val="19"/>
          <w:szCs w:val="19"/>
          <w:color w:val="3D3F3F"/>
        </w:rPr>
        <w:t>n performing</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2D2F2F"/>
        </w:rPr>
        <w:t>t</w:t>
      </w:r>
      <w:r>
        <w:rPr>
          <w:rFonts w:ascii="Times New Roman" w:cs="Times New Roman" w:eastAsia="Times New Roman" w:hAnsi="Times New Roman"/>
          <w:sz w:val="19"/>
          <w:szCs w:val="19"/>
          <w:color w:val="4F5050"/>
        </w:rPr>
        <w:t>he Services,</w:t>
      </w:r>
      <w:r>
        <w:rPr>
          <w:rFonts w:ascii="Times New Roman" w:cs="Times New Roman" w:eastAsia="Times New Roman" w:hAnsi="Times New Roman"/>
          <w:sz w:val="19"/>
          <w:szCs w:val="19"/>
          <w:color w:val="646664"/>
        </w:rPr>
        <w:t xml:space="preserve"> Co</w:t>
      </w:r>
      <w:r>
        <w:rPr>
          <w:rFonts w:ascii="Times New Roman" w:cs="Times New Roman" w:eastAsia="Times New Roman" w:hAnsi="Times New Roman"/>
          <w:sz w:val="19"/>
          <w:szCs w:val="19"/>
          <w:color w:val="3D3F3F"/>
        </w:rPr>
        <w:t>n</w:t>
      </w:r>
      <w:r>
        <w:rPr>
          <w:rFonts w:ascii="Times New Roman" w:cs="Times New Roman" w:eastAsia="Times New Roman" w:hAnsi="Times New Roman"/>
          <w:sz w:val="19"/>
          <w:szCs w:val="19"/>
          <w:color w:val="646664"/>
        </w:rPr>
        <w:t>su</w:t>
      </w:r>
      <w:r>
        <w:rPr>
          <w:rFonts w:ascii="Times New Roman" w:cs="Times New Roman" w:eastAsia="Times New Roman" w:hAnsi="Times New Roman"/>
          <w:sz w:val="19"/>
          <w:szCs w:val="19"/>
          <w:color w:val="3D3F3F"/>
        </w:rPr>
        <w:t>ltant is</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acting as an independent</w:t>
      </w:r>
      <w:r>
        <w:rPr>
          <w:rFonts w:ascii="Times New Roman" w:cs="Times New Roman" w:eastAsia="Times New Roman" w:hAnsi="Times New Roman"/>
          <w:sz w:val="19"/>
          <w:szCs w:val="19"/>
          <w:color w:val="646664"/>
        </w:rPr>
        <w:t xml:space="preserve"> contractor </w:t>
      </w:r>
      <w:r>
        <w:rPr>
          <w:rFonts w:ascii="Times New Roman" w:cs="Times New Roman" w:eastAsia="Times New Roman" w:hAnsi="Times New Roman"/>
          <w:sz w:val="19"/>
          <w:szCs w:val="19"/>
          <w:color w:val="4F5050"/>
        </w:rPr>
        <w:t>for</w:t>
      </w:r>
      <w:r>
        <w:rPr>
          <w:rFonts w:ascii="Times New Roman" w:cs="Times New Roman" w:eastAsia="Times New Roman" w:hAnsi="Times New Roman"/>
          <w:sz w:val="19"/>
          <w:szCs w:val="19"/>
          <w:color w:val="646664"/>
        </w:rPr>
        <w:t xml:space="preserve"> t</w:t>
      </w:r>
      <w:r>
        <w:rPr>
          <w:rFonts w:ascii="Times New Roman" w:cs="Times New Roman" w:eastAsia="Times New Roman" w:hAnsi="Times New Roman"/>
          <w:sz w:val="19"/>
          <w:szCs w:val="19"/>
          <w:color w:val="3D3F3F"/>
        </w:rPr>
        <w:t>he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Company and</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i</w:t>
      </w:r>
      <w:r>
        <w:rPr>
          <w:rFonts w:ascii="Times New Roman" w:cs="Times New Roman" w:eastAsia="Times New Roman" w:hAnsi="Times New Roman"/>
          <w:sz w:val="19"/>
          <w:szCs w:val="19"/>
          <w:color w:val="646664"/>
        </w:rPr>
        <w:t>s sole</w:t>
      </w:r>
      <w:r>
        <w:rPr>
          <w:rFonts w:ascii="Times New Roman" w:cs="Times New Roman" w:eastAsia="Times New Roman" w:hAnsi="Times New Roman"/>
          <w:sz w:val="19"/>
          <w:szCs w:val="19"/>
          <w:color w:val="3D3F3F"/>
        </w:rPr>
        <w:t>l</w:t>
      </w:r>
      <w:r>
        <w:rPr>
          <w:rFonts w:ascii="Times New Roman" w:cs="Times New Roman" w:eastAsia="Times New Roman" w:hAnsi="Times New Roman"/>
          <w:sz w:val="19"/>
          <w:szCs w:val="19"/>
          <w:color w:val="646664"/>
        </w:rPr>
        <w:t xml:space="preserve">y </w:t>
      </w:r>
      <w:r>
        <w:rPr>
          <w:rFonts w:ascii="Times New Roman" w:cs="Times New Roman" w:eastAsia="Times New Roman" w:hAnsi="Times New Roman"/>
          <w:sz w:val="19"/>
          <w:szCs w:val="19"/>
          <w:color w:val="3D3F3F"/>
        </w:rPr>
        <w:t>resp</w:t>
      </w:r>
      <w:r>
        <w:rPr>
          <w:rFonts w:ascii="Times New Roman" w:cs="Times New Roman" w:eastAsia="Times New Roman" w:hAnsi="Times New Roman"/>
          <w:sz w:val="19"/>
          <w:szCs w:val="19"/>
          <w:color w:val="646664"/>
        </w:rPr>
        <w:t>o</w:t>
      </w:r>
      <w:r>
        <w:rPr>
          <w:rFonts w:ascii="Times New Roman" w:cs="Times New Roman" w:eastAsia="Times New Roman" w:hAnsi="Times New Roman"/>
          <w:sz w:val="19"/>
          <w:szCs w:val="19"/>
          <w:color w:val="3D3F3F"/>
        </w:rPr>
        <w:t>n</w:t>
      </w:r>
      <w:r>
        <w:rPr>
          <w:rFonts w:ascii="Times New Roman" w:cs="Times New Roman" w:eastAsia="Times New Roman" w:hAnsi="Times New Roman"/>
          <w:sz w:val="19"/>
          <w:szCs w:val="19"/>
          <w:color w:val="646664"/>
        </w:rPr>
        <w:t>s</w:t>
      </w:r>
      <w:r>
        <w:rPr>
          <w:rFonts w:ascii="Times New Roman" w:cs="Times New Roman" w:eastAsia="Times New Roman" w:hAnsi="Times New Roman"/>
          <w:sz w:val="19"/>
          <w:szCs w:val="19"/>
          <w:color w:val="2D2F2F"/>
        </w:rPr>
        <w:t>i</w:t>
      </w:r>
      <w:r>
        <w:rPr>
          <w:rFonts w:ascii="Times New Roman" w:cs="Times New Roman" w:eastAsia="Times New Roman" w:hAnsi="Times New Roman"/>
          <w:sz w:val="19"/>
          <w:szCs w:val="19"/>
          <w:color w:val="4F5050"/>
        </w:rPr>
        <w:t>ble for payment</w:t>
      </w:r>
      <w:r>
        <w:rPr>
          <w:rFonts w:ascii="Times New Roman" w:cs="Times New Roman" w:eastAsia="Times New Roman" w:hAnsi="Times New Roman"/>
          <w:sz w:val="19"/>
          <w:szCs w:val="19"/>
          <w:color w:val="646664"/>
        </w:rPr>
        <w:t xml:space="preserve"> o</w:t>
      </w:r>
      <w:r>
        <w:rPr>
          <w:rFonts w:ascii="Times New Roman" w:cs="Times New Roman" w:eastAsia="Times New Roman" w:hAnsi="Times New Roman"/>
          <w:sz w:val="19"/>
          <w:szCs w:val="19"/>
          <w:color w:val="3D3F3F"/>
        </w:rPr>
        <w:t>f</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4F5050"/>
        </w:rPr>
        <w:t>all</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2D2F2F"/>
        </w:rPr>
        <w:t>i</w:t>
      </w:r>
      <w:r>
        <w:rPr>
          <w:rFonts w:ascii="Times New Roman" w:cs="Times New Roman" w:eastAsia="Times New Roman" w:hAnsi="Times New Roman"/>
          <w:sz w:val="19"/>
          <w:szCs w:val="19"/>
          <w:color w:val="4F5050"/>
        </w:rPr>
        <w:t>ncome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and</w:t>
      </w:r>
      <w:r>
        <w:rPr>
          <w:rFonts w:ascii="Times New Roman" w:cs="Times New Roman" w:eastAsia="Times New Roman" w:hAnsi="Times New Roman"/>
          <w:sz w:val="19"/>
          <w:szCs w:val="19"/>
          <w:color w:val="646664"/>
        </w:rPr>
        <w:t xml:space="preserve"> self</w:t>
      </w:r>
      <w:r>
        <w:rPr>
          <w:rFonts w:ascii="Times New Roman" w:cs="Times New Roman" w:eastAsia="Times New Roman" w:hAnsi="Times New Roman"/>
          <w:sz w:val="19"/>
          <w:szCs w:val="19"/>
          <w:color w:val="2D2F2F"/>
        </w:rPr>
        <w:t>-</w:t>
      </w:r>
      <w:r>
        <w:rPr>
          <w:rFonts w:ascii="Times New Roman" w:cs="Times New Roman" w:eastAsia="Times New Roman" w:hAnsi="Times New Roman"/>
          <w:sz w:val="19"/>
          <w:szCs w:val="19"/>
          <w:color w:val="646664"/>
        </w:rPr>
        <w:t>em</w:t>
      </w:r>
      <w:r>
        <w:rPr>
          <w:rFonts w:ascii="Times New Roman" w:cs="Times New Roman" w:eastAsia="Times New Roman" w:hAnsi="Times New Roman"/>
          <w:sz w:val="19"/>
          <w:szCs w:val="19"/>
          <w:color w:val="3D3F3F"/>
        </w:rPr>
        <w:t>pl</w:t>
      </w:r>
      <w:r>
        <w:rPr>
          <w:rFonts w:ascii="Times New Roman" w:cs="Times New Roman" w:eastAsia="Times New Roman" w:hAnsi="Times New Roman"/>
          <w:sz w:val="19"/>
          <w:szCs w:val="19"/>
          <w:color w:val="646664"/>
        </w:rPr>
        <w:t xml:space="preserve">oyment </w:t>
      </w:r>
      <w:r>
        <w:rPr>
          <w:rFonts w:ascii="Times New Roman" w:cs="Times New Roman" w:eastAsia="Times New Roman" w:hAnsi="Times New Roman"/>
          <w:sz w:val="19"/>
          <w:szCs w:val="19"/>
          <w:color w:val="4F5050"/>
        </w:rPr>
        <w:t>taxes</w:t>
      </w:r>
      <w:r>
        <w:rPr>
          <w:rFonts w:ascii="Times New Roman" w:cs="Times New Roman" w:eastAsia="Times New Roman" w:hAnsi="Times New Roman"/>
          <w:sz w:val="19"/>
          <w:szCs w:val="19"/>
          <w:color w:val="646664"/>
        </w:rPr>
        <w:t xml:space="preserve"> with </w:t>
      </w:r>
      <w:r>
        <w:rPr>
          <w:rFonts w:ascii="Times New Roman" w:cs="Times New Roman" w:eastAsia="Times New Roman" w:hAnsi="Times New Roman"/>
          <w:sz w:val="19"/>
          <w:szCs w:val="19"/>
          <w:color w:val="3D3F3F"/>
        </w:rPr>
        <w:t>re</w:t>
      </w:r>
      <w:r>
        <w:rPr>
          <w:rFonts w:ascii="Times New Roman" w:cs="Times New Roman" w:eastAsia="Times New Roman" w:hAnsi="Times New Roman"/>
          <w:sz w:val="19"/>
          <w:szCs w:val="19"/>
          <w:color w:val="646664"/>
        </w:rPr>
        <w:t xml:space="preserve">spect </w:t>
      </w:r>
      <w:r>
        <w:rPr>
          <w:rFonts w:ascii="Times New Roman" w:cs="Times New Roman" w:eastAsia="Times New Roman" w:hAnsi="Times New Roman"/>
          <w:sz w:val="19"/>
          <w:szCs w:val="19"/>
          <w:color w:val="4F5050"/>
        </w:rPr>
        <w:t>to the</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m</w:t>
      </w:r>
      <w:r>
        <w:rPr>
          <w:rFonts w:ascii="Times New Roman" w:cs="Times New Roman" w:eastAsia="Times New Roman" w:hAnsi="Times New Roman"/>
          <w:sz w:val="19"/>
          <w:szCs w:val="19"/>
          <w:color w:val="646664"/>
        </w:rPr>
        <w:t xml:space="preserve">onthly </w:t>
      </w:r>
      <w:r>
        <w:rPr>
          <w:rFonts w:ascii="Times New Roman" w:cs="Times New Roman" w:eastAsia="Times New Roman" w:hAnsi="Times New Roman"/>
          <w:sz w:val="19"/>
          <w:szCs w:val="19"/>
          <w:color w:val="4F5050"/>
        </w:rPr>
        <w:t>payment. Consultant hereby agrees that such amount is reaso</w:t>
      </w:r>
      <w:r>
        <w:rPr>
          <w:rFonts w:ascii="Times New Roman" w:cs="Times New Roman" w:eastAsia="Times New Roman" w:hAnsi="Times New Roman"/>
          <w:sz w:val="19"/>
          <w:szCs w:val="19"/>
          <w:color w:val="2D2F2F"/>
        </w:rPr>
        <w:t>n</w:t>
      </w:r>
      <w:r>
        <w:rPr>
          <w:rFonts w:ascii="Times New Roman" w:cs="Times New Roman" w:eastAsia="Times New Roman" w:hAnsi="Times New Roman"/>
          <w:sz w:val="19"/>
          <w:szCs w:val="19"/>
          <w:color w:val="4F5050"/>
        </w:rPr>
        <w:t xml:space="preserve">able and </w:t>
      </w:r>
      <w:r>
        <w:rPr>
          <w:rFonts w:ascii="Times New Roman" w:cs="Times New Roman" w:eastAsia="Times New Roman" w:hAnsi="Times New Roman"/>
          <w:sz w:val="19"/>
          <w:szCs w:val="19"/>
          <w:color w:val="646664"/>
        </w:rPr>
        <w:t>s</w:t>
      </w:r>
      <w:r>
        <w:rPr>
          <w:rFonts w:ascii="Times New Roman" w:cs="Times New Roman" w:eastAsia="Times New Roman" w:hAnsi="Times New Roman"/>
          <w:sz w:val="19"/>
          <w:szCs w:val="19"/>
          <w:color w:val="3D3F3F"/>
        </w:rPr>
        <w:t>uffi</w:t>
      </w:r>
      <w:r>
        <w:rPr>
          <w:rFonts w:ascii="Times New Roman" w:cs="Times New Roman" w:eastAsia="Times New Roman" w:hAnsi="Times New Roman"/>
          <w:sz w:val="19"/>
          <w:szCs w:val="19"/>
          <w:color w:val="646664"/>
        </w:rPr>
        <w:t>c</w:t>
      </w:r>
      <w:r>
        <w:rPr>
          <w:rFonts w:ascii="Times New Roman" w:cs="Times New Roman" w:eastAsia="Times New Roman" w:hAnsi="Times New Roman"/>
          <w:sz w:val="19"/>
          <w:szCs w:val="19"/>
          <w:color w:val="3D3F3F"/>
        </w:rPr>
        <w:t>ient</w:t>
      </w:r>
      <w:r>
        <w:rPr>
          <w:rFonts w:ascii="Times New Roman" w:cs="Times New Roman" w:eastAsia="Times New Roman" w:hAnsi="Times New Roman"/>
          <w:sz w:val="19"/>
          <w:szCs w:val="19"/>
          <w:color w:val="4F5050"/>
        </w:rPr>
        <w:t xml:space="preserve"> give</w:t>
      </w:r>
      <w:r>
        <w:rPr>
          <w:rFonts w:ascii="Times New Roman" w:cs="Times New Roman" w:eastAsia="Times New Roman" w:hAnsi="Times New Roman"/>
          <w:sz w:val="19"/>
          <w:szCs w:val="19"/>
          <w:color w:val="2D2F2F"/>
        </w:rPr>
        <w:t>n</w:t>
      </w:r>
      <w:r>
        <w:rPr>
          <w:rFonts w:ascii="Times New Roman" w:cs="Times New Roman" w:eastAsia="Times New Roman" w:hAnsi="Times New Roman"/>
          <w:sz w:val="19"/>
          <w:szCs w:val="19"/>
          <w:color w:val="4F5050"/>
        </w:rPr>
        <w:t xml:space="preserve"> the </w:t>
      </w:r>
      <w:r>
        <w:rPr>
          <w:rFonts w:ascii="Times New Roman" w:cs="Times New Roman" w:eastAsia="Times New Roman" w:hAnsi="Times New Roman"/>
          <w:sz w:val="19"/>
          <w:szCs w:val="19"/>
          <w:color w:val="3D3F3F"/>
        </w:rPr>
        <w:t>natur</w:t>
      </w:r>
      <w:r>
        <w:rPr>
          <w:rFonts w:ascii="Times New Roman" w:cs="Times New Roman" w:eastAsia="Times New Roman" w:hAnsi="Times New Roman"/>
          <w:sz w:val="19"/>
          <w:szCs w:val="19"/>
          <w:color w:val="646664"/>
        </w:rPr>
        <w:t>e</w:t>
      </w:r>
      <w:r>
        <w:rPr>
          <w:rFonts w:ascii="Times New Roman" w:cs="Times New Roman" w:eastAsia="Times New Roman" w:hAnsi="Times New Roman"/>
          <w:sz w:val="19"/>
          <w:szCs w:val="19"/>
          <w:color w:val="4F5050"/>
        </w:rPr>
        <w:t xml:space="preserve"> of t</w:t>
      </w:r>
      <w:r>
        <w:rPr>
          <w:rFonts w:ascii="Times New Roman" w:cs="Times New Roman" w:eastAsia="Times New Roman" w:hAnsi="Times New Roman"/>
          <w:sz w:val="19"/>
          <w:szCs w:val="19"/>
          <w:color w:val="2D2F2F"/>
        </w:rPr>
        <w:t>h</w:t>
      </w:r>
      <w:r>
        <w:rPr>
          <w:rFonts w:ascii="Times New Roman" w:cs="Times New Roman" w:eastAsia="Times New Roman" w:hAnsi="Times New Roman"/>
          <w:sz w:val="19"/>
          <w:szCs w:val="19"/>
          <w:color w:val="4F5050"/>
        </w:rPr>
        <w:t xml:space="preserve">e </w:t>
      </w:r>
      <w:r>
        <w:rPr>
          <w:rFonts w:ascii="Times New Roman" w:cs="Times New Roman" w:eastAsia="Times New Roman" w:hAnsi="Times New Roman"/>
          <w:sz w:val="19"/>
          <w:szCs w:val="19"/>
          <w:color w:val="646664"/>
        </w:rPr>
        <w:t>Serv</w:t>
      </w:r>
      <w:r>
        <w:rPr>
          <w:rFonts w:ascii="Times New Roman" w:cs="Times New Roman" w:eastAsia="Times New Roman" w:hAnsi="Times New Roman"/>
          <w:sz w:val="19"/>
          <w:szCs w:val="19"/>
          <w:color w:val="3D3F3F"/>
        </w:rPr>
        <w:t>ices</w:t>
      </w:r>
      <w:r>
        <w:rPr>
          <w:rFonts w:ascii="Times New Roman" w:cs="Times New Roman" w:eastAsia="Times New Roman" w:hAnsi="Times New Roman"/>
          <w:sz w:val="19"/>
          <w:szCs w:val="19"/>
          <w:color w:val="4F5050"/>
        </w:rPr>
        <w:t xml:space="preserve"> and </w:t>
      </w:r>
      <w:r>
        <w:rPr>
          <w:rFonts w:ascii="Times New Roman" w:cs="Times New Roman" w:eastAsia="Times New Roman" w:hAnsi="Times New Roman"/>
          <w:sz w:val="19"/>
          <w:szCs w:val="19"/>
          <w:color w:val="646664"/>
        </w:rPr>
        <w:t>Co</w:t>
      </w:r>
      <w:r>
        <w:rPr>
          <w:rFonts w:ascii="Times New Roman" w:cs="Times New Roman" w:eastAsia="Times New Roman" w:hAnsi="Times New Roman"/>
          <w:sz w:val="19"/>
          <w:szCs w:val="19"/>
          <w:color w:val="3D3F3F"/>
        </w:rPr>
        <w:t>nsultant</w:t>
      </w:r>
      <w:r>
        <w:rPr>
          <w:rFonts w:ascii="Times New Roman" w:cs="Times New Roman" w:eastAsia="Times New Roman" w:hAnsi="Times New Roman"/>
          <w:sz w:val="19"/>
          <w:szCs w:val="19"/>
          <w:color w:val="4F5050"/>
        </w:rPr>
        <w:t xml:space="preserve"> </w:t>
      </w:r>
      <w:r>
        <w:rPr>
          <w:rFonts w:ascii="Times New Roman" w:cs="Times New Roman" w:eastAsia="Times New Roman" w:hAnsi="Times New Roman"/>
          <w:sz w:val="19"/>
          <w:szCs w:val="19"/>
          <w:color w:val="2D2F2F"/>
        </w:rPr>
        <w:t>h</w:t>
      </w:r>
      <w:r>
        <w:rPr>
          <w:rFonts w:ascii="Times New Roman" w:cs="Times New Roman" w:eastAsia="Times New Roman" w:hAnsi="Times New Roman"/>
          <w:sz w:val="19"/>
          <w:szCs w:val="19"/>
          <w:color w:val="4F5050"/>
        </w:rPr>
        <w:t xml:space="preserve">ereby </w:t>
      </w:r>
      <w:r>
        <w:rPr>
          <w:rFonts w:ascii="Times New Roman" w:cs="Times New Roman" w:eastAsia="Times New Roman" w:hAnsi="Times New Roman"/>
          <w:sz w:val="19"/>
          <w:szCs w:val="19"/>
          <w:color w:val="2D2F2F"/>
        </w:rPr>
        <w:t>i</w:t>
      </w:r>
      <w:r>
        <w:rPr>
          <w:rFonts w:ascii="Times New Roman" w:cs="Times New Roman" w:eastAsia="Times New Roman" w:hAnsi="Times New Roman"/>
          <w:sz w:val="19"/>
          <w:szCs w:val="19"/>
          <w:color w:val="4F5050"/>
        </w:rPr>
        <w:t>rrevocably waives an</w:t>
      </w:r>
      <w:r>
        <w:rPr>
          <w:rFonts w:ascii="Times New Roman" w:cs="Times New Roman" w:eastAsia="Times New Roman" w:hAnsi="Times New Roman"/>
          <w:sz w:val="19"/>
          <w:szCs w:val="19"/>
          <w:color w:val="2D2F2F"/>
        </w:rPr>
        <w:t>d di</w:t>
      </w:r>
      <w:r>
        <w:rPr>
          <w:rFonts w:ascii="Times New Roman" w:cs="Times New Roman" w:eastAsia="Times New Roman" w:hAnsi="Times New Roman"/>
          <w:sz w:val="19"/>
          <w:szCs w:val="19"/>
          <w:color w:val="4F5050"/>
        </w:rPr>
        <w:t>sc</w:t>
      </w:r>
      <w:r>
        <w:rPr>
          <w:rFonts w:ascii="Times New Roman" w:cs="Times New Roman" w:eastAsia="Times New Roman" w:hAnsi="Times New Roman"/>
          <w:sz w:val="19"/>
          <w:szCs w:val="19"/>
          <w:color w:val="2D2F2F"/>
        </w:rPr>
        <w:t>h</w:t>
      </w:r>
      <w:r>
        <w:rPr>
          <w:rFonts w:ascii="Times New Roman" w:cs="Times New Roman" w:eastAsia="Times New Roman" w:hAnsi="Times New Roman"/>
          <w:sz w:val="19"/>
          <w:szCs w:val="19"/>
          <w:color w:val="4F5050"/>
        </w:rPr>
        <w:t>a</w:t>
      </w:r>
      <w:r>
        <w:rPr>
          <w:rFonts w:ascii="Times New Roman" w:cs="Times New Roman" w:eastAsia="Times New Roman" w:hAnsi="Times New Roman"/>
          <w:sz w:val="19"/>
          <w:szCs w:val="19"/>
          <w:color w:val="2D2F2F"/>
        </w:rPr>
        <w:t>r</w:t>
      </w:r>
      <w:r>
        <w:rPr>
          <w:rFonts w:ascii="Times New Roman" w:cs="Times New Roman" w:eastAsia="Times New Roman" w:hAnsi="Times New Roman"/>
          <w:sz w:val="19"/>
          <w:szCs w:val="19"/>
          <w:color w:val="646664"/>
        </w:rPr>
        <w:t>ges</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3D3F3F"/>
        </w:rPr>
        <w:t>a</w:t>
      </w:r>
      <w:r>
        <w:rPr>
          <w:rFonts w:ascii="Times New Roman" w:cs="Times New Roman" w:eastAsia="Times New Roman" w:hAnsi="Times New Roman"/>
          <w:sz w:val="19"/>
          <w:szCs w:val="19"/>
          <w:color w:val="1D1F1F"/>
        </w:rPr>
        <w:t>n</w:t>
      </w:r>
      <w:r>
        <w:rPr>
          <w:rFonts w:ascii="Times New Roman" w:cs="Times New Roman" w:eastAsia="Times New Roman" w:hAnsi="Times New Roman"/>
          <w:sz w:val="19"/>
          <w:szCs w:val="19"/>
          <w:color w:val="3D3F3F"/>
        </w:rPr>
        <w:t>y</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4F5050"/>
        </w:rPr>
        <w:t>c</w:t>
      </w:r>
      <w:r>
        <w:rPr>
          <w:rFonts w:ascii="Times New Roman" w:cs="Times New Roman" w:eastAsia="Times New Roman" w:hAnsi="Times New Roman"/>
          <w:sz w:val="19"/>
          <w:szCs w:val="19"/>
          <w:color w:val="1D1F1F"/>
        </w:rPr>
        <w:t>l</w:t>
      </w:r>
      <w:r>
        <w:rPr>
          <w:rFonts w:ascii="Times New Roman" w:cs="Times New Roman" w:eastAsia="Times New Roman" w:hAnsi="Times New Roman"/>
          <w:sz w:val="19"/>
          <w:szCs w:val="19"/>
          <w:color w:val="4F5050"/>
        </w:rPr>
        <w:t>ai</w:t>
      </w:r>
      <w:r>
        <w:rPr>
          <w:rFonts w:ascii="Times New Roman" w:cs="Times New Roman" w:eastAsia="Times New Roman" w:hAnsi="Times New Roman"/>
          <w:sz w:val="19"/>
          <w:szCs w:val="19"/>
          <w:color w:val="2D2F2F"/>
        </w:rPr>
        <w:t xml:space="preserve">m </w:t>
      </w:r>
      <w:r>
        <w:rPr>
          <w:rFonts w:ascii="Times New Roman" w:cs="Times New Roman" w:eastAsia="Times New Roman" w:hAnsi="Times New Roman"/>
          <w:sz w:val="19"/>
          <w:szCs w:val="19"/>
          <w:color w:val="3D3F3F"/>
        </w:rPr>
        <w:t>again</w:t>
      </w:r>
      <w:r>
        <w:rPr>
          <w:rFonts w:ascii="Times New Roman" w:cs="Times New Roman" w:eastAsia="Times New Roman" w:hAnsi="Times New Roman"/>
          <w:sz w:val="19"/>
          <w:szCs w:val="19"/>
          <w:color w:val="646664"/>
        </w:rPr>
        <w:t>st</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3D3F3F"/>
        </w:rPr>
        <w:t>the</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4F5050"/>
        </w:rPr>
        <w:t>Co</w:t>
      </w:r>
      <w:r>
        <w:rPr>
          <w:rFonts w:ascii="Times New Roman" w:cs="Times New Roman" w:eastAsia="Times New Roman" w:hAnsi="Times New Roman"/>
          <w:sz w:val="19"/>
          <w:szCs w:val="19"/>
          <w:color w:val="2D2F2F"/>
        </w:rPr>
        <w:t>mp</w:t>
      </w:r>
      <w:r>
        <w:rPr>
          <w:rFonts w:ascii="Times New Roman" w:cs="Times New Roman" w:eastAsia="Times New Roman" w:hAnsi="Times New Roman"/>
          <w:sz w:val="19"/>
          <w:szCs w:val="19"/>
          <w:color w:val="4F5050"/>
        </w:rPr>
        <w:t>any a</w:t>
      </w:r>
      <w:r>
        <w:rPr>
          <w:rFonts w:ascii="Times New Roman" w:cs="Times New Roman" w:eastAsia="Times New Roman" w:hAnsi="Times New Roman"/>
          <w:sz w:val="19"/>
          <w:szCs w:val="19"/>
          <w:color w:val="2D2F2F"/>
        </w:rPr>
        <w:t>r</w:t>
      </w:r>
      <w:r>
        <w:rPr>
          <w:rFonts w:ascii="Times New Roman" w:cs="Times New Roman" w:eastAsia="Times New Roman" w:hAnsi="Times New Roman"/>
          <w:sz w:val="19"/>
          <w:szCs w:val="19"/>
          <w:color w:val="4F5050"/>
        </w:rPr>
        <w:t>g</w:t>
      </w:r>
      <w:r>
        <w:rPr>
          <w:rFonts w:ascii="Times New Roman" w:cs="Times New Roman" w:eastAsia="Times New Roman" w:hAnsi="Times New Roman"/>
          <w:sz w:val="19"/>
          <w:szCs w:val="19"/>
          <w:color w:val="2D2F2F"/>
        </w:rPr>
        <w:t>uin</w:t>
      </w:r>
      <w:r>
        <w:rPr>
          <w:rFonts w:ascii="Times New Roman" w:cs="Times New Roman" w:eastAsia="Times New Roman" w:hAnsi="Times New Roman"/>
          <w:sz w:val="19"/>
          <w:szCs w:val="19"/>
          <w:color w:val="4F5050"/>
        </w:rPr>
        <w:t>g</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3D3F3F"/>
        </w:rPr>
        <w:t>that this</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4F5050"/>
        </w:rPr>
        <w:t>Cons</w:t>
      </w:r>
      <w:r>
        <w:rPr>
          <w:rFonts w:ascii="Times New Roman" w:cs="Times New Roman" w:eastAsia="Times New Roman" w:hAnsi="Times New Roman"/>
          <w:sz w:val="19"/>
          <w:szCs w:val="19"/>
          <w:color w:val="2D2F2F"/>
        </w:rPr>
        <w:t>ulti</w:t>
      </w:r>
      <w:r>
        <w:rPr>
          <w:rFonts w:ascii="Times New Roman" w:cs="Times New Roman" w:eastAsia="Times New Roman" w:hAnsi="Times New Roman"/>
          <w:sz w:val="19"/>
          <w:szCs w:val="19"/>
          <w:color w:val="4F5050"/>
        </w:rPr>
        <w:t>ng Ag</w:t>
      </w:r>
      <w:r>
        <w:rPr>
          <w:rFonts w:ascii="Times New Roman" w:cs="Times New Roman" w:eastAsia="Times New Roman" w:hAnsi="Times New Roman"/>
          <w:sz w:val="19"/>
          <w:szCs w:val="19"/>
          <w:color w:val="2D2F2F"/>
        </w:rPr>
        <w:t>r</w:t>
      </w:r>
      <w:r>
        <w:rPr>
          <w:rFonts w:ascii="Times New Roman" w:cs="Times New Roman" w:eastAsia="Times New Roman" w:hAnsi="Times New Roman"/>
          <w:sz w:val="19"/>
          <w:szCs w:val="19"/>
          <w:color w:val="4F5050"/>
        </w:rPr>
        <w:t>ee</w:t>
      </w:r>
      <w:r>
        <w:rPr>
          <w:rFonts w:ascii="Times New Roman" w:cs="Times New Roman" w:eastAsia="Times New Roman" w:hAnsi="Times New Roman"/>
          <w:sz w:val="19"/>
          <w:szCs w:val="19"/>
          <w:color w:val="2D2F2F"/>
        </w:rPr>
        <w:t>m</w:t>
      </w:r>
      <w:r>
        <w:rPr>
          <w:rFonts w:ascii="Times New Roman" w:cs="Times New Roman" w:eastAsia="Times New Roman" w:hAnsi="Times New Roman"/>
          <w:sz w:val="19"/>
          <w:szCs w:val="19"/>
          <w:color w:val="4F5050"/>
        </w:rPr>
        <w:t>e</w:t>
      </w:r>
      <w:r>
        <w:rPr>
          <w:rFonts w:ascii="Times New Roman" w:cs="Times New Roman" w:eastAsia="Times New Roman" w:hAnsi="Times New Roman"/>
          <w:sz w:val="19"/>
          <w:szCs w:val="19"/>
          <w:color w:val="1D1F1F"/>
        </w:rPr>
        <w:t>n</w:t>
      </w:r>
      <w:r>
        <w:rPr>
          <w:rFonts w:ascii="Times New Roman" w:cs="Times New Roman" w:eastAsia="Times New Roman" w:hAnsi="Times New Roman"/>
          <w:sz w:val="19"/>
          <w:szCs w:val="19"/>
          <w:color w:val="3D3F3F"/>
        </w:rPr>
        <w:t>t</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646664"/>
        </w:rPr>
        <w:t>s</w:t>
      </w:r>
      <w:r>
        <w:rPr>
          <w:rFonts w:ascii="Times New Roman" w:cs="Times New Roman" w:eastAsia="Times New Roman" w:hAnsi="Times New Roman"/>
          <w:sz w:val="19"/>
          <w:szCs w:val="19"/>
          <w:color w:val="3D3F3F"/>
        </w:rPr>
        <w:t>hall</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4F5050"/>
        </w:rPr>
        <w:t>be unenforceab</w:t>
      </w:r>
      <w:r>
        <w:rPr>
          <w:rFonts w:ascii="Times New Roman" w:cs="Times New Roman" w:eastAsia="Times New Roman" w:hAnsi="Times New Roman"/>
          <w:sz w:val="19"/>
          <w:szCs w:val="19"/>
          <w:color w:val="2D2F2F"/>
        </w:rPr>
        <w:t>l</w:t>
      </w:r>
      <w:r>
        <w:rPr>
          <w:rFonts w:ascii="Times New Roman" w:cs="Times New Roman" w:eastAsia="Times New Roman" w:hAnsi="Times New Roman"/>
          <w:sz w:val="19"/>
          <w:szCs w:val="19"/>
          <w:color w:val="646664"/>
        </w:rPr>
        <w:t>e</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3D3F3F"/>
        </w:rPr>
        <w:t>due</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4F5050"/>
        </w:rPr>
        <w:t>to</w:t>
      </w:r>
      <w:r>
        <w:rPr>
          <w:rFonts w:ascii="Times New Roman" w:cs="Times New Roman" w:eastAsia="Times New Roman" w:hAnsi="Times New Roman"/>
          <w:sz w:val="19"/>
          <w:szCs w:val="19"/>
          <w:color w:val="2D2F2F"/>
        </w:rPr>
        <w:t xml:space="preserve"> </w:t>
      </w:r>
      <w:r>
        <w:rPr>
          <w:rFonts w:ascii="Times New Roman" w:cs="Times New Roman" w:eastAsia="Times New Roman" w:hAnsi="Times New Roman"/>
          <w:sz w:val="19"/>
          <w:szCs w:val="19"/>
          <w:color w:val="3D3F3F"/>
        </w:rPr>
        <w:t>in</w:t>
      </w:r>
      <w:r>
        <w:rPr>
          <w:rFonts w:ascii="Times New Roman" w:cs="Times New Roman" w:eastAsia="Times New Roman" w:hAnsi="Times New Roman"/>
          <w:sz w:val="19"/>
          <w:szCs w:val="19"/>
          <w:color w:val="646664"/>
        </w:rPr>
        <w:t>s</w:t>
      </w:r>
      <w:r>
        <w:rPr>
          <w:rFonts w:ascii="Times New Roman" w:cs="Times New Roman" w:eastAsia="Times New Roman" w:hAnsi="Times New Roman"/>
          <w:sz w:val="19"/>
          <w:szCs w:val="19"/>
          <w:color w:val="3D3F3F"/>
        </w:rPr>
        <w:t xml:space="preserve">ufficient </w:t>
      </w:r>
      <w:r>
        <w:rPr>
          <w:rFonts w:ascii="Times New Roman" w:cs="Times New Roman" w:eastAsia="Times New Roman" w:hAnsi="Times New Roman"/>
          <w:sz w:val="19"/>
          <w:szCs w:val="19"/>
          <w:color w:val="646664"/>
        </w:rPr>
        <w:t>cons</w:t>
      </w:r>
      <w:r>
        <w:rPr>
          <w:rFonts w:ascii="Times New Roman" w:cs="Times New Roman" w:eastAsia="Times New Roman" w:hAnsi="Times New Roman"/>
          <w:sz w:val="19"/>
          <w:szCs w:val="19"/>
          <w:color w:val="3D3F3F"/>
        </w:rPr>
        <w:t>iderati</w:t>
      </w:r>
      <w:r>
        <w:rPr>
          <w:rFonts w:ascii="Times New Roman" w:cs="Times New Roman" w:eastAsia="Times New Roman" w:hAnsi="Times New Roman"/>
          <w:sz w:val="19"/>
          <w:szCs w:val="19"/>
          <w:color w:val="646664"/>
        </w:rPr>
        <w:t>on.</w:t>
      </w:r>
      <w:r>
        <w:rPr>
          <w:rFonts w:ascii="Times New Roman" w:cs="Times New Roman" w:eastAsia="Times New Roman" w:hAnsi="Times New Roman"/>
          <w:sz w:val="19"/>
          <w:szCs w:val="19"/>
          <w:color w:val="3D3F3F"/>
        </w:rPr>
        <w:t xml:space="preserve"> Howe</w:t>
      </w:r>
      <w:r>
        <w:rPr>
          <w:rFonts w:ascii="Times New Roman" w:cs="Times New Roman" w:eastAsia="Times New Roman" w:hAnsi="Times New Roman"/>
          <w:sz w:val="19"/>
          <w:szCs w:val="19"/>
          <w:color w:val="646664"/>
        </w:rPr>
        <w:t>ver, such</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waiver does not cover</w:t>
      </w:r>
      <w:r>
        <w:rPr>
          <w:rFonts w:ascii="Times New Roman" w:cs="Times New Roman" w:eastAsia="Times New Roman" w:hAnsi="Times New Roman"/>
          <w:sz w:val="19"/>
          <w:szCs w:val="19"/>
          <w:color w:val="3D3F3F"/>
        </w:rPr>
        <w:t xml:space="preserve"> an</w:t>
      </w:r>
      <w:r>
        <w:rPr>
          <w:rFonts w:ascii="Times New Roman" w:cs="Times New Roman" w:eastAsia="Times New Roman" w:hAnsi="Times New Roman"/>
          <w:sz w:val="19"/>
          <w:szCs w:val="19"/>
          <w:color w:val="646664"/>
        </w:rPr>
        <w:t>y</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possible</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c</w:t>
      </w:r>
      <w:r>
        <w:rPr>
          <w:rFonts w:ascii="Times New Roman" w:cs="Times New Roman" w:eastAsia="Times New Roman" w:hAnsi="Times New Roman"/>
          <w:sz w:val="19"/>
          <w:szCs w:val="19"/>
          <w:color w:val="1D1F1F"/>
        </w:rPr>
        <w:t>l</w:t>
      </w:r>
      <w:r>
        <w:rPr>
          <w:rFonts w:ascii="Times New Roman" w:cs="Times New Roman" w:eastAsia="Times New Roman" w:hAnsi="Times New Roman"/>
          <w:sz w:val="19"/>
          <w:szCs w:val="19"/>
          <w:color w:val="4F5050"/>
        </w:rPr>
        <w:t>aim</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o</w:t>
      </w:r>
      <w:r>
        <w:rPr>
          <w:rFonts w:ascii="Times New Roman" w:cs="Times New Roman" w:eastAsia="Times New Roman" w:hAnsi="Times New Roman"/>
          <w:sz w:val="19"/>
          <w:szCs w:val="19"/>
          <w:color w:val="3D3F3F"/>
        </w:rPr>
        <w:t xml:space="preserve">f </w:t>
      </w:r>
      <w:r>
        <w:rPr>
          <w:rFonts w:ascii="Times New Roman" w:cs="Times New Roman" w:eastAsia="Times New Roman" w:hAnsi="Times New Roman"/>
          <w:sz w:val="19"/>
          <w:szCs w:val="19"/>
          <w:color w:val="646664"/>
        </w:rPr>
        <w:t>Consu</w:t>
      </w:r>
      <w:r>
        <w:rPr>
          <w:rFonts w:ascii="Times New Roman" w:cs="Times New Roman" w:eastAsia="Times New Roman" w:hAnsi="Times New Roman"/>
          <w:sz w:val="19"/>
          <w:szCs w:val="19"/>
          <w:color w:val="2D2F2F"/>
        </w:rPr>
        <w:t>l</w:t>
      </w:r>
      <w:r>
        <w:rPr>
          <w:rFonts w:ascii="Times New Roman" w:cs="Times New Roman" w:eastAsia="Times New Roman" w:hAnsi="Times New Roman"/>
          <w:sz w:val="19"/>
          <w:szCs w:val="19"/>
          <w:color w:val="4F5050"/>
        </w:rPr>
        <w:t>tant</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ag</w:t>
      </w:r>
      <w:r>
        <w:rPr>
          <w:rFonts w:ascii="Times New Roman" w:cs="Times New Roman" w:eastAsia="Times New Roman" w:hAnsi="Times New Roman"/>
          <w:sz w:val="19"/>
          <w:szCs w:val="19"/>
          <w:color w:val="3D3F3F"/>
        </w:rPr>
        <w:t>ain</w:t>
      </w:r>
      <w:r>
        <w:rPr>
          <w:rFonts w:ascii="Times New Roman" w:cs="Times New Roman" w:eastAsia="Times New Roman" w:hAnsi="Times New Roman"/>
          <w:sz w:val="19"/>
          <w:szCs w:val="19"/>
          <w:color w:val="646664"/>
        </w:rPr>
        <w:t>st the Com</w:t>
      </w:r>
      <w:r>
        <w:rPr>
          <w:rFonts w:ascii="Times New Roman" w:cs="Times New Roman" w:eastAsia="Times New Roman" w:hAnsi="Times New Roman"/>
          <w:sz w:val="19"/>
          <w:szCs w:val="19"/>
          <w:color w:val="3D3F3F"/>
        </w:rPr>
        <w:t>pan</w:t>
      </w:r>
      <w:r>
        <w:rPr>
          <w:rFonts w:ascii="Times New Roman" w:cs="Times New Roman" w:eastAsia="Times New Roman" w:hAnsi="Times New Roman"/>
          <w:sz w:val="19"/>
          <w:szCs w:val="19"/>
          <w:color w:val="646664"/>
        </w:rPr>
        <w:t>y</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4F5050"/>
        </w:rPr>
        <w:t>in the event</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that</w:t>
      </w:r>
      <w:r>
        <w:rPr>
          <w:rFonts w:ascii="Times New Roman" w:cs="Times New Roman" w:eastAsia="Times New Roman" w:hAnsi="Times New Roman"/>
          <w:sz w:val="19"/>
          <w:szCs w:val="19"/>
          <w:color w:val="3D3F3F"/>
        </w:rPr>
        <w:t xml:space="preserve"> </w:t>
      </w:r>
      <w:r>
        <w:rPr>
          <w:rFonts w:ascii="Times New Roman" w:cs="Times New Roman" w:eastAsia="Times New Roman" w:hAnsi="Times New Roman"/>
          <w:sz w:val="19"/>
          <w:szCs w:val="19"/>
          <w:color w:val="646664"/>
        </w:rPr>
        <w:t>Co</w:t>
      </w:r>
      <w:r>
        <w:rPr>
          <w:rFonts w:ascii="Times New Roman" w:cs="Times New Roman" w:eastAsia="Times New Roman" w:hAnsi="Times New Roman"/>
          <w:sz w:val="19"/>
          <w:szCs w:val="19"/>
          <w:color w:val="2D2F2F"/>
        </w:rPr>
        <w:t>mp</w:t>
      </w:r>
      <w:r>
        <w:rPr>
          <w:rFonts w:ascii="Times New Roman" w:cs="Times New Roman" w:eastAsia="Times New Roman" w:hAnsi="Times New Roman"/>
          <w:sz w:val="19"/>
          <w:szCs w:val="19"/>
          <w:color w:val="4F5050"/>
        </w:rPr>
        <w:t>any</w:t>
      </w:r>
      <w:r>
        <w:rPr>
          <w:rFonts w:ascii="Times New Roman" w:cs="Times New Roman" w:eastAsia="Times New Roman" w:hAnsi="Times New Roman"/>
          <w:sz w:val="19"/>
          <w:szCs w:val="19"/>
          <w:color w:val="646664"/>
        </w:rPr>
        <w:t xml:space="preserve"> </w:t>
      </w:r>
      <w:r>
        <w:rPr>
          <w:rFonts w:ascii="Times New Roman" w:cs="Times New Roman" w:eastAsia="Times New Roman" w:hAnsi="Times New Roman"/>
          <w:sz w:val="19"/>
          <w:szCs w:val="19"/>
          <w:color w:val="3D3F3F"/>
        </w:rPr>
        <w:t>brea</w:t>
      </w:r>
      <w:r>
        <w:rPr>
          <w:rFonts w:ascii="Times New Roman" w:cs="Times New Roman" w:eastAsia="Times New Roman" w:hAnsi="Times New Roman"/>
          <w:sz w:val="19"/>
          <w:szCs w:val="19"/>
          <w:color w:val="646664"/>
        </w:rPr>
        <w:t xml:space="preserve">ches </w:t>
      </w:r>
      <w:r>
        <w:rPr>
          <w:rFonts w:ascii="Times New Roman" w:cs="Times New Roman" w:eastAsia="Times New Roman" w:hAnsi="Times New Roman"/>
          <w:sz w:val="19"/>
          <w:szCs w:val="19"/>
          <w:color w:val="4F5050"/>
        </w:rPr>
        <w:t>this</w:t>
      </w:r>
      <w:r>
        <w:rPr>
          <w:rFonts w:ascii="Times New Roman" w:cs="Times New Roman" w:eastAsia="Times New Roman" w:hAnsi="Times New Roman"/>
          <w:sz w:val="19"/>
          <w:szCs w:val="19"/>
          <w:color w:val="646664"/>
        </w:rPr>
        <w:t xml:space="preserve"> Consult</w:t>
      </w:r>
      <w:r>
        <w:rPr>
          <w:rFonts w:ascii="Times New Roman" w:cs="Times New Roman" w:eastAsia="Times New Roman" w:hAnsi="Times New Roman"/>
          <w:sz w:val="19"/>
          <w:szCs w:val="19"/>
          <w:color w:val="2D2F2F"/>
        </w:rPr>
        <w:t>i</w:t>
      </w:r>
      <w:r>
        <w:rPr>
          <w:rFonts w:ascii="Times New Roman" w:cs="Times New Roman" w:eastAsia="Times New Roman" w:hAnsi="Times New Roman"/>
          <w:sz w:val="19"/>
          <w:szCs w:val="19"/>
          <w:color w:val="4F5050"/>
        </w:rPr>
        <w:t>ng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4F5050"/>
        </w:rPr>
        <w:t xml:space="preserve">[Remainder of Page Intentionally </w:t>
      </w:r>
      <w:r>
        <w:rPr>
          <w:rFonts w:ascii="Times New Roman" w:cs="Times New Roman" w:eastAsia="Times New Roman" w:hAnsi="Times New Roman"/>
          <w:sz w:val="21"/>
          <w:szCs w:val="21"/>
          <w:i w:val="1"/>
          <w:iCs w:val="1"/>
          <w:color w:val="646664"/>
        </w:rPr>
        <w:t>left</w:t>
      </w:r>
      <w:r>
        <w:rPr>
          <w:rFonts w:ascii="Times New Roman" w:cs="Times New Roman" w:eastAsia="Times New Roman" w:hAnsi="Times New Roman"/>
          <w:sz w:val="21"/>
          <w:szCs w:val="21"/>
          <w:i w:val="1"/>
          <w:iCs w:val="1"/>
          <w:color w:val="4F5050"/>
        </w:rPr>
        <w:t xml:space="preserve"> </w:t>
      </w:r>
      <w:r>
        <w:rPr>
          <w:rFonts w:ascii="Times New Roman" w:cs="Times New Roman" w:eastAsia="Times New Roman" w:hAnsi="Times New Roman"/>
          <w:sz w:val="21"/>
          <w:szCs w:val="21"/>
          <w:i w:val="1"/>
          <w:iCs w:val="1"/>
          <w:color w:val="3D3F3F"/>
        </w:rPr>
        <w:t>Blan</w:t>
      </w:r>
      <w:r>
        <w:rPr>
          <w:rFonts w:ascii="Times New Roman" w:cs="Times New Roman" w:eastAsia="Times New Roman" w:hAnsi="Times New Roman"/>
          <w:sz w:val="21"/>
          <w:szCs w:val="21"/>
          <w:i w:val="1"/>
          <w:iCs w:val="1"/>
          <w:color w:val="646664"/>
        </w:rPr>
        <w:t>k; Signature Page Follows</w:t>
      </w:r>
      <w:r>
        <w:rPr>
          <w:rFonts w:ascii="Times New Roman" w:cs="Times New Roman" w:eastAsia="Times New Roman" w:hAnsi="Times New Roman"/>
          <w:sz w:val="21"/>
          <w:szCs w:val="21"/>
          <w:i w:val="1"/>
          <w:iCs w:val="1"/>
          <w:color w:val="3D3F3F"/>
        </w:rPr>
        <w:t>]</w:t>
      </w:r>
    </w:p>
    <w:p>
      <w:pPr>
        <w:sectPr>
          <w:pgSz w:w="11900" w:h="16838" w:orient="portrait"/>
          <w:cols w:equalWidth="0" w:num="1">
            <w:col w:w="11100"/>
          </w:cols>
          <w:pgMar w:left="360" w:top="180" w:right="439"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20"/>
          <w:szCs w:val="20"/>
          <w:i w:val="1"/>
          <w:iCs w:val="1"/>
          <w:color w:val="232323"/>
        </w:rPr>
        <w:t>Ex</w:t>
      </w:r>
      <w:r>
        <w:rPr>
          <w:rFonts w:ascii="Times New Roman" w:cs="Times New Roman" w:eastAsia="Times New Roman" w:hAnsi="Times New Roman"/>
          <w:sz w:val="20"/>
          <w:szCs w:val="20"/>
          <w:i w:val="1"/>
          <w:iCs w:val="1"/>
          <w:color w:val="424444"/>
        </w:rPr>
        <w:t>ec</w:t>
      </w:r>
      <w:r>
        <w:rPr>
          <w:rFonts w:ascii="Times New Roman" w:cs="Times New Roman" w:eastAsia="Times New Roman" w:hAnsi="Times New Roman"/>
          <w:sz w:val="20"/>
          <w:szCs w:val="20"/>
          <w:i w:val="1"/>
          <w:iCs w:val="1"/>
          <w:color w:val="232323"/>
        </w:rPr>
        <w:t>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232323"/>
        </w:rPr>
        <w:t>IN WITNESS WHER</w:t>
      </w:r>
      <w:r>
        <w:rPr>
          <w:rFonts w:ascii="Times New Roman" w:cs="Times New Roman" w:eastAsia="Times New Roman" w:hAnsi="Times New Roman"/>
          <w:sz w:val="20"/>
          <w:szCs w:val="20"/>
          <w:b w:val="1"/>
          <w:bCs w:val="1"/>
          <w:color w:val="424444"/>
        </w:rPr>
        <w:t>E</w:t>
      </w:r>
      <w:r>
        <w:rPr>
          <w:rFonts w:ascii="Times New Roman" w:cs="Times New Roman" w:eastAsia="Times New Roman" w:hAnsi="Times New Roman"/>
          <w:sz w:val="20"/>
          <w:szCs w:val="20"/>
          <w:b w:val="1"/>
          <w:bCs w:val="1"/>
          <w:color w:val="232323"/>
        </w:rPr>
        <w:t>O</w:t>
      </w:r>
      <w:r>
        <w:rPr>
          <w:rFonts w:ascii="Times New Roman" w:cs="Times New Roman" w:eastAsia="Times New Roman" w:hAnsi="Times New Roman"/>
          <w:sz w:val="20"/>
          <w:szCs w:val="20"/>
          <w:b w:val="1"/>
          <w:bCs w:val="1"/>
          <w:color w:val="424444"/>
        </w:rPr>
        <w:t>F,</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424444"/>
        </w:rPr>
        <w:t>the Parties</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33434"/>
        </w:rPr>
        <w:t>hereto</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232323"/>
        </w:rPr>
        <w:t>h</w:t>
      </w:r>
      <w:r>
        <w:rPr>
          <w:rFonts w:ascii="Times New Roman" w:cs="Times New Roman" w:eastAsia="Times New Roman" w:hAnsi="Times New Roman"/>
          <w:sz w:val="20"/>
          <w:szCs w:val="20"/>
          <w:color w:val="424444"/>
        </w:rPr>
        <w:t>ave executed t</w:t>
      </w:r>
      <w:r>
        <w:rPr>
          <w:rFonts w:ascii="Times New Roman" w:cs="Times New Roman" w:eastAsia="Times New Roman" w:hAnsi="Times New Roman"/>
          <w:sz w:val="20"/>
          <w:szCs w:val="20"/>
          <w:color w:val="232323"/>
        </w:rPr>
        <w:t>his</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424444"/>
        </w:rPr>
        <w:t>Consulting</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33434"/>
        </w:rPr>
        <w:t>Agreement</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424444"/>
        </w:rPr>
        <w:t>as of</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33434"/>
        </w:rPr>
        <w:t>the</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424444"/>
        </w:rPr>
        <w:t>Effective</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33434"/>
        </w:rPr>
        <w:t>Date.</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333434"/>
        </w:rPr>
        <w:t>COMPANY:</w:t>
      </w:r>
    </w:p>
    <w:p>
      <w:pPr>
        <w:spacing w:after="0" w:line="24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424444"/>
        </w:rPr>
        <w:t xml:space="preserve">SALARIUS </w:t>
      </w:r>
      <w:r>
        <w:rPr>
          <w:rFonts w:ascii="Times New Roman" w:cs="Times New Roman" w:eastAsia="Times New Roman" w:hAnsi="Times New Roman"/>
          <w:sz w:val="21"/>
          <w:szCs w:val="21"/>
          <w:color w:val="232323"/>
        </w:rPr>
        <w:t>PH</w:t>
      </w:r>
      <w:r>
        <w:rPr>
          <w:rFonts w:ascii="Times New Roman" w:cs="Times New Roman" w:eastAsia="Times New Roman" w:hAnsi="Times New Roman"/>
          <w:sz w:val="21"/>
          <w:szCs w:val="21"/>
          <w:color w:val="424444"/>
        </w:rPr>
        <w:t>ARMACEU</w:t>
      </w:r>
      <w:r>
        <w:rPr>
          <w:rFonts w:ascii="Times New Roman" w:cs="Times New Roman" w:eastAsia="Times New Roman" w:hAnsi="Times New Roman"/>
          <w:sz w:val="21"/>
          <w:szCs w:val="21"/>
          <w:color w:val="232323"/>
        </w:rPr>
        <w:t>TICAL</w:t>
      </w:r>
      <w:r>
        <w:rPr>
          <w:rFonts w:ascii="Times New Roman" w:cs="Times New Roman" w:eastAsia="Times New Roman" w:hAnsi="Times New Roman"/>
          <w:sz w:val="21"/>
          <w:szCs w:val="21"/>
          <w:color w:val="424444"/>
        </w:rPr>
        <w:t xml:space="preserve">S, </w:t>
      </w:r>
      <w:r>
        <w:rPr>
          <w:rFonts w:ascii="Times New Roman" w:cs="Times New Roman" w:eastAsia="Times New Roman" w:hAnsi="Times New Roman"/>
          <w:sz w:val="21"/>
          <w:szCs w:val="21"/>
          <w:color w:val="333434"/>
        </w:rPr>
        <w:t>INC.,</w:t>
      </w:r>
    </w:p>
    <w:p>
      <w:pPr>
        <w:spacing w:after="0" w:line="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424444"/>
        </w:rPr>
        <w:t xml:space="preserve">a </w:t>
      </w:r>
      <w:r>
        <w:rPr>
          <w:rFonts w:ascii="Times New Roman" w:cs="Times New Roman" w:eastAsia="Times New Roman" w:hAnsi="Times New Roman"/>
          <w:sz w:val="21"/>
          <w:szCs w:val="21"/>
          <w:color w:val="333434"/>
        </w:rPr>
        <w:t>Delaware corporation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2323"/>
        </w:rPr>
        <w:t>B</w:t>
      </w:r>
      <w:r>
        <w:rPr>
          <w:rFonts w:ascii="Times New Roman" w:cs="Times New Roman" w:eastAsia="Times New Roman" w:hAnsi="Times New Roman"/>
          <w:sz w:val="21"/>
          <w:szCs w:val="21"/>
          <w:color w:val="424444"/>
        </w:rPr>
        <w:t>y</w:t>
      </w:r>
      <w:r>
        <w:rPr>
          <w:rFonts w:ascii="Times New Roman" w:cs="Times New Roman" w:eastAsia="Times New Roman" w:hAnsi="Times New Roman"/>
          <w:sz w:val="21"/>
          <w:szCs w:val="21"/>
          <w:color w:val="232323"/>
        </w:rPr>
        <w:t>:</w:t>
      </w:r>
      <w:r>
        <w:rPr>
          <w:sz w:val="1"/>
          <w:szCs w:val="1"/>
          <w:color w:val="auto"/>
        </w:rPr>
        <w:drawing>
          <wp:inline distT="0" distB="0" distL="0" distR="0">
            <wp:extent cx="2408555" cy="38608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2408555" cy="386080"/>
                    </a:xfrm>
                    <a:prstGeom prst="rect">
                      <a:avLst/>
                    </a:prstGeom>
                    <a:noFill/>
                    <a:ln>
                      <a:noFill/>
                    </a:ln>
                  </pic:spPr>
                </pic:pic>
              </a:graphicData>
            </a:graphic>
          </wp:inline>
        </w:drawing>
      </w:r>
    </w:p>
    <w:p>
      <w:pPr>
        <w:spacing w:after="0" w:line="6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424444"/>
        </w:rPr>
        <w:t xml:space="preserve">Name: </w:t>
      </w:r>
      <w:r>
        <w:rPr>
          <w:rFonts w:ascii="Times New Roman" w:cs="Times New Roman" w:eastAsia="Times New Roman" w:hAnsi="Times New Roman"/>
          <w:sz w:val="21"/>
          <w:szCs w:val="21"/>
          <w:color w:val="333434"/>
        </w:rPr>
        <w:t>William K.</w:t>
      </w:r>
      <w:r>
        <w:rPr>
          <w:rFonts w:ascii="Times New Roman" w:cs="Times New Roman" w:eastAsia="Times New Roman" w:hAnsi="Times New Roman"/>
          <w:sz w:val="21"/>
          <w:szCs w:val="21"/>
          <w:color w:val="424444"/>
        </w:rPr>
        <w:t xml:space="preserve"> McVicar</w:t>
      </w:r>
    </w:p>
    <w:p>
      <w:pPr>
        <w:ind w:left="3700"/>
        <w:spacing w:after="0"/>
        <w:rPr>
          <w:sz w:val="20"/>
          <w:szCs w:val="20"/>
          <w:color w:val="auto"/>
        </w:rPr>
      </w:pPr>
      <w:r>
        <w:rPr>
          <w:rFonts w:ascii="Times New Roman" w:cs="Times New Roman" w:eastAsia="Times New Roman" w:hAnsi="Times New Roman"/>
          <w:sz w:val="21"/>
          <w:szCs w:val="21"/>
          <w:color w:val="333434"/>
        </w:rPr>
        <w:t>Title: Chair of the Board</w:t>
      </w:r>
    </w:p>
    <w:p>
      <w:pPr>
        <w:spacing w:after="0" w:line="200" w:lineRule="exact"/>
        <w:rPr>
          <w:sz w:val="20"/>
          <w:szCs w:val="20"/>
          <w:color w:val="auto"/>
        </w:rPr>
      </w:pPr>
    </w:p>
    <w:p>
      <w:pPr>
        <w:spacing w:after="0" w:line="26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232323"/>
        </w:rPr>
        <w:t>CONS</w:t>
      </w:r>
      <w:r>
        <w:rPr>
          <w:rFonts w:ascii="Times New Roman" w:cs="Times New Roman" w:eastAsia="Times New Roman" w:hAnsi="Times New Roman"/>
          <w:sz w:val="21"/>
          <w:szCs w:val="21"/>
          <w:b w:val="1"/>
          <w:bCs w:val="1"/>
          <w:color w:val="424444"/>
        </w:rPr>
        <w:t>U</w:t>
      </w:r>
      <w:r>
        <w:rPr>
          <w:rFonts w:ascii="Times New Roman" w:cs="Times New Roman" w:eastAsia="Times New Roman" w:hAnsi="Times New Roman"/>
          <w:sz w:val="21"/>
          <w:szCs w:val="21"/>
          <w:b w:val="1"/>
          <w:bCs w:val="1"/>
          <w:color w:val="232323"/>
        </w:rPr>
        <w:t>LT</w:t>
      </w:r>
      <w:r>
        <w:rPr>
          <w:rFonts w:ascii="Times New Roman" w:cs="Times New Roman" w:eastAsia="Times New Roman" w:hAnsi="Times New Roman"/>
          <w:sz w:val="21"/>
          <w:szCs w:val="21"/>
          <w:b w:val="1"/>
          <w:bCs w:val="1"/>
          <w:color w:val="333434"/>
        </w:rPr>
        <w: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517015" cy="3771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1517015" cy="377190"/>
                    </a:xfrm>
                    <a:prstGeom prst="rect">
                      <a:avLst/>
                    </a:prstGeom>
                    <a:noFill/>
                  </pic:spPr>
                </pic:pic>
              </a:graphicData>
            </a:graphic>
          </wp:anchor>
        </w:drawing>
      </w:r>
    </w:p>
    <w:p>
      <w:pPr>
        <w:sectPr>
          <w:pgSz w:w="11900" w:h="16838" w:orient="portrait"/>
          <w:cols w:equalWidth="0" w:num="1">
            <w:col w:w="10220"/>
          </w:cols>
          <w:pgMar w:left="320" w:top="180" w:right="1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i w:val="1"/>
          <w:iCs w:val="1"/>
          <w:color w:val="232323"/>
        </w:rPr>
        <w:t>Ex</w:t>
      </w:r>
      <w:r>
        <w:rPr>
          <w:rFonts w:ascii="Times New Roman" w:cs="Times New Roman" w:eastAsia="Times New Roman" w:hAnsi="Times New Roman"/>
          <w:sz w:val="20"/>
          <w:szCs w:val="20"/>
          <w:i w:val="1"/>
          <w:iCs w:val="1"/>
          <w:color w:val="424444"/>
        </w:rPr>
        <w:t>ec</w:t>
      </w:r>
      <w:r>
        <w:rPr>
          <w:rFonts w:ascii="Times New Roman" w:cs="Times New Roman" w:eastAsia="Times New Roman" w:hAnsi="Times New Roman"/>
          <w:sz w:val="20"/>
          <w:szCs w:val="20"/>
          <w:i w:val="1"/>
          <w:iCs w:val="1"/>
          <w:color w:val="232323"/>
        </w:rPr>
        <w:t>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21"/>
          <w:szCs w:val="21"/>
          <w:i w:val="1"/>
          <w:iCs w:val="1"/>
          <w:color w:val="424444"/>
        </w:rPr>
        <w:t>[Signatur</w:t>
      </w:r>
      <w:r>
        <w:rPr>
          <w:rFonts w:ascii="Times New Roman" w:cs="Times New Roman" w:eastAsia="Times New Roman" w:hAnsi="Times New Roman"/>
          <w:sz w:val="21"/>
          <w:szCs w:val="21"/>
          <w:i w:val="1"/>
          <w:iCs w:val="1"/>
          <w:color w:val="626462"/>
        </w:rPr>
        <w:t>e</w:t>
      </w:r>
      <w:r>
        <w:rPr>
          <w:rFonts w:ascii="Times New Roman" w:cs="Times New Roman" w:eastAsia="Times New Roman" w:hAnsi="Times New Roman"/>
          <w:sz w:val="21"/>
          <w:szCs w:val="21"/>
          <w:i w:val="1"/>
          <w:iCs w:val="1"/>
          <w:color w:val="424444"/>
        </w:rPr>
        <w:t xml:space="preserve"> Page to Amendment 1 to Consulting Agreement]</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626462"/>
        </w:rPr>
        <w:t>\</w:t>
      </w:r>
      <w:r>
        <w:rPr>
          <w:rFonts w:ascii="Times New Roman" w:cs="Times New Roman" w:eastAsia="Times New Roman" w:hAnsi="Times New Roman"/>
          <w:sz w:val="11"/>
          <w:szCs w:val="11"/>
          <w:color w:val="7C7C7C"/>
        </w:rPr>
        <w:t>\</w:t>
      </w:r>
      <w:r>
        <w:rPr>
          <w:rFonts w:ascii="Times New Roman" w:cs="Times New Roman" w:eastAsia="Times New Roman" w:hAnsi="Times New Roman"/>
          <w:sz w:val="11"/>
          <w:szCs w:val="11"/>
          <w:color w:val="424444"/>
        </w:rPr>
        <w:t>4133-3</w:t>
      </w:r>
      <w:r>
        <w:rPr>
          <w:rFonts w:ascii="Times New Roman" w:cs="Times New Roman" w:eastAsia="Times New Roman" w:hAnsi="Times New Roman"/>
          <w:sz w:val="11"/>
          <w:szCs w:val="11"/>
          <w:color w:val="626462"/>
        </w:rPr>
        <w:t>7</w:t>
      </w:r>
      <w:r>
        <w:rPr>
          <w:rFonts w:ascii="Times New Roman" w:cs="Times New Roman" w:eastAsia="Times New Roman" w:hAnsi="Times New Roman"/>
          <w:sz w:val="11"/>
          <w:szCs w:val="11"/>
          <w:color w:val="424444"/>
        </w:rPr>
        <w:t>JO</w:t>
      </w:r>
      <w:r>
        <w:rPr>
          <w:rFonts w:ascii="Times New Roman" w:cs="Times New Roman" w:eastAsia="Times New Roman" w:hAnsi="Times New Roman"/>
          <w:sz w:val="11"/>
          <w:szCs w:val="11"/>
          <w:color w:val="626462"/>
        </w:rPr>
        <w:t>,</w:t>
      </w:r>
      <w:r>
        <w:rPr>
          <w:rFonts w:ascii="Times New Roman" w:cs="Times New Roman" w:eastAsia="Times New Roman" w:hAnsi="Times New Roman"/>
          <w:sz w:val="11"/>
          <w:szCs w:val="11"/>
          <w:color w:val="333434"/>
        </w:rPr>
        <w:t>J438</w:t>
      </w:r>
      <w:r>
        <w:rPr>
          <w:rFonts w:ascii="Times New Roman" w:cs="Times New Roman" w:eastAsia="Times New Roman" w:hAnsi="Times New Roman"/>
          <w:sz w:val="11"/>
          <w:szCs w:val="11"/>
          <w:color w:val="626462"/>
        </w:rPr>
        <w:t xml:space="preserve"> </w:t>
      </w:r>
      <w:r>
        <w:rPr>
          <w:rFonts w:ascii="Times New Roman" w:cs="Times New Roman" w:eastAsia="Times New Roman" w:hAnsi="Times New Roman"/>
          <w:sz w:val="11"/>
          <w:szCs w:val="11"/>
          <w:color w:val="424444"/>
        </w:rPr>
        <w:t>v6</w:t>
      </w:r>
    </w:p>
    <w:p>
      <w:pPr>
        <w:sectPr>
          <w:pgSz w:w="11900" w:h="16838" w:orient="portrait"/>
          <w:cols w:equalWidth="0" w:num="1">
            <w:col w:w="10099"/>
          </w:cols>
          <w:pgMar w:left="360" w:top="180" w:right="1440" w:bottom="1440" w:gutter="0" w:footer="0" w:header="0"/>
        </w:sectPr>
      </w:pPr>
    </w:p>
    <w:bookmarkStart w:id="89" w:name="page90"/>
    <w:bookmarkEnd w:id="89"/>
    <w:p>
      <w:pPr>
        <w:ind w:left="1420" w:right="2160" w:firstLine="810"/>
        <w:spacing w:after="0" w:line="275" w:lineRule="auto"/>
        <w:rPr>
          <w:sz w:val="20"/>
          <w:szCs w:val="20"/>
          <w:color w:val="auto"/>
        </w:rPr>
      </w:pPr>
      <w:r>
        <w:rPr>
          <w:rFonts w:ascii="Times New Roman" w:cs="Times New Roman" w:eastAsia="Times New Roman" w:hAnsi="Times New Roman"/>
          <w:sz w:val="22"/>
          <w:szCs w:val="22"/>
          <w:b w:val="1"/>
          <w:bCs w:val="1"/>
          <w:color w:val="auto"/>
        </w:rPr>
        <w:t>SALARIUS PHARMACEUTICALS, INC. INSIDER TRADING AND COMMUNICATIONS POLICY</w:t>
      </w: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Policy as to Trades in the Company’s Securities By Company Personnel and</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Treatment of Confidential Information</w:t>
      </w:r>
    </w:p>
    <w:p>
      <w:pPr>
        <w:spacing w:after="0" w:line="200" w:lineRule="exact"/>
        <w:rPr>
          <w:sz w:val="20"/>
          <w:szCs w:val="20"/>
          <w:color w:val="auto"/>
        </w:rPr>
      </w:pPr>
    </w:p>
    <w:p>
      <w:pPr>
        <w:spacing w:after="0" w:line="208" w:lineRule="exact"/>
        <w:rPr>
          <w:sz w:val="20"/>
          <w:szCs w:val="20"/>
          <w:color w:val="auto"/>
        </w:rPr>
      </w:pPr>
    </w:p>
    <w:p>
      <w:pPr>
        <w:ind w:left="1300" w:hanging="657"/>
        <w:spacing w:after="0"/>
        <w:tabs>
          <w:tab w:leader="none" w:pos="13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Both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and Congress are very concerned about maintaining the fairness and integrity of the U.S. capital markets. The securities laws are continually reviewed and amended to prevent people from taking advantage of “inside information” and to increase the punishment for those who do. These laws require publicly-traded companies to have clear policies on insider trading. If companies like ours do not take active steps to adopt preventive policies and procedures covering securities trades by company personnel, the consequences could be severe.</w:t>
      </w:r>
    </w:p>
    <w:p>
      <w:pPr>
        <w:spacing w:after="0" w:line="177"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2"/>
          <w:szCs w:val="22"/>
          <w:color w:val="auto"/>
        </w:rPr>
        <w:t>We are adopting this Insider Trading and Communications Policy to avoid even the appearance of improper conduct on the part of anyone employed by or associated with our Company (not just so-called insiders). We have all worked hard to establish our reputation for integrity and ethical conduct. We cannot afford to damage this reputation.</w:t>
      </w:r>
    </w:p>
    <w:p>
      <w:pPr>
        <w:spacing w:after="0" w:line="182" w:lineRule="exact"/>
        <w:rPr>
          <w:sz w:val="20"/>
          <w:szCs w:val="20"/>
          <w:color w:val="auto"/>
        </w:rPr>
      </w:pPr>
    </w:p>
    <w:p>
      <w:pPr>
        <w:ind w:left="1300" w:hanging="657"/>
        <w:spacing w:after="0"/>
        <w:tabs>
          <w:tab w:leader="none" w:pos="13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w:t>
      </w:r>
    </w:p>
    <w:p>
      <w:pPr>
        <w:spacing w:after="0" w:line="22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This policy applies to all employees, members of the Board of Directors, consultants and contractors of the Company or any subsidiary of the Company (the “</w:t>
      </w:r>
      <w:r>
        <w:rPr>
          <w:rFonts w:ascii="Times New Roman" w:cs="Times New Roman" w:eastAsia="Times New Roman" w:hAnsi="Times New Roman"/>
          <w:sz w:val="22"/>
          <w:szCs w:val="22"/>
          <w:b w:val="1"/>
          <w:bCs w:val="1"/>
          <w:color w:val="auto"/>
        </w:rPr>
        <w:t>Individuals</w:t>
      </w:r>
      <w:r>
        <w:rPr>
          <w:rFonts w:ascii="Times New Roman" w:cs="Times New Roman" w:eastAsia="Times New Roman" w:hAnsi="Times New Roman"/>
          <w:sz w:val="22"/>
          <w:szCs w:val="22"/>
          <w:color w:val="auto"/>
        </w:rPr>
        <w:t>”). This Policy applies to all trading or other transactions in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w:t>
      </w:r>
    </w:p>
    <w:p>
      <w:pPr>
        <w:spacing w:after="0" w:line="190" w:lineRule="exact"/>
        <w:rPr>
          <w:sz w:val="20"/>
          <w:szCs w:val="20"/>
          <w:color w:val="auto"/>
        </w:rPr>
      </w:pPr>
    </w:p>
    <w:p>
      <w:pPr>
        <w:ind w:left="1300" w:hanging="657"/>
        <w:spacing w:after="0"/>
        <w:tabs>
          <w:tab w:leader="none" w:pos="130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Consequences.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consequences of insider trading violations can be substantial:</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For Individuals </w:t>
      </w:r>
      <w:r>
        <w:rPr>
          <w:rFonts w:ascii="Times New Roman" w:cs="Times New Roman" w:eastAsia="Times New Roman" w:hAnsi="Times New Roman"/>
          <w:sz w:val="22"/>
          <w:szCs w:val="22"/>
          <w:color w:val="auto"/>
        </w:rPr>
        <w:t>who trade on inside information (or tip information to others):</w:t>
      </w:r>
    </w:p>
    <w:p>
      <w:pPr>
        <w:spacing w:after="0" w:line="226" w:lineRule="exact"/>
        <w:rPr>
          <w:sz w:val="20"/>
          <w:szCs w:val="20"/>
          <w:color w:val="auto"/>
        </w:rPr>
      </w:pPr>
    </w:p>
    <w:p>
      <w:pPr>
        <w:ind w:left="1600" w:hanging="309"/>
        <w:spacing w:after="0"/>
        <w:tabs>
          <w:tab w:leader="none" w:pos="1600" w:val="left"/>
        </w:tabs>
        <w:numPr>
          <w:ilvl w:val="0"/>
          <w:numId w:val="57"/>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rPr>
        <w:t>jail term of up to 20 years (30 years in certain circumstances);</w:t>
      </w:r>
    </w:p>
    <w:p>
      <w:pPr>
        <w:spacing w:after="0" w:line="219" w:lineRule="exact"/>
        <w:rPr>
          <w:rFonts w:ascii="Times New Roman" w:cs="Times New Roman" w:eastAsia="Times New Roman" w:hAnsi="Times New Roman"/>
          <w:sz w:val="22"/>
          <w:szCs w:val="22"/>
          <w:color w:val="auto"/>
          <w:strike w:val="1"/>
        </w:rPr>
      </w:pPr>
    </w:p>
    <w:p>
      <w:pPr>
        <w:ind w:left="1600" w:hanging="309"/>
        <w:spacing w:after="0"/>
        <w:tabs>
          <w:tab w:leader="none" w:pos="1600" w:val="left"/>
        </w:tabs>
        <w:numPr>
          <w:ilvl w:val="0"/>
          <w:numId w:val="57"/>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rPr>
        <w:t>civil penalty of up to three times the profit gained or loss avoided; and</w:t>
      </w:r>
    </w:p>
    <w:p>
      <w:pPr>
        <w:spacing w:after="0" w:line="219" w:lineRule="exact"/>
        <w:rPr>
          <w:rFonts w:ascii="Times New Roman" w:cs="Times New Roman" w:eastAsia="Times New Roman" w:hAnsi="Times New Roman"/>
          <w:sz w:val="22"/>
          <w:szCs w:val="22"/>
          <w:color w:val="auto"/>
          <w:strike w:val="1"/>
        </w:rPr>
      </w:pPr>
    </w:p>
    <w:p>
      <w:pPr>
        <w:ind w:left="1600" w:hanging="309"/>
        <w:spacing w:after="0"/>
        <w:tabs>
          <w:tab w:leader="none" w:pos="1600" w:val="left"/>
        </w:tabs>
        <w:numPr>
          <w:ilvl w:val="0"/>
          <w:numId w:val="57"/>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rPr>
        <w:t>criminal fine (no matter how small the profit) of up to $5 million.</w:t>
      </w:r>
    </w:p>
    <w:p>
      <w:pPr>
        <w:spacing w:after="0" w:line="214" w:lineRule="exact"/>
        <w:rPr>
          <w:sz w:val="20"/>
          <w:szCs w:val="20"/>
          <w:color w:val="auto"/>
        </w:rPr>
      </w:pPr>
    </w:p>
    <w:p>
      <w:pPr>
        <w:ind w:right="540" w:firstLine="648"/>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 xml:space="preserve">For a company </w:t>
      </w:r>
      <w:r>
        <w:rPr>
          <w:rFonts w:ascii="Times New Roman" w:cs="Times New Roman" w:eastAsia="Times New Roman" w:hAnsi="Times New Roman"/>
          <w:sz w:val="22"/>
          <w:szCs w:val="22"/>
          <w:color w:val="auto"/>
        </w:rPr>
        <w:t>(as well as possibly any supervisory person) that fails to take appropriate steps to prevent illegal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trading:</w:t>
      </w:r>
    </w:p>
    <w:p>
      <w:pPr>
        <w:sectPr>
          <w:pgSz w:w="11900" w:h="16838" w:orient="portrait"/>
          <w:cols w:equalWidth="0" w:num="1">
            <w:col w:w="10880"/>
          </w:cols>
          <w:pgMar w:left="440" w:top="1418" w:right="579" w:bottom="1440" w:gutter="0" w:footer="0" w:header="0"/>
        </w:sectPr>
      </w:pPr>
    </w:p>
    <w:bookmarkStart w:id="90" w:name="page91"/>
    <w:bookmarkEnd w:id="90"/>
    <w:p>
      <w:pPr>
        <w:ind w:left="1620" w:right="560" w:hanging="329"/>
        <w:spacing w:after="0" w:line="271" w:lineRule="auto"/>
        <w:tabs>
          <w:tab w:leader="none" w:pos="1614" w:val="left"/>
        </w:tabs>
        <w:numPr>
          <w:ilvl w:val="0"/>
          <w:numId w:val="58"/>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rPr>
        <w:t>civil penalty of the greater of $1 million or three times the profit gained or loss avoided as a result of the Individual’s violation; and</w:t>
      </w:r>
    </w:p>
    <w:p>
      <w:pPr>
        <w:spacing w:after="0" w:line="157" w:lineRule="exact"/>
        <w:rPr>
          <w:rFonts w:ascii="Times New Roman" w:cs="Times New Roman" w:eastAsia="Times New Roman" w:hAnsi="Times New Roman"/>
          <w:sz w:val="22"/>
          <w:szCs w:val="22"/>
          <w:color w:val="auto"/>
          <w:strike w:val="1"/>
        </w:rPr>
      </w:pPr>
    </w:p>
    <w:p>
      <w:pPr>
        <w:ind w:left="1600" w:hanging="309"/>
        <w:spacing w:after="0"/>
        <w:tabs>
          <w:tab w:leader="none" w:pos="1600" w:val="left"/>
        </w:tabs>
        <w:numPr>
          <w:ilvl w:val="0"/>
          <w:numId w:val="58"/>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rPr>
        <w:t>criminal penalty of up to $25 million.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addition, plaintiffs may claim that Individuals or the Company are also liable to contemporaneous traders.</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Further, if the Company has a reasonable basis to conclude that an employee has violated the Company’s Insider Trading and Communications Policy, whether or not knowingly, the Company may impose sanctions, including dismissal for cause. Needless to say, any of the above consequences, even an SEC investigation that does not result in prosecution, can tarnish one’s reputation (as well as the Company’s) and irreparably damage a career. Finally, the size of a transaction has no impact on potential insider trading liability. In the past, even relatively small trades (e.g., trades as small as $400) have resulted in SEC investigations and lawsuits.</w:t>
      </w:r>
    </w:p>
    <w:p>
      <w:pPr>
        <w:spacing w:after="0" w:line="177" w:lineRule="exact"/>
        <w:rPr>
          <w:sz w:val="20"/>
          <w:szCs w:val="20"/>
          <w:color w:val="auto"/>
        </w:rPr>
      </w:pPr>
    </w:p>
    <w:p>
      <w:pPr>
        <w:ind w:left="1300" w:hanging="657"/>
        <w:spacing w:after="0"/>
        <w:tabs>
          <w:tab w:leader="none" w:pos="130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Our Policy.</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No Trading When in Possession of Material Non-Public Information</w:t>
      </w:r>
      <w:r>
        <w:rPr>
          <w:rFonts w:ascii="Times New Roman" w:cs="Times New Roman" w:eastAsia="Times New Roman" w:hAnsi="Times New Roman"/>
          <w:sz w:val="22"/>
          <w:szCs w:val="22"/>
          <w:color w:val="auto"/>
        </w:rPr>
        <w:t>. If a member of the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any employee, consultant or contractor of the Company or any subsidiary of the Company has possession of material non-public information (often referred to as “inside information”) relating to our Company or any other securities as to which the person receives information not available to investors generally, it is our policy that neither that person nor any related person may buy or sell securities of the Company, make a gift of Company securities, or engage in any other action to take advantage of, or pass on to others, that information. This policy also applies to information relating to any other company, including our customers or partners, obtained in the course of you rendering services to the Company or any subsidiary of the Company.</w:t>
      </w:r>
    </w:p>
    <w:p>
      <w:pPr>
        <w:spacing w:after="0" w:line="182"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What is Material Information? </w:t>
      </w:r>
      <w:r>
        <w:rPr>
          <w:rFonts w:ascii="Times New Roman" w:cs="Times New Roman" w:eastAsia="Times New Roman" w:hAnsi="Times New Roman"/>
          <w:sz w:val="22"/>
          <w:szCs w:val="22"/>
          <w:color w:val="auto"/>
        </w:rPr>
        <w:t>“Material information” is any information that a reasonable investor would consider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important in deciding whether to buy, hold or sell securities of the Company or any other securities as to which the person receives information not available to investors generally. In short, “material information” includes any information that reasonably could affect the price of our securities or any other securities. Either positive or negative information may be material. It can be information about the Company or about a company with which we do business.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 xml:space="preserve">Examples: </w:t>
      </w:r>
      <w:r>
        <w:rPr>
          <w:rFonts w:ascii="Times New Roman" w:cs="Times New Roman" w:eastAsia="Times New Roman" w:hAnsi="Times New Roman"/>
          <w:sz w:val="22"/>
          <w:szCs w:val="22"/>
          <w:color w:val="auto"/>
        </w:rPr>
        <w:t>Common examples of information that will frequently be regarded as material are:</w:t>
      </w:r>
    </w:p>
    <w:p>
      <w:pPr>
        <w:spacing w:after="0" w:line="224" w:lineRule="exact"/>
        <w:rPr>
          <w:sz w:val="20"/>
          <w:szCs w:val="20"/>
          <w:color w:val="auto"/>
        </w:rPr>
      </w:pPr>
    </w:p>
    <w:p>
      <w:pPr>
        <w:ind w:left="920" w:right="4500"/>
        <w:spacing w:after="0" w:line="402" w:lineRule="auto"/>
        <w:rPr>
          <w:sz w:val="20"/>
          <w:szCs w:val="20"/>
          <w:color w:val="auto"/>
        </w:rPr>
      </w:pPr>
      <w:r>
        <w:rPr>
          <w:rFonts w:ascii="Times New Roman" w:cs="Times New Roman" w:eastAsia="Times New Roman" w:hAnsi="Times New Roman"/>
          <w:sz w:val="21"/>
          <w:szCs w:val="21"/>
          <w:color w:val="auto"/>
        </w:rPr>
        <w:t>projections of future earnings, losses or other business activity; news of a possible merger, acquisition or tender offer;</w:t>
      </w:r>
    </w:p>
    <w:p>
      <w:pPr>
        <w:sectPr>
          <w:pgSz w:w="11900" w:h="16838" w:orient="portrait"/>
          <w:cols w:equalWidth="0" w:num="1">
            <w:col w:w="10860"/>
          </w:cols>
          <w:pgMar w:left="440" w:top="1422" w:right="599" w:bottom="1440" w:gutter="0" w:footer="0" w:header="0"/>
        </w:sectPr>
      </w:pPr>
    </w:p>
    <w:bookmarkStart w:id="91" w:name="page92"/>
    <w:bookmarkEnd w:id="91"/>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news of a possible agreement, collaboration or partnership;</w:t>
      </w:r>
    </w:p>
    <w:p>
      <w:pPr>
        <w:spacing w:after="0" w:line="112" w:lineRule="exact"/>
        <w:rPr>
          <w:sz w:val="20"/>
          <w:szCs w:val="20"/>
          <w:color w:val="auto"/>
        </w:rPr>
      </w:pPr>
    </w:p>
    <w:p>
      <w:pPr>
        <w:ind w:left="920" w:right="1220"/>
        <w:spacing w:after="0" w:line="345" w:lineRule="auto"/>
        <w:rPr>
          <w:sz w:val="20"/>
          <w:szCs w:val="20"/>
          <w:color w:val="auto"/>
        </w:rPr>
      </w:pPr>
      <w:r>
        <w:rPr>
          <w:rFonts w:ascii="Times New Roman" w:cs="Times New Roman" w:eastAsia="Times New Roman" w:hAnsi="Times New Roman"/>
          <w:sz w:val="22"/>
          <w:szCs w:val="22"/>
          <w:color w:val="auto"/>
        </w:rPr>
        <w:t>significant new products or services or delays in new product or service introduction or development; plans to raise additional capital through stock sales or otherwise; gain or loss of a significant partner or customer;</w:t>
      </w:r>
    </w:p>
    <w:p>
      <w:pPr>
        <w:spacing w:after="0" w:line="3" w:lineRule="exact"/>
        <w:rPr>
          <w:sz w:val="20"/>
          <w:szCs w:val="20"/>
          <w:color w:val="auto"/>
        </w:rPr>
      </w:pPr>
    </w:p>
    <w:p>
      <w:pPr>
        <w:ind w:left="920" w:right="4440"/>
        <w:spacing w:after="0" w:line="345" w:lineRule="auto"/>
        <w:rPr>
          <w:sz w:val="20"/>
          <w:szCs w:val="20"/>
          <w:color w:val="auto"/>
        </w:rPr>
      </w:pPr>
      <w:r>
        <w:rPr>
          <w:rFonts w:ascii="Times New Roman" w:cs="Times New Roman" w:eastAsia="Times New Roman" w:hAnsi="Times New Roman"/>
          <w:sz w:val="22"/>
          <w:szCs w:val="22"/>
          <w:color w:val="auto"/>
        </w:rPr>
        <w:t>discoveries, or grants or allowances or disallowances of patents; changes in management;</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news of a significant sale of assets;</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impending bankruptcy or financial liquidity problems; and</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changes in dividend policies or the declaration of a stock split.</w:t>
      </w:r>
    </w:p>
    <w:p>
      <w:pPr>
        <w:spacing w:after="0" w:line="121"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20/20 Hindsight</w:t>
      </w:r>
      <w:r>
        <w:rPr>
          <w:rFonts w:ascii="Times New Roman" w:cs="Times New Roman" w:eastAsia="Times New Roman" w:hAnsi="Times New Roman"/>
          <w:sz w:val="22"/>
          <w:szCs w:val="22"/>
          <w:color w:val="auto"/>
        </w:rPr>
        <w:t>. Remember, if your securities transactions become the subject of scrutiny, they will be viewed after-the-fact with the benefit of hindsight. As a result, before engaging in any transaction you should carefully consider how regulators and others might view your transaction in hindsight.</w:t>
      </w:r>
    </w:p>
    <w:p>
      <w:pPr>
        <w:spacing w:after="0" w:line="166"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Transactions by Family Members</w:t>
      </w:r>
      <w:r>
        <w:rPr>
          <w:rFonts w:ascii="Times New Roman" w:cs="Times New Roman" w:eastAsia="Times New Roman" w:hAnsi="Times New Roman"/>
          <w:sz w:val="22"/>
          <w:szCs w:val="22"/>
          <w:color w:val="auto"/>
        </w:rPr>
        <w:t>. The same restrictions apply to your immediate family members and others living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your household. You are responsible for the compliance of your immediate family and personal household.</w:t>
      </w:r>
    </w:p>
    <w:p>
      <w:pPr>
        <w:spacing w:after="0" w:line="149" w:lineRule="exact"/>
        <w:rPr>
          <w:sz w:val="20"/>
          <w:szCs w:val="20"/>
          <w:color w:val="auto"/>
        </w:rPr>
      </w:pPr>
    </w:p>
    <w:p>
      <w:pPr>
        <w:ind w:right="40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Transactions of Non-Residents</w:t>
      </w:r>
      <w:r>
        <w:rPr>
          <w:rFonts w:ascii="Times New Roman" w:cs="Times New Roman" w:eastAsia="Times New Roman" w:hAnsi="Times New Roman"/>
          <w:sz w:val="22"/>
          <w:szCs w:val="22"/>
          <w:color w:val="auto"/>
        </w:rPr>
        <w:t>. The same restrictions apply regardless of whether a person is resident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w:t>
      </w:r>
    </w:p>
    <w:p>
      <w:pPr>
        <w:spacing w:after="0" w:line="137"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21"/>
          <w:szCs w:val="21"/>
          <w:b w:val="1"/>
          <w:bCs w:val="1"/>
          <w:color w:val="auto"/>
        </w:rPr>
        <w:t>Do Not Pass Information to Others</w:t>
      </w:r>
      <w:r>
        <w:rPr>
          <w:rFonts w:ascii="Times New Roman" w:cs="Times New Roman" w:eastAsia="Times New Roman" w:hAnsi="Times New Roman"/>
          <w:sz w:val="21"/>
          <w:szCs w:val="21"/>
          <w:color w:val="auto"/>
        </w:rPr>
        <w:t>. Whether the information is proprietary information about our Company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that could have an impact on our stock price, employees must not pass the information on to others. It is illegal to advise others to trade on the basis of undisclosed material information. Liability in these cases can extend to both the “tippee”</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 the person to whom the insider disclosed inside information — and you, as the “tipper,” and will apply whether or not you derive any benefit from another’s actions. You should not make recommendations to others concerning the purchase or sale of securities of the Company. You should never trade, tip or recommend securities (or otherwise cause the purchase or sale of securities) while in possession of material nonpublic information about any other company that was obtained in the course of your involvement with the Company, including communicating material nonpublic information to, any other person or otherwise disclose such information without the Company’s authorization.</w:t>
      </w:r>
    </w:p>
    <w:p>
      <w:pPr>
        <w:spacing w:after="0" w:line="185"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When Information is Public</w:t>
      </w:r>
      <w:r>
        <w:rPr>
          <w:rFonts w:ascii="Times New Roman" w:cs="Times New Roman" w:eastAsia="Times New Roman" w:hAnsi="Times New Roman"/>
          <w:sz w:val="22"/>
          <w:szCs w:val="22"/>
          <w:color w:val="auto"/>
        </w:rPr>
        <w:t>. As you can appreciate, it is also improper for any employee to enter a trade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after the Company has made a public announcement of material information, including earnings releases. We impose certain “trading blackouts” to ensure that the Company’s stockholders and the investing public will be afforded the time to receive the information and act upon it. These are discussed below under the heading “Trading Blackouts.” To avoid the appearance of impropriety, as a general rule, you should not engage in any transaction until at least two full trading days have passed following the release of the</w:t>
      </w:r>
    </w:p>
    <w:p>
      <w:pPr>
        <w:sectPr>
          <w:pgSz w:w="11900" w:h="16838" w:orient="portrait"/>
          <w:cols w:equalWidth="0" w:num="1">
            <w:col w:w="10900"/>
          </w:cols>
          <w:pgMar w:left="440" w:top="1440" w:right="559" w:bottom="1440" w:gutter="0" w:footer="0" w:header="0"/>
        </w:sectPr>
      </w:pPr>
    </w:p>
    <w:bookmarkStart w:id="92" w:name="page93"/>
    <w:bookmarkEnd w:id="92"/>
    <w:p>
      <w:pPr>
        <w:spacing w:after="0" w:line="11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2"/>
          <w:szCs w:val="22"/>
          <w:color w:val="auto"/>
        </w:rPr>
        <w:t>information. Thus, if an announcement were made after the market close on a Monday,Thursday generally would be the first day on which you would be able to trade. If an announcement were made after the market close on a Friday, Wednesday generally would be the first eligible trading day.</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Pre-Clearance of Trades of Company Stock</w:t>
      </w:r>
      <w:r>
        <w:rPr>
          <w:rFonts w:ascii="Times New Roman" w:cs="Times New Roman" w:eastAsia="Times New Roman" w:hAnsi="Times New Roman"/>
          <w:sz w:val="22"/>
          <w:szCs w:val="22"/>
          <w:color w:val="auto"/>
        </w:rPr>
        <w:t>. To provide assistance in preventing inadvertent violations and avoiding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even the appearance of an improper transaction (which could result, for example, where an employee engages in a trade while unaware of a pending major development), all members of the Board of Directors, officers who are at the vice president level and above, and certain employees of the Company and its subsidiaries in a position to have access to material non-public information and designated on a pre-clearance list, which may include legal and finance personnel, must obtain pre-clearance in writing from our outside counsel, Andrew Strong of Pillsbury Winthrop Shaw Pittman LLP at </w:t>
      </w:r>
      <w:r>
        <w:rPr>
          <w:rFonts w:ascii="Times New Roman" w:cs="Times New Roman" w:eastAsia="Times New Roman" w:hAnsi="Times New Roman"/>
          <w:sz w:val="22"/>
          <w:szCs w:val="22"/>
          <w:u w:val="single" w:color="auto"/>
          <w:color w:val="0000FF"/>
        </w:rPr>
        <w:t>andrew.strong@pillsburylaw.com</w:t>
      </w:r>
      <w:r>
        <w:rPr>
          <w:rFonts w:ascii="Times New Roman" w:cs="Times New Roman" w:eastAsia="Times New Roman" w:hAnsi="Times New Roman"/>
          <w:sz w:val="22"/>
          <w:szCs w:val="22"/>
          <w:color w:val="000000"/>
        </w:rPr>
        <w:t>, of all transactions in Company securities (acquisitions, dispositions, transfers, gifts, etc.).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You must submit a written request for pre-clearance of a transaction no later than three business days before the proposed date of execution of the transaction unless you obtain a waiver from the Audit Committee of the Board of Directors. You will be notified if you are one of the specified persons subject to this pre-clearance policy. Pre- clearance is subject to a five business day expiration and must be renewed by the applicant after five business days to be valid.</w:t>
      </w:r>
    </w:p>
    <w:p>
      <w:pPr>
        <w:spacing w:after="0" w:line="191"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Pre-clearance does not relieve anyone of their responsibility under SEC rules. All Individuals, whether subject to pre-clearance or not, are responsible for adherence to this Insider Trading and Communications Policy, including, but not limited to: not trading on insider information; not trading during trading blackout periods; not trading for two full trading days after earnings announcements; and not trading in securities on a short-term basis. Individuals normally not subject to pre-clearance are still responsible for written pre-clearance for the sale of stock purchased in the open market and that has been owned less than six months. If any Individual is in doubt of whether or not pre-clearance is required, the Individual should inquire with Andrew Strong or obtain pre-clearance as a cautionary measure.</w:t>
      </w:r>
    </w:p>
    <w:p>
      <w:pPr>
        <w:spacing w:after="0" w:line="162"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Trading Blackouts</w:t>
      </w:r>
      <w:r>
        <w:rPr>
          <w:rFonts w:ascii="Times New Roman" w:cs="Times New Roman" w:eastAsia="Times New Roman" w:hAnsi="Times New Roman"/>
          <w:sz w:val="22"/>
          <w:szCs w:val="22"/>
          <w:color w:val="auto"/>
        </w:rPr>
        <w:t>. From time to time, the Company may require that members of the Board of Directors,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of the Company and subsidiaries of the Company and others to suspend trading because of developments known to the Company and not yet disclosed to the public. In that event, these persons are advised not to engage in any transaction involving the purchase or sale of the Company’s securities during that period, and should not disclose to others the fact that they have been suspended from trading. The Company will also require the following mandatory trading blackout:</w:t>
      </w:r>
    </w:p>
    <w:p>
      <w:pPr>
        <w:spacing w:after="0" w:line="171" w:lineRule="exact"/>
        <w:rPr>
          <w:sz w:val="20"/>
          <w:szCs w:val="20"/>
          <w:color w:val="auto"/>
        </w:rPr>
      </w:pPr>
    </w:p>
    <w:p>
      <w:pPr>
        <w:jc w:val="both"/>
        <w:ind w:left="960" w:right="20" w:hanging="316"/>
        <w:spacing w:after="0" w:line="254" w:lineRule="auto"/>
        <w:tabs>
          <w:tab w:leader="none" w:pos="9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Earnings Trading Blackouts </w:t>
      </w:r>
      <w:r>
        <w:rPr>
          <w:rFonts w:ascii="Times New Roman" w:cs="Times New Roman" w:eastAsia="Times New Roman" w:hAnsi="Times New Roman"/>
          <w:sz w:val="22"/>
          <w:szCs w:val="22"/>
          <w:color w:val="auto"/>
        </w:rPr>
        <w:t>– All members of the Board of Directors, officers, and employees of the Company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subsidiary of the Company will be subject to a stock trading blackout period beginning three weeks prior to the end of a fiscal quarter until two full trading days have passed after earnings for that quarter are released. All such persons whose employment or affiliation with the Company ceases during a blackout period shall remain subject to the blackout period for the duration of the blackout period.</w:t>
      </w:r>
    </w:p>
    <w:p>
      <w:pPr>
        <w:sectPr>
          <w:pgSz w:w="11900" w:h="16838" w:orient="portrait"/>
          <w:cols w:equalWidth="0" w:num="1">
            <w:col w:w="10960"/>
          </w:cols>
          <w:pgMar w:left="440" w:top="1440" w:right="49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Of course, no trading should be done at any time that a member of the Board of Directors, executive officer or employee is actually aware of a major undisclosed corporate development.</w:t>
      </w:r>
    </w:p>
    <w:p>
      <w:pPr>
        <w:spacing w:after="0" w:line="15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Cash exercise of options currently may be done at any time. This policy also does not apply to the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tax withholding right pursuant to which you elect to have the Company withhold shares subject to an option to satisfy tax withholding requirements which occur as a result of certain option exercises. Same-day-sales and exercises of options are subject to trading windows, as are any other market sale of shares subject to the option for the purpose of generating the cash needed to pay the exercise price of an option (a “sell to cover”).</w:t>
      </w:r>
    </w:p>
    <w:p>
      <w:pPr>
        <w:spacing w:after="0" w:line="1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Exception for Approved 10b5-1 Plans. </w:t>
      </w:r>
      <w:r>
        <w:rPr>
          <w:rFonts w:ascii="Times New Roman" w:cs="Times New Roman" w:eastAsia="Times New Roman" w:hAnsi="Times New Roman"/>
          <w:sz w:val="22"/>
          <w:szCs w:val="22"/>
          <w:color w:val="auto"/>
        </w:rPr>
        <w:t>Trades by members of the Board of Directors, officers or employees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securities that are executed pursuant to an approved 10b5-1 trading plan (a “</w:t>
      </w:r>
      <w:r>
        <w:rPr>
          <w:rFonts w:ascii="Times New Roman" w:cs="Times New Roman" w:eastAsia="Times New Roman" w:hAnsi="Times New Roman"/>
          <w:sz w:val="22"/>
          <w:szCs w:val="22"/>
          <w:b w:val="1"/>
          <w:bCs w:val="1"/>
          <w:color w:val="auto"/>
        </w:rPr>
        <w:t>Trading Plan</w:t>
      </w:r>
      <w:r>
        <w:rPr>
          <w:rFonts w:ascii="Times New Roman" w:cs="Times New Roman" w:eastAsia="Times New Roman" w:hAnsi="Times New Roman"/>
          <w:sz w:val="22"/>
          <w:szCs w:val="22"/>
          <w:color w:val="auto"/>
        </w:rPr>
        <w:t>”) are not subject to the prohibition on trading on the basis of material non-public information contained in this Insider Trading and Communications Policy or to the restrictions set forth above relating to pre-clearance procedures and blackout periods.</w:t>
      </w:r>
    </w:p>
    <w:p>
      <w:pPr>
        <w:spacing w:after="0" w:line="172" w:lineRule="exact"/>
        <w:rPr>
          <w:sz w:val="20"/>
          <w:szCs w:val="20"/>
          <w:color w:val="auto"/>
        </w:rPr>
      </w:pPr>
    </w:p>
    <w:p>
      <w:pPr>
        <w:jc w:val="both"/>
        <w:ind w:right="260" w:firstLine="648"/>
        <w:spacing w:after="0" w:line="253" w:lineRule="auto"/>
        <w:rPr>
          <w:sz w:val="20"/>
          <w:szCs w:val="20"/>
          <w:color w:val="auto"/>
        </w:rPr>
      </w:pPr>
      <w:r>
        <w:rPr>
          <w:rFonts w:ascii="Times New Roman" w:cs="Times New Roman" w:eastAsia="Times New Roman" w:hAnsi="Times New Roman"/>
          <w:sz w:val="22"/>
          <w:szCs w:val="22"/>
          <w:color w:val="auto"/>
        </w:rPr>
        <w:t>SEC Rule 10b5-1 provides an affirmative defense from insider trading liability under the federal securities laws for trading plans that meet certain requirements. It does not prevent someone from bringing a lawsuit. This Insider Trading and Communications Policy permits Individuals to adopt Trading Plans with brokers that outline a pre-set plan for trading of the Company’s securities, including the exercise of options. Trading Plans are to be implemented only during open windows and when the individual is not aware of any material non-public information.</w:t>
      </w:r>
    </w:p>
    <w:p>
      <w:pPr>
        <w:spacing w:after="0" w:line="179"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color w:val="auto"/>
        </w:rPr>
        <w:t>Any Trading Plan must comply with SEC Rule 10b5-1 and be approved in writing in advance by our Chief Financial Officer or General Counsel (if any) and the establishment of such a Trading Plan with respect to an Individual may be publicly announced by the Company.</w:t>
      </w:r>
    </w:p>
    <w:p>
      <w:pPr>
        <w:spacing w:after="0" w:line="173"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22"/>
          <w:szCs w:val="22"/>
          <w:color w:val="auto"/>
        </w:rPr>
        <w:t>Establishing a Trading Plan does not exempt individuals from complying with the Section 16 six-month short swing profit rules or liability.</w:t>
      </w:r>
    </w:p>
    <w:p>
      <w:pPr>
        <w:spacing w:after="0" w:line="138"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Revocation/Amendments to Trading Plans</w:t>
      </w:r>
      <w:r>
        <w:rPr>
          <w:rFonts w:ascii="Times New Roman" w:cs="Times New Roman" w:eastAsia="Times New Roman" w:hAnsi="Times New Roman"/>
          <w:sz w:val="22"/>
          <w:szCs w:val="22"/>
          <w:color w:val="auto"/>
        </w:rPr>
        <w:t>. An Individual may revoke his or her Trading Plan at any time,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terms of the Individual’s Trading Plan. Revocation is effected upon written notice to the broker. However, if the Individual terminates the Trading Plan after the first option exercise or stock sale, then the Individual must cancel all outstanding Trading Plans and agree not to enter into another Trading Plan until six months after termination of the Trading Plan.</w:t>
      </w:r>
    </w:p>
    <w:p>
      <w:pPr>
        <w:spacing w:after="0" w:line="19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21"/>
          <w:szCs w:val="21"/>
          <w:color w:val="auto"/>
        </w:rPr>
        <w:t>Under certain circumstances, a Trading Plan must be revoked. This includes circumstances such as the announcement of a merger or the occurrence of an event that would cause the transaction either to violate the law or to have an adverse effect on the Company. The Chief Financial Officer, General Counsel (if any) or their designee or any stock administrator of the Company is authorized to notify the broker in such circumstances, thereby insulating the insider in the event of revocation.</w:t>
      </w:r>
    </w:p>
    <w:p>
      <w:pPr>
        <w:sectPr>
          <w:pgSz w:w="11900" w:h="16838" w:orient="portrait"/>
          <w:cols w:equalWidth="0" w:num="1">
            <w:col w:w="11060"/>
          </w:cols>
          <w:pgMar w:left="440" w:top="1440" w:right="399" w:bottom="1440" w:gutter="0" w:footer="0" w:header="0"/>
        </w:sectPr>
      </w:pPr>
    </w:p>
    <w:bookmarkStart w:id="94" w:name="page95"/>
    <w:bookmarkEnd w:id="94"/>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Amendments to Trading Plans will not be allowed once the Trading Plan is in place.</w:t>
      </w:r>
    </w:p>
    <w:p>
      <w:pPr>
        <w:spacing w:after="0" w:line="200" w:lineRule="exact"/>
        <w:rPr>
          <w:sz w:val="20"/>
          <w:szCs w:val="20"/>
          <w:color w:val="auto"/>
        </w:rPr>
      </w:pPr>
    </w:p>
    <w:p>
      <w:pPr>
        <w:spacing w:after="0" w:line="34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Post-Termination Transactions</w:t>
      </w:r>
      <w:r>
        <w:rPr>
          <w:rFonts w:ascii="Times New Roman" w:cs="Times New Roman" w:eastAsia="Times New Roman" w:hAnsi="Times New Roman"/>
          <w:sz w:val="22"/>
          <w:szCs w:val="22"/>
          <w:color w:val="auto"/>
        </w:rPr>
        <w:t>. This Insider Trading and Communications Policy continues to apply to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in Company securities even after your employment, board service or consulting services terminate. If you are in possession of material nonpublic information when your service to the Company or a subsidiary of the Company terminates, you may not trade in Company securities until that information has become public or is no longer material.</w:t>
      </w:r>
    </w:p>
    <w:p>
      <w:pPr>
        <w:spacing w:after="0" w:line="168" w:lineRule="exact"/>
        <w:rPr>
          <w:sz w:val="20"/>
          <w:szCs w:val="20"/>
          <w:color w:val="auto"/>
        </w:rPr>
      </w:pPr>
    </w:p>
    <w:p>
      <w:pPr>
        <w:ind w:left="1300" w:hanging="657"/>
        <w:spacing w:after="0"/>
        <w:tabs>
          <w:tab w:leader="none" w:pos="130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Prohibited Transactions.</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We believe it is improper and inappropriate for any of the Individuals to engage in short- term or speculative transactions involving Company securities. We believe that this trading can reflect badly on the Company and that Individuals should not engage in any types of transactions that are commonly viewed as a form of “betting” for or against the Company. Accordingly, it is the Company’s policy that members of the Board of Directors, officers, employees, consultants and contractors may not engage in any of the following activities with respect to securities of the Company, without prior written pre-clearance:</w:t>
      </w:r>
    </w:p>
    <w:p>
      <w:pPr>
        <w:spacing w:after="0" w:line="175" w:lineRule="exact"/>
        <w:rPr>
          <w:sz w:val="20"/>
          <w:szCs w:val="20"/>
          <w:color w:val="auto"/>
        </w:rPr>
      </w:pPr>
    </w:p>
    <w:p>
      <w:pPr>
        <w:ind w:left="960" w:right="40" w:hanging="316"/>
        <w:spacing w:after="0" w:line="248" w:lineRule="auto"/>
        <w:tabs>
          <w:tab w:leader="none" w:pos="955" w:val="left"/>
        </w:tabs>
        <w:numPr>
          <w:ilvl w:val="0"/>
          <w:numId w:val="63"/>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b w:val="1"/>
          <w:bCs w:val="1"/>
          <w:i w:val="1"/>
          <w:iCs w:val="1"/>
          <w:color w:val="auto"/>
        </w:rPr>
        <w:t xml:space="preserve">Director and officer cashless exercise </w:t>
      </w:r>
      <w:r>
        <w:rPr>
          <w:rFonts w:ascii="Times New Roman" w:cs="Times New Roman" w:eastAsia="Times New Roman" w:hAnsi="Times New Roman"/>
          <w:sz w:val="22"/>
          <w:szCs w:val="22"/>
          <w:color w:val="auto"/>
        </w:rPr>
        <w:t>— In response to the restrictions set forth in the Sarbanes-Oxley Act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2002, the Company will not arrange with brokers to administer cashless exercises on behalf of directors and officers of the Company. Directors and officers of the Company may only utilize the cashless exercise feature of their options if (i) the director or officer retains a broker independently of the Company, (ii) the Company’s involvement is limited to confirming that it will deliver the stock promptly upon payment of the exercise price and (iii) the director or officer uses a “T+3” cashless exercise arrangement, in which the Company agrees to deliver stock against the payment of the purchase price on the same day the sale of the stock underlying the option settles. Under a T+3 cashless exercise, a stock broker, the issuer, and the transfer agent of the issuer work together to make all transactions settle simultaneously. This approach is to avoid any inference that the Company has “extended credit” in the form of a personal loan to the director or executive officer. Any employee who has any questions about cashless exercises may obtain additional guidance from our Chief Financial Officer or General Counsel (if any).</w:t>
      </w:r>
    </w:p>
    <w:p>
      <w:pPr>
        <w:spacing w:after="0" w:line="184" w:lineRule="exact"/>
        <w:rPr>
          <w:rFonts w:ascii="Times New Roman" w:cs="Times New Roman" w:eastAsia="Times New Roman" w:hAnsi="Times New Roman"/>
          <w:sz w:val="22"/>
          <w:szCs w:val="22"/>
          <w:color w:val="auto"/>
          <w:strike w:val="1"/>
        </w:rPr>
      </w:pPr>
    </w:p>
    <w:p>
      <w:pPr>
        <w:ind w:left="960" w:right="520" w:hanging="316"/>
        <w:spacing w:after="0" w:line="253" w:lineRule="auto"/>
        <w:tabs>
          <w:tab w:leader="none" w:pos="955" w:val="left"/>
        </w:tabs>
        <w:numPr>
          <w:ilvl w:val="0"/>
          <w:numId w:val="63"/>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b w:val="1"/>
          <w:bCs w:val="1"/>
          <w:i w:val="1"/>
          <w:iCs w:val="1"/>
          <w:color w:val="auto"/>
        </w:rPr>
        <w:t xml:space="preserve">Director and officer trading during pension and 401(k) plan blackout periods </w:t>
      </w:r>
      <w:r>
        <w:rPr>
          <w:rFonts w:ascii="Times New Roman" w:cs="Times New Roman" w:eastAsia="Times New Roman" w:hAnsi="Times New Roman"/>
          <w:sz w:val="22"/>
          <w:szCs w:val="22"/>
          <w:color w:val="auto"/>
        </w:rPr>
        <w:t>— If Company securities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available as an investment option or used as a Company match in the Company’s 401(k) plan, directors and officers of the Company are</w:t>
      </w:r>
    </w:p>
    <w:p>
      <w:pPr>
        <w:spacing w:after="0" w:line="1" w:lineRule="exact"/>
        <w:rPr>
          <w:rFonts w:ascii="Times New Roman" w:cs="Times New Roman" w:eastAsia="Times New Roman" w:hAnsi="Times New Roman"/>
          <w:sz w:val="22"/>
          <w:szCs w:val="22"/>
          <w:color w:val="auto"/>
          <w:strike w:val="1"/>
        </w:rPr>
      </w:pPr>
    </w:p>
    <w:p>
      <w:pPr>
        <w:ind w:left="960" w:right="280"/>
        <w:spacing w:after="0" w:line="259" w:lineRule="auto"/>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rPr>
        <w:t>prohibited from trading Company securities during pension and 401(k) plan blackouts, if any, in response to the restrictions set forth in the Sarbanes-Oxley Act of 2002.</w:t>
      </w:r>
    </w:p>
    <w:p>
      <w:pPr>
        <w:spacing w:after="0" w:line="164" w:lineRule="exact"/>
        <w:rPr>
          <w:rFonts w:ascii="Times New Roman" w:cs="Times New Roman" w:eastAsia="Times New Roman" w:hAnsi="Times New Roman"/>
          <w:sz w:val="22"/>
          <w:szCs w:val="22"/>
          <w:color w:val="auto"/>
          <w:strike w:val="1"/>
        </w:rPr>
      </w:pPr>
    </w:p>
    <w:p>
      <w:pPr>
        <w:ind w:left="960" w:right="240" w:hanging="316"/>
        <w:spacing w:after="0" w:line="254" w:lineRule="auto"/>
        <w:tabs>
          <w:tab w:leader="none" w:pos="955" w:val="left"/>
        </w:tabs>
        <w:numPr>
          <w:ilvl w:val="0"/>
          <w:numId w:val="63"/>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b w:val="1"/>
          <w:bCs w:val="1"/>
          <w:i w:val="1"/>
          <w:iCs w:val="1"/>
          <w:color w:val="auto"/>
        </w:rPr>
        <w:t xml:space="preserve">Trading in securities on a short-term basis </w:t>
      </w:r>
      <w:r>
        <w:rPr>
          <w:rFonts w:ascii="Times New Roman" w:cs="Times New Roman" w:eastAsia="Times New Roman" w:hAnsi="Times New Roman"/>
          <w:sz w:val="22"/>
          <w:szCs w:val="22"/>
          <w:color w:val="auto"/>
        </w:rPr>
        <w:t>— As a general rule, any Company securities purchased in the open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market (i.e., not including stock purchased upon exercise of an employee stock option or under the Employee Stock Purchase Plan) should be held for a minimum of six months and ideally longer. The top executives and members of the Board of Directors of the Company are already subject to the SEC’s “short-swing” profit rule, which penalizes purchases and sales within any</w:t>
      </w:r>
    </w:p>
    <w:p>
      <w:pPr>
        <w:sectPr>
          <w:pgSz w:w="11900" w:h="16838" w:orient="portrait"/>
          <w:cols w:equalWidth="0" w:num="1">
            <w:col w:w="10900"/>
          </w:cols>
          <w:pgMar w:left="440" w:top="1440" w:right="559" w:bottom="1440" w:gutter="0" w:footer="0" w:header="0"/>
        </w:sectPr>
      </w:pPr>
    </w:p>
    <w:bookmarkStart w:id="95" w:name="page96"/>
    <w:bookmarkEnd w:id="95"/>
    <w:p>
      <w:pPr>
        <w:spacing w:after="0" w:line="144" w:lineRule="exact"/>
        <w:rPr>
          <w:sz w:val="20"/>
          <w:szCs w:val="20"/>
          <w:color w:val="auto"/>
        </w:rPr>
      </w:pPr>
    </w:p>
    <w:p>
      <w:pPr>
        <w:ind w:left="960" w:right="160"/>
        <w:spacing w:after="0" w:line="271" w:lineRule="auto"/>
        <w:rPr>
          <w:sz w:val="20"/>
          <w:szCs w:val="20"/>
          <w:color w:val="auto"/>
        </w:rPr>
      </w:pPr>
      <w:r>
        <w:rPr>
          <w:rFonts w:ascii="Times New Roman" w:cs="Times New Roman" w:eastAsia="Times New Roman" w:hAnsi="Times New Roman"/>
          <w:sz w:val="22"/>
          <w:szCs w:val="22"/>
          <w:color w:val="auto"/>
        </w:rPr>
        <w:t>six- month period. Any employee who wishes to sell Company securities that were purchased in the open market and that have been owned less than six months must</w:t>
      </w:r>
    </w:p>
    <w:p>
      <w:pPr>
        <w:spacing w:after="0" w:line="200" w:lineRule="exact"/>
        <w:rPr>
          <w:sz w:val="20"/>
          <w:szCs w:val="20"/>
          <w:color w:val="auto"/>
        </w:rPr>
      </w:pPr>
    </w:p>
    <w:p>
      <w:pPr>
        <w:spacing w:after="0" w:line="282" w:lineRule="exact"/>
        <w:rPr>
          <w:sz w:val="20"/>
          <w:szCs w:val="20"/>
          <w:color w:val="auto"/>
        </w:rPr>
      </w:pPr>
    </w:p>
    <w:p>
      <w:pPr>
        <w:ind w:left="960" w:right="340"/>
        <w:spacing w:after="0" w:line="263" w:lineRule="auto"/>
        <w:rPr>
          <w:sz w:val="20"/>
          <w:szCs w:val="20"/>
          <w:color w:val="auto"/>
        </w:rPr>
      </w:pPr>
      <w:r>
        <w:rPr>
          <w:rFonts w:ascii="Times New Roman" w:cs="Times New Roman" w:eastAsia="Times New Roman" w:hAnsi="Times New Roman"/>
          <w:sz w:val="22"/>
          <w:szCs w:val="22"/>
          <w:color w:val="auto"/>
        </w:rPr>
        <w:t>obtain prior written clearance from our Chief Financial Officer or General Counsel (if any). You must submit a written request for pre-clearance of a transaction no later than three business days before the proposed date of execution of the transaction.</w:t>
      </w:r>
    </w:p>
    <w:p>
      <w:pPr>
        <w:spacing w:after="0" w:line="161" w:lineRule="exact"/>
        <w:rPr>
          <w:sz w:val="20"/>
          <w:szCs w:val="20"/>
          <w:color w:val="auto"/>
        </w:rPr>
      </w:pPr>
    </w:p>
    <w:p>
      <w:pPr>
        <w:ind w:left="960" w:right="60" w:hanging="317"/>
        <w:spacing w:after="0" w:line="260" w:lineRule="auto"/>
        <w:tabs>
          <w:tab w:leader="none" w:pos="954" w:val="left"/>
        </w:tabs>
        <w:numPr>
          <w:ilvl w:val="0"/>
          <w:numId w:val="64"/>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b w:val="1"/>
          <w:bCs w:val="1"/>
          <w:i w:val="1"/>
          <w:iCs w:val="1"/>
          <w:color w:val="auto"/>
        </w:rPr>
        <w:t xml:space="preserve">Purchases of Company securities on margin </w:t>
      </w:r>
      <w:r>
        <w:rPr>
          <w:rFonts w:ascii="Times New Roman" w:cs="Times New Roman" w:eastAsia="Times New Roman" w:hAnsi="Times New Roman"/>
          <w:sz w:val="22"/>
          <w:szCs w:val="22"/>
          <w:color w:val="auto"/>
        </w:rPr>
        <w:t>— This means borrowing from a brokerage firm, bank or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entity in order to buy Company securities (other than in connection with a so-called “cashless” exercise of options under the Company’s stock plans).</w:t>
      </w:r>
    </w:p>
    <w:p>
      <w:pPr>
        <w:spacing w:after="0" w:line="163" w:lineRule="exact"/>
        <w:rPr>
          <w:rFonts w:ascii="Times New Roman" w:cs="Times New Roman" w:eastAsia="Times New Roman" w:hAnsi="Times New Roman"/>
          <w:sz w:val="22"/>
          <w:szCs w:val="22"/>
          <w:color w:val="auto"/>
          <w:strike w:val="1"/>
        </w:rPr>
      </w:pPr>
    </w:p>
    <w:p>
      <w:pPr>
        <w:ind w:left="960" w:right="720" w:hanging="317"/>
        <w:spacing w:after="0" w:line="276" w:lineRule="auto"/>
        <w:tabs>
          <w:tab w:leader="none" w:pos="954" w:val="left"/>
        </w:tabs>
        <w:numPr>
          <w:ilvl w:val="0"/>
          <w:numId w:val="64"/>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b w:val="1"/>
          <w:bCs w:val="1"/>
          <w:i w:val="1"/>
          <w:iCs w:val="1"/>
          <w:color w:val="auto"/>
        </w:rPr>
        <w:t xml:space="preserve">Short sales of Company securities </w:t>
      </w:r>
      <w:r>
        <w:rPr>
          <w:rFonts w:ascii="Times New Roman" w:cs="Times New Roman" w:eastAsia="Times New Roman" w:hAnsi="Times New Roman"/>
          <w:sz w:val="22"/>
          <w:szCs w:val="22"/>
          <w:color w:val="auto"/>
        </w:rPr>
        <w:t>— This involves selling Company securities that you do not own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expectation that the price of the securities will fall, or as part of an arbitrage transaction.</w:t>
      </w:r>
    </w:p>
    <w:p>
      <w:pPr>
        <w:spacing w:after="0" w:line="160" w:lineRule="exact"/>
        <w:rPr>
          <w:rFonts w:ascii="Times New Roman" w:cs="Times New Roman" w:eastAsia="Times New Roman" w:hAnsi="Times New Roman"/>
          <w:sz w:val="22"/>
          <w:szCs w:val="22"/>
          <w:color w:val="auto"/>
          <w:strike w:val="1"/>
        </w:rPr>
      </w:pPr>
    </w:p>
    <w:p>
      <w:pPr>
        <w:ind w:left="960" w:hanging="317"/>
        <w:spacing w:after="0"/>
        <w:tabs>
          <w:tab w:leader="none" w:pos="960" w:val="left"/>
        </w:tabs>
        <w:numPr>
          <w:ilvl w:val="0"/>
          <w:numId w:val="64"/>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b w:val="1"/>
          <w:bCs w:val="1"/>
          <w:i w:val="1"/>
          <w:iCs w:val="1"/>
          <w:color w:val="auto"/>
        </w:rPr>
        <w:t>Buying or selling puts or calls, or their equivalent positions, on Company securities</w:t>
      </w:r>
    </w:p>
    <w:p>
      <w:pPr>
        <w:spacing w:after="0" w:line="33" w:lineRule="exact"/>
        <w:rPr>
          <w:rFonts w:ascii="Times New Roman" w:cs="Times New Roman" w:eastAsia="Times New Roman" w:hAnsi="Times New Roman"/>
          <w:sz w:val="22"/>
          <w:szCs w:val="22"/>
          <w:color w:val="auto"/>
          <w:strike w:val="1"/>
        </w:rPr>
      </w:pPr>
    </w:p>
    <w:p>
      <w:pPr>
        <w:ind w:left="960" w:right="360"/>
        <w:spacing w:after="0" w:line="248" w:lineRule="auto"/>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rPr>
        <w:t>— This includes options and derivatives trading on any of the stock exchanges or futures exchanges, including cashless collars.</w:t>
      </w:r>
    </w:p>
    <w:p>
      <w:pPr>
        <w:spacing w:after="0" w:line="192" w:lineRule="exact"/>
        <w:rPr>
          <w:sz w:val="20"/>
          <w:szCs w:val="20"/>
          <w:color w:val="auto"/>
        </w:rPr>
      </w:pPr>
    </w:p>
    <w:p>
      <w:pPr>
        <w:ind w:left="1300" w:hanging="657"/>
        <w:spacing w:after="0"/>
        <w:tabs>
          <w:tab w:leader="none" w:pos="130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 and Communications with the Media.</w:t>
      </w:r>
    </w:p>
    <w:p>
      <w:pPr>
        <w:spacing w:after="0" w:line="22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Unauthorized disclosure of internal information relating to the Company (including information regarding facilities, products or services or the Company’s partners, suppliers or customers) could cause competitive harm to the Company and in some cases could result in liability for the Company.</w:t>
      </w:r>
    </w:p>
    <w:p>
      <w:pPr>
        <w:spacing w:after="0" w:line="16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Unauthorized Disclosure</w:t>
      </w:r>
      <w:r>
        <w:rPr>
          <w:rFonts w:ascii="Times New Roman" w:cs="Times New Roman" w:eastAsia="Times New Roman" w:hAnsi="Times New Roman"/>
          <w:sz w:val="22"/>
          <w:szCs w:val="22"/>
          <w:color w:val="auto"/>
        </w:rPr>
        <w:t>. Individuals should not disclose internal information about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anyone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except as required in the performance of regular duties for the Company. In this regard, Individuals are prohibited from posting internal information about the Company on a “bulletin board” or “blog” on the Internet, communicating about the Company and its business in Internet-based “chat” rooms or blogs or having a blog that discusses the Company and its business.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Communications with the Media, Securities Analysts and Investors</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Communications on behalf of the Company with the media, securities analysts and investors must be made only by specifically designated representatives of the Company, as communications may be regulated by federal securities laws including but not limited to Regulation FD. Unless you have been expressly authorized to make such communications, if you receive any inquiry relating to the Company from the media, a securities analyst or an investor, you should refer the inquiry to our Chief Financial Officer or General Counsel (if any).</w:t>
      </w:r>
    </w:p>
    <w:p>
      <w:pPr>
        <w:spacing w:after="0" w:line="182"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Safeguarding Confidential Information</w:t>
      </w:r>
      <w:r>
        <w:rPr>
          <w:rFonts w:ascii="Times New Roman" w:cs="Times New Roman" w:eastAsia="Times New Roman" w:hAnsi="Times New Roman"/>
          <w:sz w:val="22"/>
          <w:szCs w:val="22"/>
          <w:color w:val="auto"/>
        </w:rPr>
        <w:t>. Care must be taken to safeguard the confidentiality of internal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example, sensitive documents should not be left lying on desks, and visitors should not be left unattended in offices containing internal company documents.</w:t>
      </w:r>
    </w:p>
    <w:p>
      <w:pPr>
        <w:sectPr>
          <w:pgSz w:w="11900" w:h="16838" w:orient="portrait"/>
          <w:cols w:equalWidth="0" w:num="1">
            <w:col w:w="10900"/>
          </w:cols>
          <w:pgMar w:left="440" w:top="1440" w:right="559" w:bottom="1440" w:gutter="0" w:footer="0" w:header="0"/>
        </w:sectPr>
      </w:pPr>
    </w:p>
    <w:bookmarkStart w:id="96" w:name="page97"/>
    <w:bookmarkEnd w:id="96"/>
    <w:p>
      <w:pPr>
        <w:spacing w:after="0" w:line="140"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Rumors</w:t>
      </w:r>
      <w:r>
        <w:rPr>
          <w:rFonts w:ascii="Times New Roman" w:cs="Times New Roman" w:eastAsia="Times New Roman" w:hAnsi="Times New Roman"/>
          <w:sz w:val="22"/>
          <w:szCs w:val="22"/>
          <w:color w:val="auto"/>
        </w:rPr>
        <w:t>. Rumors concerning the business and affairs of the Company may circulate from time to time. Our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is not to comment upon those rumors. Individuals should</w:t>
      </w:r>
    </w:p>
    <w:p>
      <w:pPr>
        <w:spacing w:after="0" w:line="200" w:lineRule="exact"/>
        <w:rPr>
          <w:sz w:val="20"/>
          <w:szCs w:val="20"/>
          <w:color w:val="auto"/>
        </w:rPr>
      </w:pPr>
    </w:p>
    <w:p>
      <w:pPr>
        <w:spacing w:after="0" w:line="27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also refrain from commenting upon or responding to rumors and should refer any requests for comments or responses to our Chief Financial Officer or General Counsel (if any).</w:t>
      </w:r>
    </w:p>
    <w:p>
      <w:pPr>
        <w:spacing w:after="0" w:line="140"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Analyst Reports</w:t>
      </w:r>
      <w:r>
        <w:rPr>
          <w:rFonts w:ascii="Times New Roman" w:cs="Times New Roman" w:eastAsia="Times New Roman" w:hAnsi="Times New Roman"/>
          <w:sz w:val="22"/>
          <w:szCs w:val="22"/>
          <w:color w:val="auto"/>
        </w:rPr>
        <w:t>. The Company views analyst reports as the proprietary information of the analyst’s firm.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not provide such reports on our corporate or other websites or through any other means to persons outside of the Company. The Company should avoid directing anyone outside the Company to an analyst report, in part to avoid the appearance of endorsing such a report.</w:t>
      </w:r>
    </w:p>
    <w:p>
      <w:pPr>
        <w:spacing w:after="0" w:line="189" w:lineRule="exact"/>
        <w:rPr>
          <w:sz w:val="20"/>
          <w:szCs w:val="20"/>
          <w:color w:val="auto"/>
        </w:rPr>
      </w:pPr>
    </w:p>
    <w:p>
      <w:pPr>
        <w:ind w:left="1300" w:hanging="657"/>
        <w:spacing w:after="0"/>
        <w:tabs>
          <w:tab w:leader="none" w:pos="13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Assistance.</w:t>
      </w:r>
    </w:p>
    <w:p>
      <w:pPr>
        <w:spacing w:after="0" w:line="224" w:lineRule="exact"/>
        <w:rPr>
          <w:sz w:val="20"/>
          <w:szCs w:val="20"/>
          <w:color w:val="auto"/>
        </w:rPr>
      </w:pPr>
    </w:p>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Any person who has any questions about specific transactions may obtain additional guidance from our Chief Financial Officer or our General Counsel (if any).</w:t>
      </w:r>
    </w:p>
    <w:p>
      <w:pPr>
        <w:spacing w:after="0" w:line="158"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Remember, however, you are ultimately responsible for adhering to this Insider Trading and Communications Policy and avoiding improper transactions. In this regard, it is imperative that you use your best judgment.</w:t>
      </w:r>
    </w:p>
    <w:p>
      <w:pPr>
        <w:spacing w:after="0" w:line="154"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Section 16 Filings</w:t>
      </w:r>
      <w:r>
        <w:rPr>
          <w:rFonts w:ascii="Times New Roman" w:cs="Times New Roman" w:eastAsia="Times New Roman" w:hAnsi="Times New Roman"/>
          <w:sz w:val="21"/>
          <w:szCs w:val="21"/>
          <w:color w:val="auto"/>
        </w:rPr>
        <w:t>. While the Company expects to assist each officer, director and other employee subject to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16 reporting requirements (including immediate family members and others in their household) (collectively, “</w:t>
      </w:r>
      <w:r>
        <w:rPr>
          <w:rFonts w:ascii="Times New Roman" w:cs="Times New Roman" w:eastAsia="Times New Roman" w:hAnsi="Times New Roman"/>
          <w:sz w:val="21"/>
          <w:szCs w:val="21"/>
          <w:b w:val="1"/>
          <w:bCs w:val="1"/>
          <w:color w:val="auto"/>
        </w:rPr>
        <w:t>Section 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Reporting Persons</w:t>
      </w:r>
      <w:r>
        <w:rPr>
          <w:rFonts w:ascii="Times New Roman" w:cs="Times New Roman" w:eastAsia="Times New Roman" w:hAnsi="Times New Roman"/>
          <w:sz w:val="21"/>
          <w:szCs w:val="21"/>
          <w:color w:val="auto"/>
        </w:rPr>
        <w:t>”) with such Section 16 filings, and expects such assistance to include form preparation for all Section 16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Reporting Persons other than those who do not require such assistance, the obligation to file Section 16 reports (Forms 3, 4 and 5) is a personal obligation of each such person, and the Company is not responsible for any failure to file accurate and timely Section 16 reports. Each Section 16 Reporting Person must ensure that his or her broker provides the Company with detailed information (trade date, number of shares, exact price) regarding every transaction involving the securities of the Company, including gifts, transfers, pledges and all Rule 10b5-1 transactions, both in connection with mandatory pre-clearance requirements for such Section 16 Reporting Persons and immediately following execution.</w:t>
      </w:r>
    </w:p>
    <w:p>
      <w:pPr>
        <w:spacing w:after="0" w:line="170" w:lineRule="exact"/>
        <w:rPr>
          <w:sz w:val="20"/>
          <w:szCs w:val="20"/>
          <w:color w:val="auto"/>
        </w:rPr>
      </w:pPr>
    </w:p>
    <w:p>
      <w:pPr>
        <w:ind w:left="1300" w:hanging="657"/>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w:t>
      </w:r>
    </w:p>
    <w:p>
      <w:pPr>
        <w:spacing w:after="0" w:line="224"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This Insider Trading and Communications Policy has been approved by the Company’s Board of Directors. Officers of the Company may, from time to time, make non-substantive modifications to this Insider Trading and Communications Policy (including, without limitation, substitution of the names of the appropriate contact persons within the Company) with subsequent notice to the Company’s Board of Directors or the Nominating and Corporate Governance Committee of the Board of Directors.</w:t>
      </w: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9. Acknowledgements.</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All directors, officers and employees of the Company and its subsidiaries will be required to acknowledge, electronically or in writing, their understanding of, and intent to comply with,</w:t>
      </w:r>
    </w:p>
    <w:p>
      <w:pPr>
        <w:sectPr>
          <w:pgSz w:w="11900" w:h="16838" w:orient="portrait"/>
          <w:cols w:equalWidth="0" w:num="1">
            <w:col w:w="10940"/>
          </w:cols>
          <w:pgMar w:left="440" w:top="1440" w:right="519" w:bottom="1440" w:gutter="0" w:footer="0" w:header="0"/>
        </w:sectPr>
      </w:pPr>
    </w:p>
    <w:bookmarkStart w:id="97" w:name="page98"/>
    <w:bookmarkEnd w:id="97"/>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Insider Trading and Communications Policy. This agreement will constitute each such person’s consent for the Company to issue any necessary stop-transfer orders to the Company’s transfer agent to enforce compliance with this policy. As a condition of continued employment or engagement all employees, contractors and consultants must periodically acknowledge, electronically or in writing, that they have read and agree to abide by this policy.</w:t>
      </w:r>
    </w:p>
    <w:p>
      <w:pPr>
        <w:sectPr>
          <w:pgSz w:w="11900" w:h="16838" w:orient="portrait"/>
          <w:cols w:equalWidth="0" w:num="1">
            <w:col w:w="10940"/>
          </w:cols>
          <w:pgMar w:left="440" w:top="1440" w:right="519" w:bottom="1440" w:gutter="0" w:footer="0" w:header="0"/>
        </w:sectPr>
      </w:pPr>
    </w:p>
    <w:bookmarkStart w:id="98" w:name="page99"/>
    <w:bookmarkEnd w:id="98"/>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u w:val="single" w:color="auto"/>
          <w:color w:val="auto"/>
        </w:rPr>
        <w:t>ACKNOWLEDGMENT</w:t>
      </w:r>
    </w:p>
    <w:p>
      <w:pPr>
        <w:spacing w:after="0" w:line="200" w:lineRule="exact"/>
        <w:rPr>
          <w:sz w:val="20"/>
          <w:szCs w:val="20"/>
          <w:color w:val="auto"/>
        </w:rPr>
      </w:pPr>
    </w:p>
    <w:p>
      <w:pPr>
        <w:spacing w:after="0" w:line="276" w:lineRule="exact"/>
        <w:rPr>
          <w:sz w:val="20"/>
          <w:szCs w:val="20"/>
          <w:color w:val="auto"/>
        </w:rPr>
      </w:pPr>
    </w:p>
    <w:p>
      <w:pPr>
        <w:ind w:left="120" w:firstLine="648"/>
        <w:spacing w:after="0" w:line="250" w:lineRule="auto"/>
        <w:rPr>
          <w:sz w:val="20"/>
          <w:szCs w:val="20"/>
          <w:color w:val="auto"/>
        </w:rPr>
      </w:pPr>
      <w:r>
        <w:rPr>
          <w:rFonts w:ascii="Times New Roman" w:cs="Times New Roman" w:eastAsia="Times New Roman" w:hAnsi="Times New Roman"/>
          <w:sz w:val="22"/>
          <w:szCs w:val="22"/>
          <w:color w:val="auto"/>
        </w:rPr>
        <w:t>I have received and read a copy of the Salarius Pharmaceuticals, Inc. Insider Trading and Communications Policy and I understand and agree to comply with the specific requirements of the policy. I agree that I will be subject to sanctions imposed by the Company, in its discretion, for violation of the Company’s policy, including dismissal for cause, and that the Company may give stop-transfer and other instructions to the Company’s transfer agent against transfer of Company securities by me in a transaction that the Company considers to be in contravention of this policy.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Signed: </w:t>
      </w:r>
      <w:r>
        <w:rPr>
          <w:sz w:val="1"/>
          <w:szCs w:val="1"/>
          <w:color w:val="auto"/>
        </w:rPr>
        <w:drawing>
          <wp:inline distT="0" distB="0" distL="0" distR="0">
            <wp:extent cx="1285875" cy="3683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1285875" cy="368300"/>
                    </a:xfrm>
                    <a:prstGeom prst="rect">
                      <a:avLst/>
                    </a:prstGeom>
                    <a:noFill/>
                    <a:ln>
                      <a:noFill/>
                    </a:ln>
                  </pic:spPr>
                </pic:pic>
              </a:graphicData>
            </a:graphic>
          </wp:inline>
        </w:drawing>
      </w:r>
    </w:p>
    <w:p>
      <w:pPr>
        <w:spacing w:after="0" w:line="221" w:lineRule="exact"/>
        <w:rPr>
          <w:sz w:val="20"/>
          <w:szCs w:val="20"/>
          <w:color w:val="auto"/>
        </w:rPr>
      </w:pPr>
    </w:p>
    <w:p>
      <w:pPr>
        <w:ind w:left="760"/>
        <w:spacing w:after="0"/>
        <w:rPr>
          <w:sz w:val="20"/>
          <w:szCs w:val="20"/>
          <w:color w:val="auto"/>
        </w:rPr>
      </w:pPr>
      <w:r>
        <w:rPr>
          <w:rFonts w:ascii="Calibri" w:cs="Calibri" w:eastAsia="Calibri" w:hAnsi="Calibri"/>
          <w:sz w:val="35"/>
          <w:szCs w:val="35"/>
          <w:color w:val="auto"/>
        </w:rPr>
        <w:t>Printed Name: Scot Jordan</w:t>
      </w:r>
    </w:p>
    <w:p>
      <w:pPr>
        <w:spacing w:after="0" w:line="113" w:lineRule="exact"/>
        <w:rPr>
          <w:sz w:val="20"/>
          <w:szCs w:val="20"/>
          <w:color w:val="auto"/>
        </w:rPr>
      </w:pPr>
    </w:p>
    <w:p>
      <w:pPr>
        <w:spacing w:after="0"/>
        <w:rPr>
          <w:sz w:val="20"/>
          <w:szCs w:val="20"/>
          <w:color w:val="auto"/>
        </w:rPr>
      </w:pPr>
      <w:r>
        <w:rPr>
          <w:rFonts w:ascii="Calibri" w:cs="Calibri" w:eastAsia="Calibri" w:hAnsi="Calibri"/>
          <w:sz w:val="35"/>
          <w:szCs w:val="35"/>
          <w:color w:val="auto"/>
        </w:rPr>
        <w:t>Date: Aug 21, 2019</w:t>
      </w:r>
    </w:p>
    <w:p>
      <w:pPr>
        <w:sectPr>
          <w:pgSz w:w="11900" w:h="16838" w:orient="portrait"/>
          <w:cols w:equalWidth="0" w:num="1">
            <w:col w:w="10960"/>
          </w:cols>
          <w:pgMar w:left="320" w:top="1440" w:right="6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60" w:lineRule="exact"/>
        <w:rPr>
          <w:sz w:val="20"/>
          <w:szCs w:val="20"/>
          <w:color w:val="auto"/>
        </w:rPr>
      </w:pPr>
    </w:p>
    <w:p>
      <w:pPr>
        <w:ind w:left="340" w:right="100" w:hanging="332"/>
        <w:spacing w:after="0" w:line="254" w:lineRule="auto"/>
        <w:tabs>
          <w:tab w:leader="none" w:pos="33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333-201816) pertaining to the 2014 Equity Incentive Plan, 2015 Equity Incentive Plan and 2015 Employee Stock Purchase Plan of Salarius Pharmaceuticals, Inc. (formerly known as Flex Pharma, Inc.);</w:t>
      </w:r>
    </w:p>
    <w:p>
      <w:pPr>
        <w:spacing w:after="0" w:line="1" w:lineRule="exact"/>
        <w:rPr>
          <w:rFonts w:ascii="Times New Roman" w:cs="Times New Roman" w:eastAsia="Times New Roman" w:hAnsi="Times New Roman"/>
          <w:sz w:val="22"/>
          <w:szCs w:val="22"/>
          <w:color w:val="auto"/>
        </w:rPr>
      </w:pPr>
    </w:p>
    <w:p>
      <w:pPr>
        <w:ind w:left="340" w:right="260" w:hanging="332"/>
        <w:spacing w:after="0" w:line="243" w:lineRule="auto"/>
        <w:tabs>
          <w:tab w:leader="none" w:pos="33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Nos. 333-210283, 333-216534, 333-223499, 333-230104, 333-246310, 333-262896, and 333-269801) pertaining to the 2015 Equity Incentive Plan and 2015 Employee Stock Purchase Plan of Salarius Pharmaceuticals, Inc.;</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333-252169) of Salarius Pharmaceuticals, Inc.;</w:t>
      </w:r>
    </w:p>
    <w:p>
      <w:pPr>
        <w:spacing w:after="0" w:line="1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 No. 333-235879) of Salarius Pharmaceuticals, Inc.;</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S-1MEF No. 333-236306) of Salarius Pharmaceuticals, Inc.;</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333-265535) of Salarius Pharmaceuticals, Inc.;</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333-266589) of Salarius Pharmaceuticals, Inc.;</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333-272249) of Salarius Pharmaceuticals, Inc.;</w:t>
      </w:r>
    </w:p>
    <w:p>
      <w:pPr>
        <w:spacing w:after="0" w:line="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 No. 333-283828) of Salarius Pharmaceuticals, Inc.; and</w:t>
      </w:r>
    </w:p>
    <w:p>
      <w:pPr>
        <w:spacing w:after="0" w:line="15"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 No. 333-284368) of Salarius Pharmaceuticals,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our report dated March 21, 2025, with respect to the consolidated financial statements of Salarius Pharmaceuticals,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included in this Annual Report (Form 10-K) of Salarius Pharmaceuticals, Inc. for the year ended December 31, 2024.</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21, 2025</w:t>
      </w:r>
    </w:p>
    <w:p>
      <w:pPr>
        <w:sectPr>
          <w:pgSz w:w="11900" w:h="16838" w:orient="portrait"/>
          <w:cols w:equalWidth="0" w:num="1">
            <w:col w:w="11240"/>
          </w:cols>
          <w:pgMar w:left="320" w:top="141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 xml:space="preserve">Exhibit </w:t>
      </w:r>
      <w:r>
        <w:rPr>
          <w:rFonts w:ascii="Times New Roman" w:cs="Times New Roman" w:eastAsia="Times New Roman" w:hAnsi="Times New Roman"/>
          <w:sz w:val="18"/>
          <w:szCs w:val="18"/>
          <w:b w:val="1"/>
          <w:bCs w:val="1"/>
          <w:color w:val="auto"/>
        </w:rPr>
        <w:t>31.1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Arthur, certify that:</w:t>
      </w:r>
    </w:p>
    <w:p>
      <w:pPr>
        <w:spacing w:after="0" w:line="225"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Salarius Pharmaceuticals, Inc. for the year ended December 31, 2024;</w:t>
      </w:r>
    </w:p>
    <w:p>
      <w:pPr>
        <w:spacing w:after="0" w:line="103" w:lineRule="exact"/>
        <w:rPr>
          <w:rFonts w:ascii="Times New Roman" w:cs="Times New Roman" w:eastAsia="Times New Roman" w:hAnsi="Times New Roman"/>
          <w:sz w:val="18"/>
          <w:szCs w:val="18"/>
          <w:color w:val="auto"/>
        </w:rPr>
      </w:pPr>
    </w:p>
    <w:p>
      <w:pPr>
        <w:jc w:val="both"/>
        <w:ind w:left="660" w:right="140" w:hanging="328"/>
        <w:spacing w:after="0" w:line="258"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300" w:right="60" w:hanging="320"/>
        <w:spacing w:after="0" w:line="250" w:lineRule="auto"/>
        <w:tabs>
          <w:tab w:leader="none" w:pos="129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300" w:right="220" w:hanging="320"/>
        <w:spacing w:after="0" w:line="296" w:lineRule="auto"/>
        <w:tabs>
          <w:tab w:leader="none" w:pos="129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40" w:hanging="320"/>
        <w:spacing w:after="0" w:line="258"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660" w:hanging="320"/>
        <w:spacing w:after="0" w:line="266" w:lineRule="auto"/>
        <w:tabs>
          <w:tab w:leader="none" w:pos="129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540"/>
        <w:spacing w:after="0"/>
        <w:tabs>
          <w:tab w:leader="none" w:pos="6100" w:val="left"/>
          <w:tab w:leader="none" w:pos="6600" w:val="left"/>
        </w:tabs>
        <w:rPr>
          <w:sz w:val="20"/>
          <w:szCs w:val="20"/>
          <w:color w:val="auto"/>
        </w:rPr>
      </w:pPr>
      <w:r>
        <w:rPr>
          <w:rFonts w:ascii="Times New Roman" w:cs="Times New Roman" w:eastAsia="Times New Roman" w:hAnsi="Times New Roman"/>
          <w:sz w:val="18"/>
          <w:szCs w:val="18"/>
          <w:color w:val="auto"/>
        </w:rPr>
        <w:t>Dated: March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26035</wp:posOffset>
            </wp:positionV>
            <wp:extent cx="26142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David J. Arthur</w:t>
      </w:r>
    </w:p>
    <w:p>
      <w:pPr>
        <w:spacing w:after="0" w:line="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 Chief Executive Officer</w:t>
      </w:r>
    </w:p>
    <w:p>
      <w:pPr>
        <w:ind w:left="7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Rosenblum, certify that:</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Salarius Pharmaceuticals, Inc.;</w:t>
      </w:r>
    </w:p>
    <w:p>
      <w:pPr>
        <w:spacing w:after="0" w:line="117"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73"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320"/>
        <w:spacing w:after="0"/>
        <w:tabs>
          <w:tab w:leader="none" w:pos="5860" w:val="left"/>
          <w:tab w:leader="none" w:pos="6360" w:val="left"/>
        </w:tabs>
        <w:rPr>
          <w:sz w:val="20"/>
          <w:szCs w:val="20"/>
          <w:color w:val="auto"/>
        </w:rPr>
      </w:pPr>
      <w:r>
        <w:rPr>
          <w:rFonts w:ascii="Times New Roman" w:cs="Times New Roman" w:eastAsia="Times New Roman" w:hAnsi="Times New Roman"/>
          <w:sz w:val="18"/>
          <w:szCs w:val="18"/>
          <w:color w:val="auto"/>
        </w:rPr>
        <w:t>Dated:March 21, 2025</w:t>
      </w:r>
      <w:r>
        <w:rPr>
          <w:sz w:val="20"/>
          <w:szCs w:val="20"/>
          <w:color w:val="auto"/>
        </w:rPr>
        <w:tab/>
      </w:r>
      <w:r>
        <w:rPr>
          <w:rFonts w:ascii="Times New Roman" w:cs="Times New Roman" w:eastAsia="Times New Roman" w:hAnsi="Times New Roman"/>
          <w:sz w:val="18"/>
          <w:szCs w:val="18"/>
          <w:color w:val="auto"/>
        </w:rPr>
        <w:t>By:</w:t>
        <w:tab/>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17145</wp:posOffset>
            </wp:positionV>
            <wp:extent cx="2143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Mark Rosenblum</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Title: Executive Vice President of Finance</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connection with the Annual Report on Form 10-K for the year ended December 31, 2024 of Salarius Pharmaceuticals, Inc. (the “Company”), as filed with the Securities and Exchange Commission on the date hereof (the “Report”), I, David J. Arthur, Chief Executive Officer of the Company, certify, pursuant to 18 U.S.C. Section 1350, as adopted pursuant to Section 906 of the Sarbanes-Oxley Act of 2002, that:</w:t>
      </w:r>
    </w:p>
    <w:p>
      <w:pPr>
        <w:spacing w:after="0" w:line="179"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940" w:val="left"/>
          <w:tab w:leader="none" w:pos="6620" w:val="left"/>
        </w:tabs>
        <w:rPr>
          <w:sz w:val="20"/>
          <w:szCs w:val="20"/>
          <w:color w:val="auto"/>
        </w:rPr>
      </w:pPr>
      <w:r>
        <w:rPr>
          <w:rFonts w:ascii="Times New Roman" w:cs="Times New Roman" w:eastAsia="Times New Roman" w:hAnsi="Times New Roman"/>
          <w:sz w:val="22"/>
          <w:szCs w:val="22"/>
          <w:color w:val="auto"/>
        </w:rPr>
        <w:t>Dated: March 21, 2025</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J. Arthur</w:t>
      </w:r>
    </w:p>
    <w:p>
      <w:pPr>
        <w:spacing w:after="0" w:line="3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Name: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-160020</wp:posOffset>
            </wp:positionV>
            <wp:extent cx="27863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2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2"/>
          <w:szCs w:val="22"/>
          <w:color w:val="auto"/>
        </w:rPr>
        <w:t>(Principal Executive Officer)</w:t>
      </w:r>
    </w:p>
    <w:p>
      <w:pPr>
        <w:sectPr>
          <w:pgSz w:w="11900" w:h="16838" w:orient="portrait"/>
          <w:cols w:equalWidth="0" w:num="1">
            <w:col w:w="11240"/>
          </w:cols>
          <w:pgMar w:left="320" w:top="36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connection with the Annual Report on Form 10-K for the year ended December 31, 2024 of Salarius Pharmaceuticals, Inc. (the “Company”), as filed with the Securities and Exchange Commission on the date hereof (the “Report”), I, Mark Rosenblum, Chief Financial Officer of the Company, certify, pursuant to 18 U.S.C. Section 1350, as adopted pursuant to Section 906 of the Sarbanes-Oxley Act of 2002, that:</w:t>
      </w:r>
    </w:p>
    <w:p>
      <w:pPr>
        <w:spacing w:after="0" w:line="179"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940" w:val="left"/>
          <w:tab w:leader="none" w:pos="6620" w:val="left"/>
        </w:tabs>
        <w:rPr>
          <w:sz w:val="20"/>
          <w:szCs w:val="20"/>
          <w:color w:val="auto"/>
        </w:rPr>
      </w:pPr>
      <w:r>
        <w:rPr>
          <w:rFonts w:ascii="Times New Roman" w:cs="Times New Roman" w:eastAsia="Times New Roman" w:hAnsi="Times New Roman"/>
          <w:sz w:val="22"/>
          <w:szCs w:val="22"/>
          <w:color w:val="auto"/>
        </w:rPr>
        <w:t>Dated: March 21, 2025</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19685</wp:posOffset>
            </wp:positionV>
            <wp:extent cx="27863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Name: Mark Rosenblum</w:t>
      </w:r>
    </w:p>
    <w:p>
      <w:pPr>
        <w:spacing w:after="0" w:line="5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Title: Executive Vice President of Finance and</w:t>
      </w:r>
    </w:p>
    <w:p>
      <w:pPr>
        <w:spacing w:after="0" w:line="2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lowerLetter"/>
      <w:start w:val="2"/>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lowerLetter"/>
      <w:start w:val="2"/>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7"/>
    </w:lvl>
  </w:abstractNum>
  <w:abstractNum w:abstractNumId="25">
    <w:nsid w:val="684A481A"/>
    <w:multiLevelType w:val="hybridMultilevel"/>
    <w:lvl w:ilvl="0">
      <w:lvlJc w:val="left"/>
      <w:lvlText w:val="%1."/>
      <w:numFmt w:val="decimal"/>
      <w:start w:val="8"/>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97"/>
    </w:lvl>
  </w:abstractNum>
  <w:abstractNum w:abstractNumId="49">
    <w:nsid w:val="10233C99"/>
    <w:multiLevelType w:val="hybridMultilevel"/>
    <w:lvl w:ilvl="0">
      <w:lvlJc w:val="left"/>
      <w:lvlText w:val="^"/>
      <w:numFmt w:val="bullet"/>
      <w:start w:val="1"/>
    </w:lvl>
    <w:lvl w:ilvl="1">
      <w:lvlJc w:val="left"/>
      <w:lvlText w:val="%2"/>
      <w:numFmt w:val="decimal"/>
      <w:start w:val="104"/>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1."/>
      <w:numFmt w:val="decimal"/>
      <w:start w:val="2"/>
    </w:lvl>
    <w:lvl w:ilvl="1">
      <w:lvlJc w:val="left"/>
      <w:lvlText w:val="%2"/>
      <w:numFmt w:val="decimal"/>
      <w:start w:val="1"/>
    </w:lvl>
  </w:abstractNum>
  <w:abstractNum w:abstractNumId="52">
    <w:nsid w:val="7E0C57B1"/>
    <w:multiLevelType w:val="hybridMultilevel"/>
    <w:lvl w:ilvl="0">
      <w:lvlJc w:val="left"/>
      <w:lvlText w:val="%1."/>
      <w:numFmt w:val="decimal"/>
      <w:start w:val="4"/>
    </w:lvl>
    <w:lvl w:ilvl="1">
      <w:lvlJc w:val="left"/>
      <w:lvlText w:val="%2"/>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2"/>
    </w:lvl>
  </w:abstractNum>
  <w:abstractNum w:abstractNumId="55">
    <w:nsid w:val="310C50B3"/>
    <w:multiLevelType w:val="hybridMultilevel"/>
    <w:lvl w:ilvl="0">
      <w:lvlJc w:val="left"/>
      <w:lvlText w:val="%1."/>
      <w:numFmt w:val="decimal"/>
      <w:start w:val="3"/>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decimal"/>
      <w:start w:val="4"/>
    </w:lvl>
  </w:abstractNum>
  <w:abstractNum w:abstractNumId="59">
    <w:nsid w:val="1DBABF00"/>
    <w:multiLevelType w:val="hybridMultilevel"/>
    <w:lvl w:ilvl="0">
      <w:lvlJc w:val="left"/>
      <w:lvlText w:val="\emdash "/>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decimal"/>
      <w:start w:val="5"/>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6"/>
    </w:lvl>
  </w:abstractNum>
  <w:abstractNum w:abstractNumId="65">
    <w:nsid w:val="6590700B"/>
    <w:multiLevelType w:val="hybridMultilevel"/>
    <w:lvl w:ilvl="0">
      <w:lvlJc w:val="left"/>
      <w:lvlText w:val="%1."/>
      <w:numFmt w:val="decimal"/>
      <w:start w:val="7"/>
    </w:lvl>
  </w:abstractNum>
  <w:abstractNum w:abstractNumId="66">
    <w:nsid w:val="15014ACB"/>
    <w:multiLevelType w:val="hybridMultilevel"/>
    <w:lvl w:ilvl="0">
      <w:lvlJc w:val="left"/>
      <w:lvlText w:val="%1."/>
      <w:numFmt w:val="decimal"/>
      <w:start w:val="8"/>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jpeg"/><Relationship Id="rId154" Type="http://schemas.openxmlformats.org/officeDocument/2006/relationships/image" Target="media/image106.jpeg"/><Relationship Id="rId155" Type="http://schemas.openxmlformats.org/officeDocument/2006/relationships/image" Target="media/image107.jpe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04" Type="http://schemas.openxmlformats.org/officeDocument/2006/relationships/hyperlink" Target="https://www.sec.gov/Archives/edgar/data/1615219/000161521925000004/markedex21agreementandplan.htm" TargetMode="External"/><Relationship Id="rId105" Type="http://schemas.openxmlformats.org/officeDocument/2006/relationships/hyperlink" Target="https://www.sec.gov/Archives/edgar/data/1615219/000110465915007801/a15-4061_1ex3d1.htm" TargetMode="External"/><Relationship Id="rId106" Type="http://schemas.openxmlformats.org/officeDocument/2006/relationships/hyperlink" Target="https://www.sec.gov/Archives/edgar/data/1615219/000119312519199074/d754556dex31.htm" TargetMode="External"/><Relationship Id="rId107" Type="http://schemas.openxmlformats.org/officeDocument/2006/relationships/hyperlink" Target="https://www.sec.gov/Archives/edgar/data/1615219/000161521922000135/exhibit31.htm" TargetMode="External"/><Relationship Id="rId108" Type="http://schemas.openxmlformats.org/officeDocument/2006/relationships/hyperlink" Target="https://www.sec.gov/Archives/edgar/data/1615219/000161521924000045/slrx-certificateofamendm.htm" TargetMode="External"/><Relationship Id="rId109" Type="http://schemas.openxmlformats.org/officeDocument/2006/relationships/hyperlink" Target="https://www.sec.gov/Archives/edgar/data/1615219/000119312519199074/d754556dex32.htm" TargetMode="External"/><Relationship Id="rId110" Type="http://schemas.openxmlformats.org/officeDocument/2006/relationships/hyperlink" Target="https://www.sec.gov/Archives/edgar/data/1615219/000161521922000034/salarius-bylawsamendment33.htm" TargetMode="External"/><Relationship Id="rId111" Type="http://schemas.openxmlformats.org/officeDocument/2006/relationships/hyperlink" Target="https://www.sec.gov/Archives/edgar/data/1615219/000104746915000197/a2222689zex-4_1.htm" TargetMode="External"/><Relationship Id="rId112" Type="http://schemas.openxmlformats.org/officeDocument/2006/relationships/hyperlink" Target="https://www.sec.gov/Archives/edgar/data/1615219/000119312520025727/d857822dex48.htm" TargetMode="External"/><Relationship Id="rId113" Type="http://schemas.openxmlformats.org/officeDocument/2006/relationships/hyperlink" Target="https://www.sec.gov/Archives/edgar/data/1615219/000119312520033412/d863520dex41.htm" TargetMode="External"/><Relationship Id="rId114" Type="http://schemas.openxmlformats.org/officeDocument/2006/relationships/hyperlink" Target="https://www.sec.gov/Archives/edgar/data/1615219/000161521920000129/slrxaformofinducementw.htm" TargetMode="External"/><Relationship Id="rId117" Type="http://schemas.openxmlformats.org/officeDocument/2006/relationships/hyperlink" Target="https://www.sec.gov/Archives/edgar/data/1615219/000161521921000070/salarius-formofwarranttopu.htm" TargetMode="External"/><Relationship Id="rId118" Type="http://schemas.openxmlformats.org/officeDocument/2006/relationships/hyperlink" Target="https://www.sec.gov/Archives/edgar/data/1615219/000161521922000045/exhibit41.htm" TargetMode="External"/><Relationship Id="rId119" Type="http://schemas.openxmlformats.org/officeDocument/2006/relationships/hyperlink" Target="https://www.sec.gov/Archives/edgar/data/1615219/000161521923000042/exhibit43.htm" TargetMode="External"/><Relationship Id="rId120" Type="http://schemas.openxmlformats.org/officeDocument/2006/relationships/hyperlink" Target="https://www.sec.gov/Archives/edgar/data/1615219/000161521921000026/slrx12312019descriptionofr.htm" TargetMode="External"/><Relationship Id="rId121" Type="http://schemas.openxmlformats.org/officeDocument/2006/relationships/hyperlink" Target="https://www.sec.gov/Archives/edgar/data/1615219/000119312519199074/d754556dex101.htm" TargetMode="External"/><Relationship Id="rId122" Type="http://schemas.openxmlformats.org/officeDocument/2006/relationships/hyperlink" Target="https://www.sec.gov/Archives/edgar/data/1615219/000161521924000017/exhibit104.htm" TargetMode="External"/><Relationship Id="rId123" Type="http://schemas.openxmlformats.org/officeDocument/2006/relationships/hyperlink" Target="https://www.sec.gov/Archives/edgar/data/1615219/000119312519038620/d675806dex101.htm" TargetMode="External"/><Relationship Id="rId124" Type="http://schemas.openxmlformats.org/officeDocument/2006/relationships/hyperlink" Target="https://www.sec.gov/Archives/edgar/data/1615219/000119312519038620/d675806dex103.htm" TargetMode="External"/><Relationship Id="rId125" Type="http://schemas.openxmlformats.org/officeDocument/2006/relationships/hyperlink" Target="https://www.sec.gov/Archives/edgar/data/1615219/000119312519038620/d675806dex105.htm" TargetMode="External"/><Relationship Id="rId126" Type="http://schemas.openxmlformats.org/officeDocument/2006/relationships/hyperlink" Target="https://www.sec.gov/Archives/edgar/data/1615219/000161521919000043/exhibit105salariusdavidj.htm" TargetMode="External"/><Relationship Id="rId127" Type="http://schemas.openxmlformats.org/officeDocument/2006/relationships/hyperlink" Target="https://www.sec.gov/Archives/edgar/data/1615219/000161521924000017/exhibit1012.htm" TargetMode="External"/><Relationship Id="rId128" Type="http://schemas.openxmlformats.org/officeDocument/2006/relationships/hyperlink" Target="https://www.sec.gov/Archives/edgar/data/1615219/000161521924000017/exhibit1022.htm" TargetMode="External"/><Relationship Id="rId129" Type="http://schemas.openxmlformats.org/officeDocument/2006/relationships/hyperlink" Target="https://www.sec.gov/Archives/edgar/data/1615219/000161521920000050/mrosenblum-executiveem.htm" TargetMode="External"/><Relationship Id="rId130" Type="http://schemas.openxmlformats.org/officeDocument/2006/relationships/hyperlink" Target="https://www.sec.gov/Archives/edgar/data/1615219/000161521924000017/exhibit105.htm" TargetMode="External"/><Relationship Id="rId131" Type="http://schemas.openxmlformats.org/officeDocument/2006/relationships/hyperlink" Target="https://www.sec.gov/Archives/edgar/data/1615219/000161521915000004/flks20141231ex-104.htm" TargetMode="External"/><Relationship Id="rId134" Type="http://schemas.openxmlformats.org/officeDocument/2006/relationships/hyperlink" Target="https://www.sec.gov/Archives/edgar/data/1615219/000161521924000017/exhibit103.htm" TargetMode="External"/><Relationship Id="rId135" Type="http://schemas.openxmlformats.org/officeDocument/2006/relationships/hyperlink" Target="https://www.sec.gov/Archives/edgar/data/1615219/000161521923000055/salariusespp-4129x2112x032.htm" TargetMode="External"/><Relationship Id="rId136" Type="http://schemas.openxmlformats.org/officeDocument/2006/relationships/hyperlink" Target="https://www.sec.gov/Archives/edgar/data/1615219/000161521920000072/salarius-2015equityinc.htm" TargetMode="External"/><Relationship Id="rId137" Type="http://schemas.openxmlformats.org/officeDocument/2006/relationships/hyperlink" Target="https://www.sec.gov/Archives/edgar/data/1615219/000161521921000013/salarius-ex11conformedsale.htm" TargetMode="External"/><Relationship Id="rId138" Type="http://schemas.openxmlformats.org/officeDocument/2006/relationships/hyperlink" Target="https://www.sec.gov/Archives/edgar/data/1615219/000161521922000045/exhibit101.htm" TargetMode="External"/><Relationship Id="rId139" Type="http://schemas.openxmlformats.org/officeDocument/2006/relationships/hyperlink" Target="https://www.sec.gov/Archives/edgar/data/1615219/000161521923000042/exhibit1011.htm" TargetMode="External"/><Relationship Id="rId140" Type="http://schemas.openxmlformats.org/officeDocument/2006/relationships/hyperlink" Target="https://www.sec.gov/Archives/edgar/data/1615219/000161521923000042/exhibit1021.htm" TargetMode="External"/><Relationship Id="rId141" Type="http://schemas.openxmlformats.org/officeDocument/2006/relationships/hyperlink" Target="https://www.sec.gov/Archives/edgar/data/1615219/000161521924000092/slrx-ex101xsecuritiespurch.htm" TargetMode="External"/><Relationship Id="rId142" Type="http://schemas.openxmlformats.org/officeDocument/2006/relationships/hyperlink" Target="https://www.sec.gov/Archives/edgar/data/1615219/000161521924000092/slrx-ex102xregistrationrig.htm" TargetMode="External"/><Relationship Id="rId143" Type="http://schemas.openxmlformats.org/officeDocument/2006/relationships/hyperlink" Target="https://www.sec.gov/Archives/edgar/data/1615219/000161521925000004/ex101parentsupportagreement.htm" TargetMode="External"/><Relationship Id="rId144" Type="http://schemas.openxmlformats.org/officeDocument/2006/relationships/hyperlink" Target="https://www.sec.gov/Archives/edgar/data/1615219/000161521925000004/ex102formofdecoysupportagr.htm" TargetMode="External"/><Relationship Id="rId145" Type="http://schemas.openxmlformats.org/officeDocument/2006/relationships/hyperlink" Target="https://www.sec.gov/Archives/edgar/data/1615219/000161521925000004/ex103lock-upagreement.htm" TargetMode="External"/><Relationship Id="rId146" Type="http://schemas.openxmlformats.org/officeDocument/2006/relationships/hyperlink" Target="https://www.sec.gov/Archives/edgar/data/1615219/000161521925000004/ex104slrx-warrantcancellat.htm" TargetMode="External"/><Relationship Id="rId147" Type="http://schemas.openxmlformats.org/officeDocument/2006/relationships/hyperlink" Target="https://www.sec.gov/Archives/edgar/data/1615219/000119312520005401/d857822dex211.htm" TargetMode="External"/><Relationship Id="rId150" Type="http://schemas.openxmlformats.org/officeDocument/2006/relationships/hyperlink" Target="https://www.sec.gov/Archives/edgar/data/1615219/000161521924000025/slrx-compensationcommitt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2025-03-21T16:20:00Z</dcterms:created>
  <dcterms:modified xsi:type="dcterms:W3CDTF">2025-03-21T16:20:00Z</dcterms:modified>
</cp:coreProperties>
</file>