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344805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31" w:lineRule="exact"/>
        <w:rPr>
          <w:sz w:val="24"/>
          <w:szCs w:val="24"/>
          <w:color w:val="auto"/>
        </w:rPr>
      </w:pPr>
    </w:p>
    <w:p>
      <w:pPr>
        <w:ind w:left="3680" w:right="1060" w:hanging="3564"/>
        <w:spacing w:after="0" w:line="266" w:lineRule="auto"/>
        <w:tabs>
          <w:tab w:leader="none" w:pos="1415"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September 30, 2021</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1" w:lineRule="exact"/>
        <w:rPr>
          <w:sz w:val="24"/>
          <w:szCs w:val="24"/>
          <w:color w:val="auto"/>
        </w:rPr>
      </w:pPr>
    </w:p>
    <w:p>
      <w:pPr>
        <w:jc w:val="center"/>
        <w:ind w:left="4360" w:right="1060" w:hanging="4244"/>
        <w:spacing w:after="0" w:line="290" w:lineRule="auto"/>
        <w:tabs>
          <w:tab w:leader="none" w:pos="1402"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6"/>
          <w:szCs w:val="16"/>
          <w:b w:val="1"/>
          <w:bCs w:val="1"/>
          <w:color w:val="auto"/>
        </w:rPr>
        <w:t>For the Transition Period from to</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4" w:lineRule="exact"/>
        <w:rPr>
          <w:sz w:val="24"/>
          <w:szCs w:val="24"/>
          <w:color w:val="auto"/>
        </w:rPr>
      </w:pPr>
    </w:p>
    <w:tbl>
      <w:tblPr>
        <w:tblLayout w:type="fixed"/>
        <w:tblInd w:w="2600" w:type="dxa"/>
        <w:tblCellMar>
          <w:top w:w="0" w:type="dxa"/>
          <w:left w:w="0" w:type="dxa"/>
          <w:bottom w:w="0" w:type="dxa"/>
          <w:right w:w="0" w:type="dxa"/>
        </w:tblCellMar>
      </w:tblPr>
      <w:tr>
        <w:trPr>
          <w:trHeight w:val="190"/>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52"/>
        </w:trPr>
        <w:tc>
          <w:tcPr>
            <w:tcW w:w="3120" w:type="dxa"/>
            <w:vAlign w:val="bottom"/>
          </w:tcPr>
          <w:p>
            <w:pPr>
              <w:jc w:val="center"/>
              <w:ind w:right="1168"/>
              <w:spacing w:after="0" w:line="152"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52" w:lineRule="exact"/>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(832)834-6992</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83" w:lineRule="exact"/>
        <w:rPr>
          <w:sz w:val="24"/>
          <w:szCs w:val="24"/>
          <w:color w:val="auto"/>
        </w:rPr>
      </w:pPr>
    </w:p>
    <w:p>
      <w:pPr>
        <w:ind w:left="60"/>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-64770</wp:posOffset>
            </wp:positionV>
            <wp:extent cx="41662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890"/>
                    </a:xfrm>
                    <a:prstGeom prst="rect">
                      <a:avLst/>
                    </a:prstGeom>
                    <a:noFill/>
                  </pic:spPr>
                </pic:pic>
              </a:graphicData>
            </a:graphic>
          </wp:anchor>
        </w:drawing>
      </w:r>
    </w:p>
    <w:p>
      <w:pPr>
        <w:spacing w:after="0" w:line="34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Securities registered pursuant to Section 12(b) of the Act</w:t>
            </w:r>
          </w:p>
        </w:tc>
        <w:tc>
          <w:tcPr>
            <w:tcW w:w="3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20" w:type="dxa"/>
            <w:vAlign w:val="bottom"/>
          </w:tcPr>
          <w:p>
            <w:pPr>
              <w:spacing w:after="0"/>
              <w:rPr>
                <w:sz w:val="14"/>
                <w:szCs w:val="14"/>
                <w:color w:val="auto"/>
              </w:rPr>
            </w:pPr>
          </w:p>
        </w:tc>
      </w:tr>
      <w:tr>
        <w:trPr>
          <w:trHeight w:val="201"/>
        </w:trPr>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3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00" w:type="dxa"/>
            <w:vAlign w:val="bottom"/>
          </w:tcPr>
          <w:p>
            <w:pPr>
              <w:spacing w:after="0"/>
              <w:rPr>
                <w:sz w:val="17"/>
                <w:szCs w:val="17"/>
                <w:color w:val="auto"/>
              </w:rPr>
            </w:pP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4"/>
        </w:trPr>
        <w:tc>
          <w:tcPr>
            <w:tcW w:w="3740" w:type="dxa"/>
            <w:vAlign w:val="bottom"/>
            <w:gridSpan w:val="2"/>
          </w:tcPr>
          <w:p>
            <w:pPr>
              <w:jc w:val="center"/>
              <w:ind w:right="8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SLRX</w:t>
            </w:r>
          </w:p>
        </w:tc>
        <w:tc>
          <w:tcPr>
            <w:tcW w:w="402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49"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ind w:left="200"/>
        <w:spacing w:after="0" w:line="161" w:lineRule="exact"/>
        <w:tabs>
          <w:tab w:leader="none" w:pos="1900" w:val="left"/>
          <w:tab w:leader="none" w:pos="2300" w:val="left"/>
          <w:tab w:leader="none" w:pos="3580" w:val="left"/>
          <w:tab w:leader="none" w:pos="4140" w:val="left"/>
          <w:tab w:leader="none" w:pos="5860" w:val="left"/>
          <w:tab w:leader="none" w:pos="6300" w:val="left"/>
          <w:tab w:leader="none" w:pos="8280" w:val="left"/>
          <w:tab w:leader="none" w:pos="8800" w:val="left"/>
          <w:tab w:leader="none" w:pos="10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77" w:lineRule="exact"/>
        <w:rPr>
          <w:sz w:val="24"/>
          <w:szCs w:val="24"/>
          <w:color w:val="auto"/>
        </w:rPr>
      </w:pPr>
    </w:p>
    <w:p>
      <w:pPr>
        <w:ind w:right="280"/>
        <w:spacing w:after="0" w:line="19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8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293"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1, 2021, there were 45,206,135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740" w:type="dxa"/>
            <w:vAlign w:val="bottom"/>
            <w:gridSpan w:val="5"/>
          </w:tcPr>
          <w:p>
            <w:pPr>
              <w:ind w:left="180"/>
              <w:spacing w:after="0"/>
              <w:rPr>
                <w:sz w:val="20"/>
                <w:szCs w:val="20"/>
                <w:color w:val="auto"/>
              </w:rPr>
            </w:pPr>
            <w:r>
              <w:rPr>
                <w:rFonts w:ascii="Arial" w:cs="Arial" w:eastAsia="Arial" w:hAnsi="Arial"/>
                <w:sz w:val="14"/>
                <w:szCs w:val="14"/>
                <w:b w:val="1"/>
                <w:bCs w:val="1"/>
                <w:color w:val="auto"/>
              </w:rPr>
              <w:t>Page</w:t>
            </w:r>
          </w:p>
        </w:tc>
      </w:tr>
      <w:tr>
        <w:trPr>
          <w:trHeight w:val="480"/>
        </w:trPr>
        <w:tc>
          <w:tcPr>
            <w:tcW w:w="20" w:type="dxa"/>
            <w:vAlign w:val="bottom"/>
          </w:tcPr>
          <w:p>
            <w:pPr>
              <w:spacing w:after="0"/>
              <w:rPr>
                <w:sz w:val="24"/>
                <w:szCs w:val="24"/>
                <w:color w:val="auto"/>
              </w:rPr>
            </w:pPr>
          </w:p>
        </w:tc>
        <w:tc>
          <w:tcPr>
            <w:tcW w:w="620" w:type="dxa"/>
            <w:vAlign w:val="bottom"/>
            <w:gridSpan w:val="2"/>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PART I.</w:t>
              </w:r>
            </w:hyperlink>
          </w:p>
        </w:tc>
        <w:tc>
          <w:tcPr>
            <w:tcW w:w="740" w:type="dxa"/>
            <w:vAlign w:val="bottom"/>
            <w:gridSpan w:val="4"/>
          </w:tcPr>
          <w:p>
            <w:pPr>
              <w:spacing w:after="0"/>
              <w:rPr>
                <w:sz w:val="24"/>
                <w:szCs w:val="24"/>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4">
              <w:r>
                <w:rPr>
                  <w:rFonts w:ascii="Arial" w:cs="Arial" w:eastAsia="Arial" w:hAnsi="Arial"/>
                  <w:sz w:val="18"/>
                  <w:szCs w:val="18"/>
                  <w:color w:val="0000FF"/>
                  <w:w w:val="98"/>
                </w:rPr>
                <w:t>Item 1.</w:t>
              </w:r>
            </w:hyperlink>
          </w:p>
        </w:tc>
        <w:tc>
          <w:tcPr>
            <w:tcW w:w="60" w:type="dxa"/>
            <w:vAlign w:val="bottom"/>
          </w:tcPr>
          <w:p>
            <w:pPr>
              <w:spacing w:after="0"/>
              <w:rPr>
                <w:sz w:val="18"/>
                <w:szCs w:val="18"/>
                <w:color w:val="auto"/>
              </w:rPr>
            </w:pPr>
          </w:p>
        </w:tc>
        <w:tc>
          <w:tcPr>
            <w:tcW w:w="740" w:type="dxa"/>
            <w:vAlign w:val="bottom"/>
            <w:gridSpan w:val="4"/>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gridSpan w:val="8"/>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Balance Sheets</w:t>
              </w:r>
            </w:hyperlink>
          </w:p>
        </w:tc>
        <w:tc>
          <w:tcPr>
            <w:tcW w:w="5380" w:type="dxa"/>
            <w:vAlign w:val="bottom"/>
            <w:gridSpan w:val="5"/>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Operations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gridSpan w:val="9"/>
          </w:tcPr>
          <w:p>
            <w:pPr>
              <w:spacing w:after="0"/>
              <w:rPr>
                <w:rFonts w:ascii="Arial" w:cs="Arial" w:eastAsia="Arial" w:hAnsi="Arial"/>
                <w:sz w:val="18"/>
                <w:szCs w:val="18"/>
                <w:color w:val="0000FF"/>
                <w:w w:val="97"/>
              </w:rPr>
            </w:pPr>
            <w:hyperlink w:anchor="page5">
              <w:r>
                <w:rPr>
                  <w:rFonts w:ascii="Arial" w:cs="Arial" w:eastAsia="Arial" w:hAnsi="Arial"/>
                  <w:sz w:val="18"/>
                  <w:szCs w:val="18"/>
                  <w:color w:val="0000FF"/>
                  <w:w w:val="97"/>
                </w:rPr>
                <w:t>Condensed Consolidated Statements of Cash Flows</w:t>
              </w:r>
            </w:hyperlink>
          </w:p>
        </w:tc>
        <w:tc>
          <w:tcPr>
            <w:tcW w:w="4600" w:type="dxa"/>
            <w:vAlign w:val="bottom"/>
            <w:gridSpan w:val="4"/>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1"/>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w:t>
              </w:r>
            </w:hyperlink>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0"/>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w:t>
              </w:r>
            </w:hyperlink>
          </w:p>
        </w:tc>
        <w:tc>
          <w:tcPr>
            <w:tcW w:w="380" w:type="dxa"/>
            <w:vAlign w:val="bottom"/>
          </w:tcPr>
          <w:p>
            <w:pPr>
              <w:spacing w:after="0"/>
              <w:rPr>
                <w:sz w:val="18"/>
                <w:szCs w:val="18"/>
                <w:color w:val="auto"/>
              </w:rPr>
            </w:pPr>
          </w:p>
        </w:tc>
        <w:tc>
          <w:tcPr>
            <w:tcW w:w="3860" w:type="dxa"/>
            <w:vAlign w:val="bottom"/>
            <w:gridSpan w:val="2"/>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9</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16">
              <w:r>
                <w:rPr>
                  <w:rFonts w:ascii="Arial" w:cs="Arial" w:eastAsia="Arial" w:hAnsi="Arial"/>
                  <w:sz w:val="18"/>
                  <w:szCs w:val="18"/>
                  <w:color w:val="0000FF"/>
                  <w:w w:val="98"/>
                </w:rPr>
                <w:t>Item 2.</w:t>
              </w:r>
            </w:hyperlink>
          </w:p>
        </w:tc>
        <w:tc>
          <w:tcPr>
            <w:tcW w:w="800" w:type="dxa"/>
            <w:vAlign w:val="bottom"/>
            <w:gridSpan w:val="5"/>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80" w:type="dxa"/>
            <w:vAlign w:val="bottom"/>
            <w:gridSpan w:val="12"/>
          </w:tcPr>
          <w:p>
            <w:pPr>
              <w:spacing w:after="0"/>
              <w:rPr>
                <w:rFonts w:ascii="Arial" w:cs="Arial" w:eastAsia="Arial" w:hAnsi="Arial"/>
                <w:sz w:val="18"/>
                <w:szCs w:val="18"/>
                <w:color w:val="0000FF"/>
                <w:w w:val="99"/>
              </w:rPr>
            </w:pPr>
            <w:hyperlink w:anchor="page16">
              <w:r>
                <w:rPr>
                  <w:rFonts w:ascii="Arial" w:cs="Arial" w:eastAsia="Arial" w:hAnsi="Arial"/>
                  <w:sz w:val="18"/>
                  <w:szCs w:val="18"/>
                  <w:color w:val="0000FF"/>
                  <w:w w:val="99"/>
                </w:rPr>
                <w:t>Management’s Discussion and Analysis of Financial Condition and Results of Operations</w:t>
              </w:r>
            </w:hyperlink>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16">
              <w:r>
                <w:rPr>
                  <w:rFonts w:ascii="Arial" w:cs="Arial" w:eastAsia="Arial" w:hAnsi="Arial"/>
                  <w:sz w:val="18"/>
                  <w:szCs w:val="18"/>
                  <w:color w:val="0000FF"/>
                </w:rPr>
                <w:t>17</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3.</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Quantitative and Qualitative Disclosures about Market Risk</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4"/>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4.</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Controls and Procedures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20" w:type="dxa"/>
            <w:vAlign w:val="bottom"/>
          </w:tcPr>
          <w:p>
            <w:pPr>
              <w:spacing w:after="0"/>
              <w:rPr>
                <w:sz w:val="24"/>
                <w:szCs w:val="24"/>
                <w:color w:val="auto"/>
              </w:rPr>
            </w:pPr>
          </w:p>
        </w:tc>
        <w:tc>
          <w:tcPr>
            <w:tcW w:w="1360" w:type="dxa"/>
            <w:vAlign w:val="bottom"/>
            <w:gridSpan w:val="6"/>
          </w:tcPr>
          <w:p>
            <w:pPr>
              <w:spacing w:after="0"/>
              <w:rPr>
                <w:rFonts w:ascii="Arial" w:cs="Arial" w:eastAsia="Arial" w:hAnsi="Arial"/>
                <w:sz w:val="18"/>
                <w:szCs w:val="18"/>
                <w:color w:val="0000FF"/>
              </w:rPr>
            </w:pPr>
            <w:hyperlink w:anchor="page22">
              <w:r>
                <w:rPr>
                  <w:rFonts w:ascii="Arial" w:cs="Arial" w:eastAsia="Arial" w:hAnsi="Arial"/>
                  <w:sz w:val="18"/>
                  <w:szCs w:val="18"/>
                  <w:color w:val="0000FF"/>
                </w:rPr>
                <w:t>PART II.</w:t>
              </w:r>
            </w:hyperlink>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Other Information</w:t>
              </w:r>
            </w:hyperlink>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1.</w:t>
              </w:r>
            </w:hyperlink>
          </w:p>
        </w:tc>
        <w:tc>
          <w:tcPr>
            <w:tcW w:w="100" w:type="dxa"/>
            <w:vAlign w:val="bottom"/>
            <w:gridSpan w:val="2"/>
          </w:tcPr>
          <w:p>
            <w:pPr>
              <w:spacing w:after="0"/>
              <w:rPr>
                <w:sz w:val="18"/>
                <w:szCs w:val="18"/>
                <w:color w:val="auto"/>
              </w:rPr>
            </w:pPr>
          </w:p>
        </w:tc>
        <w:tc>
          <w:tcPr>
            <w:tcW w:w="700" w:type="dxa"/>
            <w:vAlign w:val="bottom"/>
            <w:gridSpan w:val="3"/>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Legal Proceedings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4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80" w:type="dxa"/>
            <w:vAlign w:val="bottom"/>
            <w:gridSpan w:val="4"/>
          </w:tcPr>
          <w:p>
            <w:pPr>
              <w:spacing w:after="0"/>
              <w:rPr>
                <w:rFonts w:ascii="Arial" w:cs="Arial" w:eastAsia="Arial" w:hAnsi="Arial"/>
                <w:sz w:val="18"/>
                <w:szCs w:val="18"/>
                <w:color w:val="0000FF"/>
                <w:w w:val="98"/>
              </w:rPr>
            </w:pPr>
            <w:hyperlink w:anchor="page22">
              <w:r>
                <w:rPr>
                  <w:rFonts w:ascii="Arial" w:cs="Arial" w:eastAsia="Arial" w:hAnsi="Arial"/>
                  <w:sz w:val="18"/>
                  <w:szCs w:val="18"/>
                  <w:color w:val="0000FF"/>
                  <w:w w:val="98"/>
                </w:rPr>
                <w:t>Item 1A.</w:t>
              </w:r>
            </w:hyperlink>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2">
              <w:r>
                <w:rPr>
                  <w:rFonts w:ascii="Arial" w:cs="Arial" w:eastAsia="Arial" w:hAnsi="Arial"/>
                  <w:sz w:val="18"/>
                  <w:szCs w:val="18"/>
                  <w:color w:val="0000FF"/>
                </w:rPr>
                <w:t>Risk Factors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2">
              <w:r>
                <w:rPr>
                  <w:rFonts w:ascii="Arial" w:cs="Arial" w:eastAsia="Arial" w:hAnsi="Arial"/>
                  <w:sz w:val="18"/>
                  <w:szCs w:val="18"/>
                  <w:color w:val="0000FF"/>
                </w:rPr>
                <w:t>22</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92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60" w:type="dxa"/>
            <w:vAlign w:val="bottom"/>
          </w:tcPr>
          <w:p>
            <w:pPr>
              <w:spacing w:after="0"/>
              <w:rPr>
                <w:rFonts w:ascii="Arial" w:cs="Arial" w:eastAsia="Arial" w:hAnsi="Arial"/>
                <w:sz w:val="18"/>
                <w:szCs w:val="18"/>
                <w:color w:val="0000FF"/>
                <w:w w:val="98"/>
              </w:rPr>
            </w:pPr>
            <w:hyperlink w:anchor="page24">
              <w:r>
                <w:rPr>
                  <w:rFonts w:ascii="Arial" w:cs="Arial" w:eastAsia="Arial" w:hAnsi="Arial"/>
                  <w:sz w:val="18"/>
                  <w:szCs w:val="18"/>
                  <w:color w:val="0000FF"/>
                  <w:w w:val="98"/>
                </w:rPr>
                <w:t>Item 6.</w:t>
              </w:r>
            </w:hyperlink>
          </w:p>
        </w:tc>
        <w:tc>
          <w:tcPr>
            <w:tcW w:w="120" w:type="dxa"/>
            <w:vAlign w:val="bottom"/>
            <w:gridSpan w:val="3"/>
          </w:tcPr>
          <w:p>
            <w:pPr>
              <w:spacing w:after="0"/>
              <w:rPr>
                <w:sz w:val="18"/>
                <w:szCs w:val="18"/>
                <w:color w:val="auto"/>
              </w:rPr>
            </w:pPr>
          </w:p>
        </w:tc>
        <w:tc>
          <w:tcPr>
            <w:tcW w:w="680" w:type="dxa"/>
            <w:vAlign w:val="bottom"/>
            <w:gridSpan w:val="2"/>
          </w:tcPr>
          <w:p>
            <w:pPr>
              <w:spacing w:after="0"/>
              <w:rPr>
                <w:sz w:val="18"/>
                <w:szCs w:val="18"/>
                <w:color w:val="auto"/>
              </w:rPr>
            </w:pPr>
          </w:p>
        </w:tc>
        <w:tc>
          <w:tcPr>
            <w:tcW w:w="9120" w:type="dxa"/>
            <w:vAlign w:val="bottom"/>
            <w:gridSpan w:val="15"/>
          </w:tcPr>
          <w:p>
            <w:pPr>
              <w:ind w:left="200"/>
              <w:spacing w:after="0"/>
              <w:rPr>
                <w:rFonts w:ascii="Arial" w:cs="Arial" w:eastAsia="Arial" w:hAnsi="Arial"/>
                <w:sz w:val="18"/>
                <w:szCs w:val="18"/>
                <w:color w:val="0000FF"/>
              </w:rPr>
            </w:pPr>
            <w:hyperlink w:anchor="page24">
              <w:r>
                <w:rPr>
                  <w:rFonts w:ascii="Arial" w:cs="Arial" w:eastAsia="Arial" w:hAnsi="Arial"/>
                  <w:sz w:val="18"/>
                  <w:szCs w:val="18"/>
                  <w:color w:val="0000FF"/>
                </w:rPr>
                <w:t>Exhibits</w:t>
              </w:r>
            </w:hyperlink>
          </w:p>
        </w:tc>
        <w:tc>
          <w:tcPr>
            <w:tcW w:w="720" w:type="dxa"/>
            <w:vAlign w:val="bottom"/>
            <w:gridSpan w:val="4"/>
          </w:tcPr>
          <w:p>
            <w:pPr>
              <w:jc w:val="right"/>
              <w:ind w:right="20"/>
              <w:spacing w:after="0"/>
              <w:rPr>
                <w:rFonts w:ascii="Arial" w:cs="Arial" w:eastAsia="Arial" w:hAnsi="Arial"/>
                <w:sz w:val="18"/>
                <w:szCs w:val="18"/>
                <w:color w:val="0000FF"/>
              </w:rPr>
            </w:pPr>
            <w:hyperlink w:anchor="page24">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gridSpan w:val="6"/>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SIGNATURES</w:t>
              </w:r>
            </w:hyperlink>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720" w:type="dxa"/>
            <w:vAlign w:val="bottom"/>
            <w:gridSpan w:val="4"/>
          </w:tcPr>
          <w:p>
            <w:pPr>
              <w:jc w:val="right"/>
              <w:ind w:right="20"/>
              <w:spacing w:after="0"/>
              <w:rPr>
                <w:rFonts w:ascii="Arial" w:cs="Arial" w:eastAsia="Arial" w:hAnsi="Arial"/>
                <w:sz w:val="18"/>
                <w:szCs w:val="18"/>
                <w:color w:val="0000FF"/>
              </w:rPr>
            </w:pPr>
            <w:hyperlink w:anchor="page25">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r>
      <w:tr>
        <w:trPr>
          <w:trHeight w:val="1229"/>
        </w:trPr>
        <w:tc>
          <w:tcPr>
            <w:tcW w:w="20" w:type="dxa"/>
            <w:vAlign w:val="bottom"/>
            <w:tcBorders>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8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The information in this Quarterly Report on Form 10-Q, including the information and exhibits incorporated herein by reference, include forward-looking statements within the meaning of Section 27A of the Securities Act of 1933, as amended, and Section 21E of the Securities Exchange Act of 1934, as amended (the “Exchange Act”). Statements other than statements of historical fact constitute forward-looking statements. These are statements that include, but are not limited to, statements about: future periods; the Company's strategy and ongoing development programs; the Company's clinical trials, including status, costs, goals, timing and other expectations related thereto; the Company’s belief as to the potential of its lead compound, SP-2577; the Company's strategic collaborations and license agreements, and intellectual property; the potential for seclidemstat to target the epigenetic dysregulation underlying Ewing sarcoma and advanced solid tumors including, but not limited to, prostate, breast, ovarian, melanoma, colorectal and other cancers; expected timing and results of clinical studies; the ability of seclidemstat to demonstrate drug activity the nature, strategy and focus of the Company; the development and commercial potential of any product candidates; the Company's ability and plan to regain and maintain compliance with Nasdaq's continued listing standards; the Company’s expectations as to revenue, cash flow, and expenses; the potential impact of the COVID-19 pandemic on the Company’s business, operations, cash flow and ability to obtain additional financing; the Company's liquidity position, the expected sufficiency of such position for anticipated operating and capital requirements; future capital requirements, and need for, and ability to secure, additional financing; the ability of the Company to access additional financing under the Grant Contract with Cancer Prevention and Research Institute of Texas; the Company's operating losses and ability to continue as a going concern ; and the Company's decision to engage in any new collaborations or selectively partnering its technology to improve the Company's ability to continue as a going concern. These forward-looking statements are based on current expectations and beliefs and involve numerous risks and uncertainties, including those discussed under “Part I — Item 1A — Risk Factors,” in our Annual Report on Form 10-K for the year ended December 31, 2020, and under Part II — Item 1A — Risk Factors in this Quarterly Report on Form 10-Q. These risks and uncertainties that could cause actual results to differ materially from expectations or those expressed in these forward-looking statements.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“target”, “potential,” “evaluate,” “proceeding”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842645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93" w:lineRule="exact"/>
        <w:rPr>
          <w:sz w:val="20"/>
          <w:szCs w:val="20"/>
          <w:color w:val="auto"/>
        </w:rPr>
      </w:pPr>
    </w:p>
    <w:p>
      <w:pPr>
        <w:ind w:left="4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9/30/2021</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12/31/2020</w:t>
            </w:r>
          </w:p>
        </w:tc>
      </w:tr>
      <w:tr>
        <w:trPr>
          <w:trHeight w:val="223"/>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ind w:right="290"/>
              <w:spacing w:after="0"/>
              <w:rPr>
                <w:sz w:val="20"/>
                <w:szCs w:val="20"/>
                <w:color w:val="auto"/>
              </w:rPr>
            </w:pPr>
            <w:r>
              <w:rPr>
                <w:rFonts w:ascii="Arial" w:cs="Arial" w:eastAsia="Arial" w:hAnsi="Arial"/>
                <w:sz w:val="18"/>
                <w:szCs w:val="18"/>
                <w:b w:val="1"/>
                <w:bCs w:val="1"/>
                <w:color w:val="auto"/>
              </w:rPr>
              <w:t>(Unaudited)</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31,903,727</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11,118,614</w:t>
            </w:r>
          </w:p>
        </w:tc>
      </w:tr>
      <w:tr>
        <w:trPr>
          <w:trHeight w:val="229"/>
        </w:trPr>
        <w:tc>
          <w:tcPr>
            <w:tcW w:w="7420" w:type="dxa"/>
            <w:vAlign w:val="bottom"/>
          </w:tcPr>
          <w:p>
            <w:pPr>
              <w:ind w:left="140"/>
              <w:spacing w:after="0"/>
              <w:rPr>
                <w:sz w:val="20"/>
                <w:szCs w:val="20"/>
                <w:color w:val="auto"/>
              </w:rPr>
            </w:pPr>
            <w:r>
              <w:rPr>
                <w:rFonts w:ascii="Arial" w:cs="Arial" w:eastAsia="Arial" w:hAnsi="Arial"/>
                <w:sz w:val="18"/>
                <w:szCs w:val="18"/>
                <w:color w:val="auto"/>
              </w:rPr>
              <w:t>Grants receivable from CPRIT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2,086,157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3,855,996</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1,194,255</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822,050</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35,184,139</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15,796,660</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11,570</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22,639</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201,389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247,113</w:t>
            </w:r>
          </w:p>
        </w:tc>
      </w:tr>
      <w:tr>
        <w:trPr>
          <w:trHeight w:val="229"/>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8,865,909</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8,865,909</w:t>
            </w:r>
          </w:p>
        </w:tc>
      </w:tr>
      <w:tr>
        <w:trPr>
          <w:trHeight w:val="223"/>
        </w:trPr>
        <w:tc>
          <w:tcPr>
            <w:tcW w:w="74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44,263,007</w:t>
            </w:r>
          </w:p>
        </w:tc>
        <w:tc>
          <w:tcPr>
            <w:tcW w:w="2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24,932,321</w:t>
            </w:r>
          </w:p>
        </w:tc>
      </w:tr>
      <w:tr>
        <w:trPr>
          <w:trHeight w:val="20"/>
        </w:trPr>
        <w:tc>
          <w:tcPr>
            <w:tcW w:w="7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4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9"/>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1,234,922</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1,853,756</w:t>
            </w:r>
          </w:p>
        </w:tc>
      </w:tr>
      <w:tr>
        <w:trPr>
          <w:trHeight w:val="230"/>
        </w:trPr>
        <w:tc>
          <w:tcPr>
            <w:tcW w:w="7420" w:type="dxa"/>
            <w:vAlign w:val="bottom"/>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323,364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383,138</w:t>
            </w:r>
          </w:p>
        </w:tc>
      </w:tr>
      <w:tr>
        <w:trPr>
          <w:trHeight w:val="230"/>
        </w:trPr>
        <w:tc>
          <w:tcPr>
            <w:tcW w:w="7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 payable</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477,028</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Warrant liability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54,006</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59,211</w:t>
            </w:r>
          </w:p>
        </w:tc>
      </w:tr>
      <w:tr>
        <w:trPr>
          <w:trHeight w:val="223"/>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1,612,292</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2,773,133</w:t>
            </w:r>
          </w:p>
        </w:tc>
      </w:tr>
      <w:tr>
        <w:trPr>
          <w:trHeight w:val="196"/>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6"/>
        </w:trPr>
        <w:tc>
          <w:tcPr>
            <w:tcW w:w="7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74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45,172,535 and</w:t>
            </w:r>
          </w:p>
        </w:tc>
        <w:tc>
          <w:tcPr>
            <w:tcW w:w="2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23,810,541 shares issued at September 30, 2021 and December 31, 2020, and 45,172,535</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175"/>
        </w:trPr>
        <w:tc>
          <w:tcPr>
            <w:tcW w:w="7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and 23,808,546 shares outstanding at September 30, 2021 and December 31, 2020,</w:t>
            </w: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r>
      <w:tr>
        <w:trPr>
          <w:trHeight w:val="217"/>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2,381</w:t>
            </w:r>
          </w:p>
        </w:tc>
      </w:tr>
      <w:tr>
        <w:trPr>
          <w:trHeight w:val="229"/>
        </w:trPr>
        <w:tc>
          <w:tcPr>
            <w:tcW w:w="742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70,738,517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41,585,761</w:t>
            </w: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(28,092,319)</w:t>
            </w: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(19,428,954)</w:t>
            </w:r>
          </w:p>
        </w:tc>
      </w:tr>
      <w:tr>
        <w:trPr>
          <w:trHeight w:val="22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42,650,715</w:t>
            </w: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22,159,188</w:t>
            </w:r>
          </w:p>
        </w:tc>
      </w:tr>
      <w:tr>
        <w:trPr>
          <w:trHeight w:val="24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44,263,007</w:t>
            </w:r>
          </w:p>
        </w:tc>
        <w:tc>
          <w:tcPr>
            <w:tcW w:w="2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24,932,321</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308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1,378,239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1,840,216</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3,754,379</w:t>
            </w:r>
          </w:p>
        </w:tc>
        <w:tc>
          <w:tcPr>
            <w:tcW w:w="0" w:type="dxa"/>
            <w:vAlign w:val="bottom"/>
          </w:tcPr>
          <w:p>
            <w:pPr>
              <w:spacing w:after="0"/>
              <w:rPr>
                <w:sz w:val="1"/>
                <w:szCs w:val="1"/>
                <w:color w:val="auto"/>
              </w:rPr>
            </w:pPr>
          </w:p>
        </w:tc>
      </w:tr>
      <w:tr>
        <w:trPr>
          <w:trHeight w:val="210"/>
        </w:trPr>
        <w:tc>
          <w:tcPr>
            <w:tcW w:w="4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2,015,930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1,803,682</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5,852,887</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4,890,375</w:t>
            </w:r>
          </w:p>
        </w:tc>
        <w:tc>
          <w:tcPr>
            <w:tcW w:w="0" w:type="dxa"/>
            <w:vAlign w:val="bottom"/>
          </w:tcPr>
          <w:p>
            <w:pPr>
              <w:spacing w:after="0"/>
              <w:rPr>
                <w:sz w:val="1"/>
                <w:szCs w:val="1"/>
                <w:color w:val="auto"/>
              </w:rPr>
            </w:pPr>
          </w:p>
        </w:tc>
      </w:tr>
      <w:tr>
        <w:trPr>
          <w:trHeight w:val="229"/>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1,730,730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1,333,062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4,655,404</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4,893,021</w:t>
            </w: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3,746,660</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3,136,744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10,508,291</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9,783,396</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(3,746,660)</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(1,758,505)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(8,668,075)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(6,029,017)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265,538</w:t>
            </w:r>
          </w:p>
        </w:tc>
        <w:tc>
          <w:tcPr>
            <w:tcW w:w="0" w:type="dxa"/>
            <w:vAlign w:val="bottom"/>
          </w:tcPr>
          <w:p>
            <w:pPr>
              <w:spacing w:after="0"/>
              <w:rPr>
                <w:sz w:val="1"/>
                <w:szCs w:val="1"/>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179,027</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(3,737,100)</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(1,716,632)</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(8,663,365)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(5,584,706)</w:t>
            </w: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(3,737,100)</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(1,716,632)</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(8,663,365)</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(5,584,706)</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(0.08)</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Weighted-average number of common shares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8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4180" w:type="dxa"/>
            <w:vAlign w:val="bottom"/>
          </w:tcPr>
          <w:p>
            <w:pPr>
              <w:ind w:left="100"/>
              <w:spacing w:after="0"/>
              <w:rPr>
                <w:sz w:val="20"/>
                <w:szCs w:val="20"/>
                <w:color w:val="auto"/>
              </w:rPr>
            </w:pPr>
            <w:r>
              <w:rPr>
                <w:rFonts w:ascii="Arial" w:cs="Arial" w:eastAsia="Arial" w:hAnsi="Arial"/>
                <w:sz w:val="18"/>
                <w:szCs w:val="18"/>
                <w:color w:val="auto"/>
              </w:rPr>
              <w:t>outstanding — basic and diluted</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44,804,741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17,968,664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40,064,119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13,833,410</w:t>
            </w: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Nine Months Ended</w:t>
      </w:r>
    </w:p>
    <w:p>
      <w:pPr>
        <w:ind w:left="894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(8,663,365)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(5,584,706)</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413,153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149,660</w:t>
            </w:r>
          </w:p>
        </w:tc>
      </w:tr>
      <w:tr>
        <w:trPr>
          <w:trHeight w:val="230"/>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Shares issued for services</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r>
      <w:tr>
        <w:trPr>
          <w:trHeight w:val="229"/>
        </w:trPr>
        <w:tc>
          <w:tcPr>
            <w:tcW w:w="784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(5,205)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(265,538)</w:t>
            </w:r>
          </w:p>
        </w:tc>
      </w:tr>
      <w:tr>
        <w:trPr>
          <w:trHeight w:val="229"/>
        </w:trPr>
        <w:tc>
          <w:tcPr>
            <w:tcW w:w="7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Grants receivable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1,769,839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(3,212,678)</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799,210</w:t>
            </w:r>
          </w:p>
        </w:tc>
      </w:tr>
      <w:tr>
        <w:trPr>
          <w:trHeight w:val="230"/>
        </w:trPr>
        <w:tc>
          <w:tcPr>
            <w:tcW w:w="78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(618,830)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(607,904)</w:t>
            </w:r>
          </w:p>
        </w:tc>
      </w:tr>
      <w:tr>
        <w:trPr>
          <w:trHeight w:val="229"/>
        </w:trPr>
        <w:tc>
          <w:tcPr>
            <w:tcW w:w="78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(59,774)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288,079</w:t>
            </w:r>
          </w:p>
        </w:tc>
      </w:tr>
      <w:tr>
        <w:trPr>
          <w:trHeight w:val="229"/>
        </w:trPr>
        <w:tc>
          <w:tcPr>
            <w:tcW w:w="784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(541,701)</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(7,479,594)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(8,937,879)</w:t>
            </w:r>
          </w:p>
        </w:tc>
      </w:tr>
      <w:tr>
        <w:trPr>
          <w:trHeight w:val="148"/>
        </w:trPr>
        <w:tc>
          <w:tcPr>
            <w:tcW w:w="7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27,256,384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14,810,945</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636,214</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(477,028)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(690,367)</w:t>
            </w: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28,264,707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14,756,792</w:t>
            </w:r>
          </w:p>
        </w:tc>
      </w:tr>
      <w:tr>
        <w:trPr>
          <w:trHeight w:val="108"/>
        </w:trPr>
        <w:tc>
          <w:tcPr>
            <w:tcW w:w="78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20,785,113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5,818,913</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11,118,614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3,738,900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31,903,727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9,557,813</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8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r>
      <w:tr>
        <w:trPr>
          <w:trHeight w:val="21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840" w:type="dxa"/>
            <w:vAlign w:val="bottom"/>
          </w:tcPr>
          <w:p>
            <w:pPr>
              <w:ind w:left="140"/>
              <w:spacing w:after="0"/>
              <w:rPr>
                <w:sz w:val="20"/>
                <w:szCs w:val="20"/>
                <w:color w:val="auto"/>
              </w:rPr>
            </w:pPr>
            <w:r>
              <w:rPr>
                <w:rFonts w:ascii="Arial" w:cs="Arial" w:eastAsia="Arial" w:hAnsi="Arial"/>
                <w:sz w:val="18"/>
                <w:szCs w:val="18"/>
                <w:color w:val="auto"/>
              </w:rPr>
              <w:t>Accrued issuance costs for public offering</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12,001</w:t>
            </w:r>
          </w:p>
        </w:tc>
      </w:tr>
      <w:tr>
        <w:trPr>
          <w:trHeight w:val="223"/>
        </w:trPr>
        <w:tc>
          <w:tcPr>
            <w:tcW w:w="78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 financed by note payable</w:t>
            </w: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949,131</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left="760" w:right="1940"/>
        <w:spacing w:after="0" w:line="278"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347"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1940" w:type="dxa"/>
            <w:vAlign w:val="bottom"/>
            <w:gridSpan w:val="4"/>
            <w:vMerge w:val="restart"/>
          </w:tcPr>
          <w:p>
            <w:pPr>
              <w:jc w:val="right"/>
              <w:ind w:right="29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vMerge w:val="restart"/>
          </w:tcPr>
          <w:p>
            <w:pPr>
              <w:spacing w:after="0"/>
              <w:rPr>
                <w:sz w:val="16"/>
                <w:szCs w:val="16"/>
                <w:color w:val="auto"/>
              </w:rPr>
            </w:pPr>
          </w:p>
        </w:tc>
        <w:tc>
          <w:tcPr>
            <w:tcW w:w="1760" w:type="dxa"/>
            <w:vAlign w:val="bottom"/>
            <w:gridSpan w:val="3"/>
            <w:vMerge w:val="restart"/>
          </w:tcPr>
          <w:p>
            <w:pPr>
              <w:jc w:val="right"/>
              <w:ind w:right="210"/>
              <w:spacing w:after="0"/>
              <w:rPr>
                <w:sz w:val="20"/>
                <w:szCs w:val="20"/>
                <w:color w:val="auto"/>
              </w:rPr>
            </w:pPr>
            <w:r>
              <w:rPr>
                <w:rFonts w:ascii="Arial" w:cs="Arial" w:eastAsia="Arial" w:hAnsi="Arial"/>
                <w:sz w:val="16"/>
                <w:szCs w:val="16"/>
                <w:b w:val="1"/>
                <w:bCs w:val="1"/>
                <w:color w:val="auto"/>
              </w:rPr>
              <w:t>Preferred Stock</w:t>
            </w:r>
          </w:p>
        </w:tc>
        <w:tc>
          <w:tcPr>
            <w:tcW w:w="120" w:type="dxa"/>
            <w:vAlign w:val="bottom"/>
            <w:vMerge w:val="restart"/>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center"/>
              <w:ind w:right="9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10"/>
        </w:trPr>
        <w:tc>
          <w:tcPr>
            <w:tcW w:w="2400" w:type="dxa"/>
            <w:vAlign w:val="bottom"/>
          </w:tcPr>
          <w:p>
            <w:pPr>
              <w:spacing w:after="0"/>
              <w:rPr>
                <w:sz w:val="9"/>
                <w:szCs w:val="9"/>
                <w:color w:val="auto"/>
              </w:rPr>
            </w:pPr>
          </w:p>
        </w:tc>
        <w:tc>
          <w:tcPr>
            <w:tcW w:w="1940" w:type="dxa"/>
            <w:vAlign w:val="bottom"/>
            <w:tcBorders>
              <w:bottom w:val="single" w:sz="8" w:color="auto"/>
            </w:tcBorders>
            <w:gridSpan w:val="4"/>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1760" w:type="dxa"/>
            <w:vAlign w:val="bottom"/>
            <w:tcBorders>
              <w:bottom w:val="single" w:sz="8" w:color="auto"/>
            </w:tcBorders>
            <w:gridSpan w:val="3"/>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300" w:type="dxa"/>
            <w:vAlign w:val="bottom"/>
            <w:gridSpan w:val="2"/>
            <w:vMerge w:val="restart"/>
          </w:tcPr>
          <w:p>
            <w:pPr>
              <w:ind w:left="180"/>
              <w:spacing w:after="0" w:line="162" w:lineRule="exact"/>
              <w:rPr>
                <w:sz w:val="20"/>
                <w:szCs w:val="20"/>
                <w:color w:val="auto"/>
              </w:rPr>
            </w:pPr>
            <w:r>
              <w:rPr>
                <w:rFonts w:ascii="Arial" w:cs="Arial" w:eastAsia="Arial" w:hAnsi="Arial"/>
                <w:sz w:val="16"/>
                <w:szCs w:val="16"/>
                <w:b w:val="1"/>
                <w:bCs w:val="1"/>
                <w:color w:val="auto"/>
              </w:rPr>
              <w:t>Additional</w:t>
            </w:r>
          </w:p>
        </w:tc>
        <w:tc>
          <w:tcPr>
            <w:tcW w:w="1400" w:type="dxa"/>
            <w:vAlign w:val="bottom"/>
            <w:gridSpan w:val="2"/>
            <w:vMerge w:val="restart"/>
          </w:tcPr>
          <w:p>
            <w:pPr>
              <w:ind w:left="120"/>
              <w:spacing w:after="0" w:line="162" w:lineRule="exact"/>
              <w:rPr>
                <w:sz w:val="20"/>
                <w:szCs w:val="20"/>
                <w:color w:val="auto"/>
              </w:rPr>
            </w:pPr>
            <w:r>
              <w:rPr>
                <w:rFonts w:ascii="Arial" w:cs="Arial" w:eastAsia="Arial" w:hAnsi="Arial"/>
                <w:sz w:val="16"/>
                <w:szCs w:val="16"/>
                <w:b w:val="1"/>
                <w:bCs w:val="1"/>
                <w:color w:val="auto"/>
              </w:rPr>
              <w:t>Accumulated</w:t>
            </w:r>
          </w:p>
        </w:tc>
        <w:tc>
          <w:tcPr>
            <w:tcW w:w="1280" w:type="dxa"/>
            <w:vAlign w:val="bottom"/>
            <w:gridSpan w:val="2"/>
            <w:vMerge w:val="restart"/>
          </w:tcPr>
          <w:p>
            <w:pPr>
              <w:jc w:val="center"/>
              <w:spacing w:after="0" w:line="162" w:lineRule="exact"/>
              <w:rPr>
                <w:sz w:val="20"/>
                <w:szCs w:val="20"/>
                <w:color w:val="auto"/>
              </w:rPr>
            </w:pPr>
            <w:r>
              <w:rPr>
                <w:rFonts w:ascii="Arial" w:cs="Arial" w:eastAsia="Arial" w:hAnsi="Arial"/>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400" w:type="dxa"/>
            <w:vAlign w:val="bottom"/>
          </w:tcPr>
          <w:p>
            <w:pPr>
              <w:spacing w:after="0"/>
              <w:rPr>
                <w:sz w:val="3"/>
                <w:szCs w:val="3"/>
                <w:color w:val="auto"/>
              </w:rPr>
            </w:pPr>
          </w:p>
        </w:tc>
        <w:tc>
          <w:tcPr>
            <w:tcW w:w="106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Shares</w:t>
            </w:r>
          </w:p>
        </w:tc>
        <w:tc>
          <w:tcPr>
            <w:tcW w:w="140" w:type="dxa"/>
            <w:vAlign w:val="bottom"/>
            <w:vMerge w:val="restart"/>
          </w:tcPr>
          <w:p>
            <w:pPr>
              <w:spacing w:after="0"/>
              <w:rPr>
                <w:sz w:val="3"/>
                <w:szCs w:val="3"/>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40" w:type="dxa"/>
            <w:vAlign w:val="bottom"/>
            <w:vMerge w:val="restart"/>
          </w:tcPr>
          <w:p>
            <w:pPr>
              <w:spacing w:after="0"/>
              <w:rPr>
                <w:sz w:val="3"/>
                <w:szCs w:val="3"/>
                <w:color w:val="auto"/>
              </w:rPr>
            </w:pPr>
          </w:p>
        </w:tc>
        <w:tc>
          <w:tcPr>
            <w:tcW w:w="880" w:type="dxa"/>
            <w:vAlign w:val="bottom"/>
            <w:vMerge w:val="restart"/>
          </w:tcPr>
          <w:p>
            <w:pPr>
              <w:jc w:val="right"/>
              <w:ind w:right="91"/>
              <w:spacing w:after="0"/>
              <w:rPr>
                <w:sz w:val="20"/>
                <w:szCs w:val="20"/>
                <w:color w:val="auto"/>
              </w:rPr>
            </w:pPr>
            <w:r>
              <w:rPr>
                <w:rFonts w:ascii="Arial" w:cs="Arial" w:eastAsia="Arial" w:hAnsi="Arial"/>
                <w:sz w:val="16"/>
                <w:szCs w:val="16"/>
                <w:b w:val="1"/>
                <w:bCs w:val="1"/>
                <w:color w:val="auto"/>
              </w:rPr>
              <w:t>Shares</w:t>
            </w:r>
          </w:p>
        </w:tc>
        <w:tc>
          <w:tcPr>
            <w:tcW w:w="160" w:type="dxa"/>
            <w:vAlign w:val="bottom"/>
            <w:vMerge w:val="restart"/>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20" w:type="dxa"/>
            <w:vAlign w:val="bottom"/>
            <w:vMerge w:val="restart"/>
          </w:tcPr>
          <w:p>
            <w:pPr>
              <w:spacing w:after="0"/>
              <w:rPr>
                <w:sz w:val="3"/>
                <w:szCs w:val="3"/>
                <w:color w:val="auto"/>
              </w:rPr>
            </w:pPr>
          </w:p>
        </w:tc>
        <w:tc>
          <w:tcPr>
            <w:tcW w:w="1300" w:type="dxa"/>
            <w:vAlign w:val="bottom"/>
            <w:gridSpan w:val="2"/>
            <w:vMerge w:val="continue"/>
          </w:tcPr>
          <w:p>
            <w:pPr>
              <w:spacing w:after="0"/>
              <w:rPr>
                <w:sz w:val="3"/>
                <w:szCs w:val="3"/>
                <w:color w:val="auto"/>
              </w:rPr>
            </w:pPr>
          </w:p>
        </w:tc>
        <w:tc>
          <w:tcPr>
            <w:tcW w:w="1400" w:type="dxa"/>
            <w:vAlign w:val="bottom"/>
            <w:gridSpan w:val="2"/>
            <w:vMerge w:val="continue"/>
          </w:tcPr>
          <w:p>
            <w:pPr>
              <w:spacing w:after="0"/>
              <w:rPr>
                <w:sz w:val="3"/>
                <w:szCs w:val="3"/>
                <w:color w:val="auto"/>
              </w:rPr>
            </w:pPr>
          </w:p>
        </w:tc>
        <w:tc>
          <w:tcPr>
            <w:tcW w:w="12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5"/>
        </w:trPr>
        <w:tc>
          <w:tcPr>
            <w:tcW w:w="24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74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Paid-In Capital</w:t>
            </w:r>
          </w:p>
        </w:tc>
        <w:tc>
          <w:tcPr>
            <w:tcW w:w="1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Deficit</w:t>
            </w: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0" w:type="dxa"/>
            <w:vAlign w:val="bottom"/>
          </w:tcPr>
          <w:p>
            <w:pPr>
              <w:spacing w:after="0"/>
              <w:rPr>
                <w:sz w:val="1"/>
                <w:szCs w:val="1"/>
                <w:color w:val="auto"/>
              </w:rPr>
            </w:pPr>
          </w:p>
        </w:tc>
      </w:tr>
      <w:tr>
        <w:trPr>
          <w:trHeight w:val="156"/>
        </w:trPr>
        <w:tc>
          <w:tcPr>
            <w:tcW w:w="240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Balance at December 31,</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4,511,174</w:t>
            </w:r>
          </w:p>
        </w:tc>
        <w:tc>
          <w:tcPr>
            <w:tcW w:w="14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451</w:t>
            </w:r>
          </w:p>
        </w:tc>
        <w:tc>
          <w:tcPr>
            <w:tcW w:w="1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7"/>
              </w:rPr>
              <w:t>$ 22,657,103</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$(12,076,700)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10,580,854</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2019</w:t>
            </w: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Issuance of equity securities,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net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8,353,480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1,246,519</w:t>
            </w:r>
          </w:p>
        </w:tc>
        <w:tc>
          <w:tcPr>
            <w:tcW w:w="160" w:type="dxa"/>
            <w:vAlign w:val="bottom"/>
          </w:tcPr>
          <w:p>
            <w:pPr>
              <w:spacing w:after="0"/>
              <w:rPr>
                <w:sz w:val="18"/>
                <w:szCs w:val="18"/>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9,466,206</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9,467,166</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Preferred shares converted</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 common shares</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777,825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(777,825)</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3,198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38,409</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(2,083,816)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(2,083,816)</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13,645,677</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1,364</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468,694</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32,161,718</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(14,160,516)</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18,002,613</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Warrants exercised for cash,</w:t>
            </w: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578,664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578,714</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line="189" w:lineRule="exact"/>
              <w:rPr>
                <w:sz w:val="20"/>
                <w:szCs w:val="20"/>
                <w:color w:val="auto"/>
              </w:rPr>
            </w:pPr>
            <w:r>
              <w:rPr>
                <w:rFonts w:ascii="Arial" w:cs="Arial" w:eastAsia="Arial" w:hAnsi="Arial"/>
                <w:sz w:val="18"/>
                <w:szCs w:val="18"/>
                <w:color w:val="auto"/>
              </w:rPr>
              <w:t>Preferred shares converted</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to common shares</w:t>
            </w:r>
          </w:p>
        </w:tc>
        <w:tc>
          <w:tcPr>
            <w:tcW w:w="1060" w:type="dxa"/>
            <w:vAlign w:val="bottom"/>
          </w:tcPr>
          <w:p>
            <w:pPr>
              <w:jc w:val="right"/>
              <w:spacing w:after="0"/>
              <w:rPr>
                <w:sz w:val="20"/>
                <w:szCs w:val="20"/>
                <w:color w:val="auto"/>
              </w:rPr>
            </w:pPr>
            <w:r>
              <w:rPr>
                <w:rFonts w:ascii="Arial" w:cs="Arial" w:eastAsia="Arial" w:hAnsi="Arial"/>
                <w:sz w:val="18"/>
                <w:szCs w:val="18"/>
                <w:color w:val="auto"/>
              </w:rPr>
              <w:t>468,694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(468,694)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32,905</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32,905</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line="189" w:lineRule="exact"/>
              <w:rPr>
                <w:sz w:val="20"/>
                <w:szCs w:val="20"/>
                <w:color w:val="auto"/>
              </w:rPr>
            </w:pPr>
            <w:r>
              <w:rPr>
                <w:rFonts w:ascii="Arial" w:cs="Arial" w:eastAsia="Arial" w:hAnsi="Arial"/>
                <w:sz w:val="18"/>
                <w:szCs w:val="18"/>
                <w:color w:val="auto"/>
              </w:rPr>
              <w:t>Equity-based services</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18,564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24,998</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(1,784,258)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(1,784,258)</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060" w:type="dxa"/>
            <w:vAlign w:val="bottom"/>
          </w:tcPr>
          <w:p>
            <w:pPr>
              <w:jc w:val="right"/>
              <w:spacing w:after="0"/>
              <w:rPr>
                <w:sz w:val="20"/>
                <w:szCs w:val="20"/>
                <w:color w:val="auto"/>
              </w:rPr>
            </w:pPr>
            <w:r>
              <w:rPr>
                <w:rFonts w:ascii="Arial" w:cs="Arial" w:eastAsia="Arial" w:hAnsi="Arial"/>
                <w:sz w:val="18"/>
                <w:szCs w:val="18"/>
                <w:color w:val="auto"/>
              </w:rPr>
              <w:t>14,638,008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1,463</w:t>
            </w:r>
          </w:p>
        </w:tc>
        <w:tc>
          <w:tcPr>
            <w:tcW w:w="14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32,798,285</w:t>
            </w: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(15,944,774)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16,854,974</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exercised for cash</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57,495</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57,500</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line="189" w:lineRule="exact"/>
              <w:rPr>
                <w:sz w:val="20"/>
                <w:szCs w:val="20"/>
                <w:color w:val="auto"/>
              </w:rPr>
            </w:pPr>
            <w:r>
              <w:rPr>
                <w:rFonts w:ascii="Arial" w:cs="Arial" w:eastAsia="Arial" w:hAnsi="Arial"/>
                <w:sz w:val="18"/>
                <w:szCs w:val="18"/>
                <w:color w:val="auto"/>
              </w:rPr>
              <w:t>Issuance of equity securities,</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net</w:t>
            </w:r>
          </w:p>
        </w:tc>
        <w:tc>
          <w:tcPr>
            <w:tcW w:w="1060" w:type="dxa"/>
            <w:vAlign w:val="bottom"/>
          </w:tcPr>
          <w:p>
            <w:pPr>
              <w:jc w:val="right"/>
              <w:spacing w:after="0"/>
              <w:rPr>
                <w:sz w:val="20"/>
                <w:szCs w:val="20"/>
                <w:color w:val="auto"/>
              </w:rPr>
            </w:pPr>
            <w:r>
              <w:rPr>
                <w:rFonts w:ascii="Arial" w:cs="Arial" w:eastAsia="Arial" w:hAnsi="Arial"/>
                <w:sz w:val="18"/>
                <w:szCs w:val="18"/>
                <w:color w:val="auto"/>
              </w:rPr>
              <w:t>5,130,390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5,331,265</w:t>
            </w:r>
          </w:p>
        </w:tc>
        <w:tc>
          <w:tcPr>
            <w:tcW w:w="140" w:type="dxa"/>
            <w:vAlign w:val="bottom"/>
          </w:tcPr>
          <w:p>
            <w:pPr>
              <w:spacing w:after="0"/>
              <w:rPr>
                <w:sz w:val="18"/>
                <w:szCs w:val="18"/>
                <w:color w:val="auto"/>
              </w:rPr>
            </w:pP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5,331,778</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78,346</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78,346</w:t>
            </w: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(1,716,632)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(1,716,632)</w:t>
            </w:r>
          </w:p>
        </w:tc>
        <w:tc>
          <w:tcPr>
            <w:tcW w:w="0" w:type="dxa"/>
            <w:vAlign w:val="bottom"/>
          </w:tcPr>
          <w:p>
            <w:pPr>
              <w:spacing w:after="0"/>
              <w:rPr>
                <w:sz w:val="1"/>
                <w:szCs w:val="1"/>
                <w:color w:val="auto"/>
              </w:rPr>
            </w:pPr>
          </w:p>
        </w:tc>
      </w:tr>
      <w:tr>
        <w:trPr>
          <w:trHeight w:val="155"/>
        </w:trPr>
        <w:tc>
          <w:tcPr>
            <w:tcW w:w="2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19,818,912</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4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38,265,391</w:t>
            </w:r>
          </w:p>
        </w:tc>
        <w:tc>
          <w:tcPr>
            <w:tcW w:w="1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(17,661,406)</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20,605,966</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2020</w:t>
            </w: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4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Balance at December 31,</w:t>
            </w:r>
          </w:p>
        </w:tc>
        <w:tc>
          <w:tcPr>
            <w:tcW w:w="10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23,808,546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7"/>
              </w:rPr>
              <w:t>2,381</w:t>
            </w: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41,585,761</w:t>
            </w:r>
          </w:p>
        </w:tc>
        <w:tc>
          <w:tcPr>
            <w:tcW w:w="14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(19,428,954)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22,159,188</w:t>
            </w: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2020</w:t>
            </w:r>
          </w:p>
        </w:tc>
        <w:tc>
          <w:tcPr>
            <w:tcW w:w="10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line="176" w:lineRule="exact"/>
              <w:rPr>
                <w:sz w:val="20"/>
                <w:szCs w:val="20"/>
                <w:color w:val="auto"/>
              </w:rPr>
            </w:pPr>
            <w:r>
              <w:rPr>
                <w:rFonts w:ascii="Arial" w:cs="Arial" w:eastAsia="Arial" w:hAnsi="Arial"/>
                <w:sz w:val="18"/>
                <w:szCs w:val="18"/>
                <w:color w:val="auto"/>
              </w:rPr>
              <w:t>Issuance of equity securities,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net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19,627,215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1,963</w:t>
            </w:r>
          </w:p>
        </w:tc>
        <w:tc>
          <w:tcPr>
            <w:tcW w:w="14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26,848,058</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26,850,021</w:t>
            </w: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Warrants exercised for cash,</w:t>
            </w:r>
          </w:p>
        </w:tc>
        <w:tc>
          <w:tcPr>
            <w:tcW w:w="10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1,298,567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1,485,222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1,485,351</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line="189" w:lineRule="exact"/>
              <w:rPr>
                <w:sz w:val="20"/>
                <w:szCs w:val="20"/>
                <w:color w:val="auto"/>
              </w:rPr>
            </w:pPr>
            <w:r>
              <w:rPr>
                <w:rFonts w:ascii="Arial" w:cs="Arial" w:eastAsia="Arial" w:hAnsi="Arial"/>
                <w:sz w:val="18"/>
                <w:szCs w:val="18"/>
                <w:color w:val="auto"/>
              </w:rPr>
              <w:t>Equity-based compensation</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expense</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135,379</w:t>
            </w:r>
          </w:p>
        </w:tc>
        <w:tc>
          <w:tcPr>
            <w:tcW w:w="14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135,379</w:t>
            </w:r>
          </w:p>
        </w:tc>
        <w:tc>
          <w:tcPr>
            <w:tcW w:w="0" w:type="dxa"/>
            <w:vAlign w:val="bottom"/>
          </w:tcPr>
          <w:p>
            <w:pPr>
              <w:spacing w:after="0"/>
              <w:rPr>
                <w:sz w:val="1"/>
                <w:szCs w:val="1"/>
                <w:color w:val="auto"/>
              </w:rPr>
            </w:pPr>
          </w:p>
        </w:tc>
      </w:tr>
      <w:tr>
        <w:trPr>
          <w:trHeight w:val="230"/>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(1,851,896)</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44,734,328</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4,473</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7"/>
              </w:rPr>
              <w:t>$ 70,054,420</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$(21,280,850)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48,778,043</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Equity-based compensation</w:t>
            </w: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147,452</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147,456</w:t>
            </w:r>
          </w:p>
        </w:tc>
        <w:tc>
          <w:tcPr>
            <w:tcW w:w="0" w:type="dxa"/>
            <w:vAlign w:val="bottom"/>
          </w:tcPr>
          <w:p>
            <w:pPr>
              <w:spacing w:after="0"/>
              <w:rPr>
                <w:sz w:val="1"/>
                <w:szCs w:val="1"/>
                <w:color w:val="auto"/>
              </w:rPr>
            </w:pPr>
          </w:p>
        </w:tc>
      </w:tr>
      <w:tr>
        <w:trPr>
          <w:trHeight w:val="188"/>
        </w:trPr>
        <w:tc>
          <w:tcPr>
            <w:tcW w:w="2400" w:type="dxa"/>
            <w:vAlign w:val="bottom"/>
          </w:tcPr>
          <w:p>
            <w:pPr>
              <w:ind w:left="20"/>
              <w:spacing w:after="0" w:line="189" w:lineRule="exact"/>
              <w:rPr>
                <w:sz w:val="20"/>
                <w:szCs w:val="20"/>
                <w:color w:val="auto"/>
              </w:rPr>
            </w:pPr>
            <w:r>
              <w:rPr>
                <w:rFonts w:ascii="Arial" w:cs="Arial" w:eastAsia="Arial" w:hAnsi="Arial"/>
                <w:sz w:val="18"/>
                <w:szCs w:val="18"/>
                <w:color w:val="auto"/>
              </w:rPr>
              <w:t>Equity-based services</w:t>
            </w: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tcPr>
          <w:p>
            <w:pPr>
              <w:jc w:val="right"/>
              <w:spacing w:after="0"/>
              <w:rPr>
                <w:sz w:val="20"/>
                <w:szCs w:val="20"/>
                <w:color w:val="auto"/>
              </w:rPr>
            </w:pPr>
            <w:r>
              <w:rPr>
                <w:rFonts w:ascii="Arial" w:cs="Arial" w:eastAsia="Arial" w:hAnsi="Arial"/>
                <w:sz w:val="18"/>
                <w:szCs w:val="18"/>
                <w:color w:val="auto"/>
              </w:rPr>
              <w:t>6,188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(3,074,369)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(3,074,369)</w:t>
            </w:r>
          </w:p>
        </w:tc>
        <w:tc>
          <w:tcPr>
            <w:tcW w:w="0" w:type="dxa"/>
            <w:vAlign w:val="bottom"/>
          </w:tcPr>
          <w:p>
            <w:pPr>
              <w:spacing w:after="0"/>
              <w:rPr>
                <w:sz w:val="1"/>
                <w:szCs w:val="1"/>
                <w:color w:val="auto"/>
              </w:rPr>
            </w:pPr>
          </w:p>
        </w:tc>
      </w:tr>
      <w:tr>
        <w:trPr>
          <w:trHeight w:val="223"/>
        </w:trPr>
        <w:tc>
          <w:tcPr>
            <w:tcW w:w="24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44,778,794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4,477</w:t>
            </w: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70,201,872</w:t>
            </w:r>
          </w:p>
        </w:tc>
        <w:tc>
          <w:tcPr>
            <w:tcW w:w="1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(24,355,219)</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45,851,130</w:t>
            </w:r>
          </w:p>
        </w:tc>
        <w:tc>
          <w:tcPr>
            <w:tcW w:w="0" w:type="dxa"/>
            <w:vAlign w:val="bottom"/>
          </w:tcPr>
          <w:p>
            <w:pPr>
              <w:spacing w:after="0"/>
              <w:rPr>
                <w:sz w:val="1"/>
                <w:szCs w:val="1"/>
                <w:color w:val="auto"/>
              </w:rPr>
            </w:pPr>
          </w:p>
        </w:tc>
      </w:tr>
      <w:tr>
        <w:trPr>
          <w:trHeight w:val="20"/>
        </w:trPr>
        <w:tc>
          <w:tcPr>
            <w:tcW w:w="24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400" w:type="dxa"/>
            <w:vAlign w:val="bottom"/>
            <w:shd w:val="clear" w:color="auto" w:fill="CCEEFF"/>
          </w:tcPr>
          <w:p>
            <w:pPr>
              <w:ind w:left="20"/>
              <w:spacing w:after="0" w:line="155" w:lineRule="exact"/>
              <w:rPr>
                <w:sz w:val="20"/>
                <w:szCs w:val="20"/>
                <w:color w:val="auto"/>
              </w:rPr>
            </w:pPr>
            <w:r>
              <w:rPr>
                <w:rFonts w:ascii="Arial" w:cs="Arial" w:eastAsia="Arial" w:hAnsi="Arial"/>
                <w:sz w:val="17"/>
                <w:szCs w:val="17"/>
                <w:color w:val="auto"/>
              </w:rPr>
              <w:t>Equity-based compensation</w:t>
            </w:r>
          </w:p>
        </w:tc>
        <w:tc>
          <w:tcPr>
            <w:tcW w:w="10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130,322</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800"/>
          </w:cols>
          <w:pgMar w:left="320" w:top="290" w:right="77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43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90" w:right="779" w:bottom="1440" w:gutter="0" w:footer="0" w:header="0"/>
          <w:type w:val="continuous"/>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60" w:type="dxa"/>
        <w:tblCellMar>
          <w:top w:w="0" w:type="dxa"/>
          <w:left w:w="0" w:type="dxa"/>
          <w:bottom w:w="0" w:type="dxa"/>
          <w:right w:w="0" w:type="dxa"/>
        </w:tblCellMar>
      </w:tblPr>
      <w:tr>
        <w:trPr>
          <w:trHeight w:val="217"/>
        </w:trPr>
        <w:tc>
          <w:tcPr>
            <w:tcW w:w="3040" w:type="dxa"/>
            <w:vAlign w:val="bottom"/>
          </w:tcPr>
          <w:p>
            <w:pPr>
              <w:ind w:left="20"/>
              <w:spacing w:after="0"/>
              <w:rPr>
                <w:sz w:val="20"/>
                <w:szCs w:val="20"/>
                <w:color w:val="auto"/>
              </w:rPr>
            </w:pPr>
            <w:r>
              <w:rPr>
                <w:rFonts w:ascii="Arial" w:cs="Arial" w:eastAsia="Arial" w:hAnsi="Arial"/>
                <w:sz w:val="18"/>
                <w:szCs w:val="18"/>
                <w:color w:val="auto"/>
              </w:rPr>
              <w:t>Issuance of equity securities, net</w:t>
            </w:r>
          </w:p>
        </w:tc>
        <w:tc>
          <w:tcPr>
            <w:tcW w:w="980" w:type="dxa"/>
            <w:vAlign w:val="bottom"/>
          </w:tcPr>
          <w:p>
            <w:pPr>
              <w:jc w:val="right"/>
              <w:spacing w:after="0"/>
              <w:rPr>
                <w:sz w:val="20"/>
                <w:szCs w:val="20"/>
                <w:color w:val="auto"/>
              </w:rPr>
            </w:pPr>
            <w:r>
              <w:rPr>
                <w:rFonts w:ascii="Arial" w:cs="Arial" w:eastAsia="Arial" w:hAnsi="Arial"/>
                <w:sz w:val="18"/>
                <w:szCs w:val="18"/>
                <w:color w:val="auto"/>
              </w:rPr>
              <w:t>393,741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406,323</w:t>
            </w: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406,363</w:t>
            </w: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(3,737,100)</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(3,737,100)</w:t>
            </w:r>
          </w:p>
        </w:tc>
      </w:tr>
      <w:tr>
        <w:trPr>
          <w:trHeight w:val="223"/>
        </w:trPr>
        <w:tc>
          <w:tcPr>
            <w:tcW w:w="30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45,172,535</w:t>
            </w:r>
          </w:p>
        </w:tc>
        <w:tc>
          <w:tcPr>
            <w:tcW w:w="1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4,517</w:t>
            </w:r>
          </w:p>
        </w:tc>
        <w:tc>
          <w:tcPr>
            <w:tcW w:w="12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70,738,517</w:t>
            </w:r>
          </w:p>
        </w:tc>
        <w:tc>
          <w:tcPr>
            <w:tcW w:w="14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(28,092,319)</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42,650,715</w:t>
            </w: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30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380"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290" w:right="77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3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that are incorrectly turned on or off. The field concerned with gene expression regulation is called ‘epigenetics’. As cancers are often diseases driven by gene dysregulation, epigenetics is an area of interest for cancer treatment. The Company's lead epigenetic based technology was licensed from the University of Utah Research Foundation in 2011. The Company is located in Houston, Texas.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7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At this time we are experiencing minimal disruption to our clinical trials. However, our ongoing Phase 1/2 Ewing sarcoma clinical trial and Phase 1/2 AST clinical trial may encounter delays in enrolling new patients due to concerns or healthcare resource constraints because</w:t>
      </w:r>
    </w:p>
    <w:p>
      <w:pPr>
        <w:spacing w:after="0" w:line="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we have worked to adapt to the unexpected and challenging circumstances resulting from the COVID-19 pandemic. However, we may experience disruptions in the future that have and could further adversely impact our business operations as well as our preclinical studies and clinical trials.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2020 included elsewhere in the Company's Annual Report on Form 10-K filed with the SEC on March 18, 2021. In the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opinion of management, the unaudited interim financial statements reflect all the adjustments (consisting of normal recurring adjustments) necessary to state fairly the Company’s financial position as of September 30, 2021 and the results of operations for the three and nine months ended September 30, 2021 and 2020. The interim results of operations are not necessarily indicative of the results that may occur for the full fiscal year. The December 31, 2020 balance sheet included herein was derived from the audited financial statements, but does not include all disclosures, including notes, required by GAAP for complete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maintains several bank accounts including an interest-bearing account for funds received from Cancer Prevention and Research Institution of Texas ("CPRIT").</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and nine months ended September 30, 2021 and 2020.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charge is recognized. Additional impairment assessments may be performed on an interim basis if the Company encounters events or changes in circumstances that would indicate that, more likely than not, the carrying value of goodwill has been impaired. There was no impairment of goodwill during the three and nine months ended September 30, 2021 or September 30, 2020.</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determines whether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fair value of the warrant liability at the end of each reporting period for changes in fair value from the prior period until the earlier of the exercise or expiration of the applicable warrant. For warrants classified as equity contracts, the Company allocates the transaction proceeds to the warrants and any other free-standing instruments issued in the transaction based on an allowable allocation method.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9,531,198 and 10,075,278 shares as of September 30, 2021 and 2020,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2021 and December 31, 2020,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The adoption of ASU 2019-12 in the first quarter of 2021 did not have a material impact on the Company’s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GRANTS RECEIVABLE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where there is reasonable assurance that conditions of the grant have been met but the corresponding funds have not been received as of the reporting date. Grants receivable balances are $2.1 million and $3.9 million as of September 30, 2021 and December 31, 2020, respectively.</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360" w:type="dxa"/>
            <w:vAlign w:val="bottom"/>
          </w:tcPr>
          <w:p>
            <w:pPr>
              <w:spacing w:after="0"/>
              <w:rPr>
                <w:sz w:val="20"/>
                <w:szCs w:val="20"/>
                <w:color w:val="auto"/>
              </w:rPr>
            </w:pPr>
            <w:r>
              <w:rPr>
                <w:rFonts w:ascii="Arial" w:cs="Arial" w:eastAsia="Arial" w:hAnsi="Arial"/>
                <w:sz w:val="18"/>
                <w:szCs w:val="18"/>
                <w:b w:val="1"/>
                <w:bCs w:val="1"/>
                <w:color w:val="auto"/>
              </w:rPr>
              <w:t>NOTE 4. PREPAID EXPENSES AND OTHER CURRENT ASSETS</w:t>
            </w:r>
          </w:p>
        </w:tc>
        <w:tc>
          <w:tcPr>
            <w:tcW w:w="5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365"/>
        </w:trPr>
        <w:tc>
          <w:tcPr>
            <w:tcW w:w="9460" w:type="dxa"/>
            <w:vAlign w:val="bottom"/>
            <w:gridSpan w:val="5"/>
          </w:tcPr>
          <w:p>
            <w:pPr>
              <w:spacing w:after="0"/>
              <w:rPr>
                <w:sz w:val="20"/>
                <w:szCs w:val="20"/>
                <w:color w:val="auto"/>
              </w:rPr>
            </w:pPr>
            <w:r>
              <w:rPr>
                <w:rFonts w:ascii="Arial" w:cs="Arial" w:eastAsia="Arial" w:hAnsi="Arial"/>
                <w:sz w:val="18"/>
                <w:szCs w:val="18"/>
                <w:color w:val="auto"/>
              </w:rPr>
              <w:t>Prepaid expenses and other current assets at September 30, 2021 and December 31, 2020 consisted of the following:</w:t>
            </w:r>
          </w:p>
        </w:tc>
        <w:tc>
          <w:tcPr>
            <w:tcW w:w="1740" w:type="dxa"/>
            <w:vAlign w:val="bottom"/>
          </w:tcPr>
          <w:p>
            <w:pPr>
              <w:spacing w:after="0"/>
              <w:rPr>
                <w:sz w:val="24"/>
                <w:szCs w:val="24"/>
                <w:color w:val="auto"/>
              </w:rPr>
            </w:pPr>
          </w:p>
        </w:tc>
      </w:tr>
      <w:tr>
        <w:trPr>
          <w:trHeight w:val="256"/>
        </w:trPr>
        <w:tc>
          <w:tcPr>
            <w:tcW w:w="7360" w:type="dxa"/>
            <w:vAlign w:val="bottom"/>
          </w:tcPr>
          <w:p>
            <w:pPr>
              <w:spacing w:after="0"/>
              <w:rPr>
                <w:sz w:val="22"/>
                <w:szCs w:val="22"/>
                <w:color w:val="auto"/>
              </w:rPr>
            </w:pPr>
          </w:p>
        </w:tc>
        <w:tc>
          <w:tcPr>
            <w:tcW w:w="1980" w:type="dxa"/>
            <w:vAlign w:val="bottom"/>
            <w:gridSpan w:val="3"/>
          </w:tcPr>
          <w:p>
            <w:pPr>
              <w:ind w:left="100"/>
              <w:spacing w:after="0"/>
              <w:rPr>
                <w:sz w:val="20"/>
                <w:szCs w:val="20"/>
                <w:color w:val="auto"/>
              </w:rPr>
            </w:pPr>
            <w:r>
              <w:rPr>
                <w:rFonts w:ascii="Arial" w:cs="Arial" w:eastAsia="Arial" w:hAnsi="Arial"/>
                <w:sz w:val="18"/>
                <w:szCs w:val="18"/>
                <w:b w:val="1"/>
                <w:bCs w:val="1"/>
                <w:color w:val="auto"/>
              </w:rPr>
              <w:t>September 30, 2021</w:t>
            </w:r>
          </w:p>
        </w:tc>
        <w:tc>
          <w:tcPr>
            <w:tcW w:w="120" w:type="dxa"/>
            <w:vAlign w:val="bottom"/>
          </w:tcPr>
          <w:p>
            <w:pPr>
              <w:spacing w:after="0"/>
              <w:rPr>
                <w:sz w:val="22"/>
                <w:szCs w:val="22"/>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2020</w:t>
            </w:r>
          </w:p>
        </w:tc>
      </w:tr>
      <w:tr>
        <w:trPr>
          <w:trHeight w:val="223"/>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clinical trial expenses</w:t>
            </w:r>
          </w:p>
        </w:tc>
        <w:tc>
          <w:tcPr>
            <w:tcW w:w="56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135,227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36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5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963,797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684,268</w:t>
            </w: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prepaid and current assets</w:t>
            </w:r>
          </w:p>
        </w:tc>
        <w:tc>
          <w:tcPr>
            <w:tcW w:w="5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137,782</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 prepaid expenses and other current assets</w:t>
            </w: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1,194,255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822,050</w:t>
            </w:r>
          </w:p>
        </w:tc>
      </w:tr>
      <w:tr>
        <w:trPr>
          <w:trHeight w:val="20"/>
        </w:trPr>
        <w:tc>
          <w:tcPr>
            <w:tcW w:w="73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Prepaid insurance is comprised of prepaid directors' and officers' insurance. In July 2020, the Company financed its directors' and officers' insurance premium with a short term note, the principal amount of which was approximately $0.9 million bearing interest at a rate of 2.49%. In July 2021, the Company paid the directors' and officers' insurance policy in full.</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of up to $18.7 million, further modified to $16.1 million, to fund the development of an LSD1 inhibitor. This is a 3-year grant award which originally expired on May 31, 2019. The grant now expires on May 31, 2022.</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September 30, 2021, the Company has expended all allowable funds under the grant.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September 30, 2021 and December 31, 2020, the Company had grants receivable of $2.1 million and $3.9 million, respectively, related to the CPRIT contract.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warrants issued in connection with the Company's merger with Flex Pharma in 2019, which are measured at fair value on a recurring basis for the three and nine months ended September 30, 2021:</w:t>
      </w:r>
    </w:p>
    <w:p>
      <w:pPr>
        <w:spacing w:after="0" w:line="198"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40" w:type="dxa"/>
            <w:vAlign w:val="bottom"/>
          </w:tcPr>
          <w:p>
            <w:pPr>
              <w:spacing w:after="0"/>
              <w:rPr>
                <w:sz w:val="17"/>
                <w:szCs w:val="17"/>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Change in Fair Value</w:t>
            </w:r>
          </w:p>
        </w:tc>
        <w:tc>
          <w:tcPr>
            <w:tcW w:w="120" w:type="dxa"/>
            <w:vAlign w:val="bottom"/>
          </w:tcPr>
          <w:p>
            <w:pPr>
              <w:spacing w:after="0"/>
              <w:rPr>
                <w:sz w:val="17"/>
                <w:szCs w:val="17"/>
                <w:color w:val="auto"/>
              </w:rPr>
            </w:pPr>
          </w:p>
        </w:tc>
        <w:tc>
          <w:tcPr>
            <w:tcW w:w="20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Balance at September</w:t>
            </w:r>
          </w:p>
        </w:tc>
        <w:tc>
          <w:tcPr>
            <w:tcW w:w="0" w:type="dxa"/>
            <w:vAlign w:val="bottom"/>
          </w:tcPr>
          <w:p>
            <w:pPr>
              <w:spacing w:after="0"/>
              <w:rPr>
                <w:sz w:val="1"/>
                <w:szCs w:val="1"/>
                <w:color w:val="auto"/>
              </w:rPr>
            </w:pPr>
          </w:p>
        </w:tc>
      </w:tr>
      <w:tr>
        <w:trPr>
          <w:trHeight w:val="230"/>
        </w:trPr>
        <w:tc>
          <w:tcPr>
            <w:tcW w:w="21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jc w:val="right"/>
              <w:ind w:right="670"/>
              <w:spacing w:after="0"/>
              <w:rPr>
                <w:sz w:val="20"/>
                <w:szCs w:val="20"/>
                <w:color w:val="auto"/>
              </w:rPr>
            </w:pPr>
            <w:r>
              <w:rPr>
                <w:rFonts w:ascii="Arial" w:cs="Arial" w:eastAsia="Arial" w:hAnsi="Arial"/>
                <w:sz w:val="18"/>
                <w:szCs w:val="18"/>
                <w:b w:val="1"/>
                <w:bCs w:val="1"/>
                <w:color w:val="auto"/>
              </w:rPr>
              <w:t>30, 2021</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59,211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54,006</w:t>
            </w: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Common Stock</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“February 2020 Offering”). The February 2020 Offering was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$1.15 per unit, with each unit consisting of one share of Series A convertible preferred stock and a five-year warrant to purchase one share of common stock with and exercise price of $1.15 per share. A total of 8,353,480 shares of common stock, 1,246,519 shares of Series A convertible preferred stock, and warrants to purchase up to 9,599,999 shares of common stock were issued in the offering, including the full exercise of the over-allotment option. The exercise price of the warrants are fixed and do not contain any variable pricing features or any price based anti-dilutive features. All Series A preferred stock was converted to common stock prior to December 31, 2020.</w:t>
      </w:r>
    </w:p>
    <w:p>
      <w:pPr>
        <w:spacing w:after="0" w:line="20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As discussed above, in connection with the February 2020 Offering, the Company issued five-year warrants to purchase one share of common stock at an exercise price of $1.15 per share (each a "warrant"). On December 11, 2020, the Company entered into warrant exercise inducement offer letters (“Inducement Letters”) with certain holders of 3,964,065 Warrants (collectively, the “Exercising Holders”) pursuant to which such holders agreed to exercise on December 11, 2020 for cash, their Warrants to purchase 3,964,065 shares of Common Stock in exchange for the Company’s agreement to (i) lower the exercise price of the Warrants held by the Exercising Holders to $0.90 and</w:t>
      </w:r>
    </w:p>
    <w:p>
      <w:pPr>
        <w:spacing w:after="0" w:line="2" w:lineRule="exact"/>
        <w:rPr>
          <w:sz w:val="20"/>
          <w:szCs w:val="20"/>
          <w:color w:val="auto"/>
        </w:rPr>
      </w:pPr>
    </w:p>
    <w:p>
      <w:pPr>
        <w:ind w:firstLine="8"/>
        <w:spacing w:after="0" w:line="261" w:lineRule="auto"/>
        <w:tabs>
          <w:tab w:leader="none" w:pos="271"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 new warrants (the “Inducement Warrants”) to purchase up to 3,964,065 shares of Common Stock. Each Inducement Warrant is exercisable at a price per share of $1.182 and expires on June 11, 2026.</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August 3, 2020, the Company completed a public offering of 5,130,390 shares of its common stock at a price to the public of $1.20 per share. Total gross proceeds from the offering were approximately $6.2 million, prior to deducting underwriting discounts and commissions and offering expenses payable by the Company.</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5, 2021, the Company entered into an At the Market Offering Agreement with Ladenburg Thalmann &amp; Co. Inc. Under this agreement the Company is able to issue and sell, from time to time, shares of its common stock. On February 5, 2021 and July 2, 2021, the Company filed prospectus supplements with the SEC to register the offering and sale of Common Stock having an aggregate offering price of up to $6.3 million and $25.0 million, respectively. During the nine months ended September 30, 2021, the Company issued 3,214,234 shares under the Sales Agreement for gross proceeds of $6.7 million.</w:t>
      </w:r>
    </w:p>
    <w:p>
      <w:pPr>
        <w:spacing w:after="0" w:line="2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March 8, 2021, the Company completed a public offering of 16,806,722 shares of its common stock at a price to the public of $1.3685 per share. Total gross proceeds from the offering were approximately $23.0 million prior to deducting underwriting discounts and commissions and offering expenses payable by the Company.</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18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During the nine months ended September 30, 2021, the Company issued 1,298,567 common shares as a result of warrant exercises, and received cash proceeds of approximately $1.5 million. As of September 30, 2021, 7,747,587 warrants remain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Flex Pharma distributed one right per share of common stock to stockholders of record as of the close of business on July 18, 2019. Each right entitles such stockholders to receive a warrant to purchase the Company's common shares on January 20, 2020. These warrants were issued on July 1, 2021 and are exercisable in the aggregate, into 142,711 shares of the Company's common stock with a 5-year term from January 20, 2020, at an exercise price of $ 15.17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using a Black-Scholes valuation model. Using this method, unobservable inputs included the Company’s equity value, expected timing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possible outcomes, risk free interest rates and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volatility.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40" w:type="dxa"/>
            <w:vAlign w:val="bottom"/>
            <w:gridSpan w:val="2"/>
          </w:tcPr>
          <w:p>
            <w:pPr>
              <w:spacing w:after="0"/>
              <w:rPr>
                <w:sz w:val="20"/>
                <w:szCs w:val="20"/>
                <w:color w:val="auto"/>
              </w:rPr>
            </w:pPr>
            <w:r>
              <w:rPr>
                <w:rFonts w:ascii="Arial" w:cs="Arial" w:eastAsia="Arial" w:hAnsi="Arial"/>
                <w:sz w:val="18"/>
                <w:szCs w:val="18"/>
                <w:color w:val="auto"/>
              </w:rPr>
              <w:t>Variables used in the Black-Scholes model are as follows: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56"/>
        </w:trPr>
        <w:tc>
          <w:tcPr>
            <w:tcW w:w="14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September 30, 2021</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2020</w:t>
            </w:r>
          </w:p>
        </w:tc>
      </w:tr>
      <w:tr>
        <w:trPr>
          <w:trHeight w:val="223"/>
        </w:trPr>
        <w:tc>
          <w:tcPr>
            <w:tcW w:w="1420" w:type="dxa"/>
            <w:vAlign w:val="bottom"/>
          </w:tcPr>
          <w:p>
            <w:pPr>
              <w:spacing w:after="0"/>
              <w:rPr>
                <w:sz w:val="19"/>
                <w:szCs w:val="19"/>
                <w:color w:val="auto"/>
              </w:rPr>
            </w:pPr>
          </w:p>
        </w:tc>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0.53%</w:t>
            </w:r>
          </w:p>
        </w:tc>
        <w:tc>
          <w:tcPr>
            <w:tcW w:w="16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0.27%</w:t>
            </w:r>
          </w:p>
        </w:tc>
      </w:tr>
      <w:tr>
        <w:trPr>
          <w:trHeight w:val="230"/>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3.31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4.06 years</w:t>
            </w:r>
          </w:p>
        </w:tc>
      </w:tr>
      <w:tr>
        <w:trPr>
          <w:trHeight w:val="229"/>
        </w:trPr>
        <w:tc>
          <w:tcPr>
            <w:tcW w:w="1420" w:type="dxa"/>
            <w:vAlign w:val="bottom"/>
          </w:tcPr>
          <w:p>
            <w:pPr>
              <w:spacing w:after="0"/>
              <w:rPr>
                <w:sz w:val="19"/>
                <w:szCs w:val="19"/>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130.23%</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130.56%</w:t>
            </w:r>
          </w:p>
        </w:tc>
      </w:tr>
      <w:tr>
        <w:trPr>
          <w:trHeight w:val="230"/>
        </w:trPr>
        <w:tc>
          <w:tcPr>
            <w:tcW w:w="14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554"/>
        </w:trPr>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Wedbush Warrant</w:t>
            </w:r>
          </w:p>
        </w:tc>
        <w:tc>
          <w:tcPr>
            <w:tcW w:w="2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24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$0.5 million of the $1.0 million success fee payable to Wedbush at the closing of the merger. The remaining $0.5 million success fee was paid in cash. These warrants have an exercise price of $18.90 and a 5-year term. As of September 30, 2021, all warrants issued to Wedbush were outstanding.</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EQUITY-BASED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September 30, 2021, there were 1,026,690 shares remaining available for the grant of stock awards under the 2015 Plan.</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the nine-month periods ended September 30, 2021 and 2020, the Company awarded 79,000 and 182,000, respectively,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awarded during each of the nine month periods ended September 30, 2021 and 2020 was $0.1 million and $0.7 million, respectively, which has been estimated with the following assumptions on the grant date.</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229"/>
        </w:trPr>
        <w:tc>
          <w:tcPr>
            <w:tcW w:w="268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3/10/2021</w:t>
            </w:r>
          </w:p>
        </w:tc>
        <w:tc>
          <w:tcPr>
            <w:tcW w:w="1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6/16/2021</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9/2/2021</w:t>
            </w:r>
          </w:p>
        </w:tc>
        <w:tc>
          <w:tcPr>
            <w:tcW w:w="100" w:type="dxa"/>
            <w:vAlign w:val="bottom"/>
            <w:shd w:val="clear" w:color="auto" w:fill="CCEEFF"/>
          </w:tcPr>
          <w:p>
            <w:pPr>
              <w:spacing w:after="0"/>
              <w:rPr>
                <w:sz w:val="19"/>
                <w:szCs w:val="19"/>
                <w:color w:val="auto"/>
              </w:rPr>
            </w:pP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1.00 %</w:t>
            </w:r>
          </w:p>
        </w:tc>
        <w:tc>
          <w:tcPr>
            <w:tcW w:w="1480" w:type="dxa"/>
            <w:vAlign w:val="bottom"/>
          </w:tcPr>
          <w:p>
            <w:pPr>
              <w:jc w:val="right"/>
              <w:spacing w:after="0"/>
              <w:rPr>
                <w:sz w:val="20"/>
                <w:szCs w:val="20"/>
                <w:color w:val="auto"/>
              </w:rPr>
            </w:pPr>
            <w:r>
              <w:rPr>
                <w:rFonts w:ascii="Arial" w:cs="Arial" w:eastAsia="Arial" w:hAnsi="Arial"/>
                <w:sz w:val="18"/>
                <w:szCs w:val="18"/>
                <w:color w:val="auto"/>
              </w:rPr>
              <w:t>1.09 %</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0.93 %</w:t>
            </w:r>
          </w:p>
        </w:tc>
        <w:tc>
          <w:tcPr>
            <w:tcW w:w="100" w:type="dxa"/>
            <w:vAlign w:val="bottom"/>
          </w:tcPr>
          <w:p>
            <w:pPr>
              <w:spacing w:after="0"/>
              <w:rPr>
                <w:sz w:val="19"/>
                <w:szCs w:val="19"/>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133.35 %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131.06 %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130.44 %</w:t>
            </w:r>
          </w:p>
        </w:tc>
        <w:tc>
          <w:tcPr>
            <w:tcW w:w="100" w:type="dxa"/>
            <w:vAlign w:val="bottom"/>
            <w:shd w:val="clear" w:color="auto" w:fill="CCEEFF"/>
          </w:tcPr>
          <w:p>
            <w:pPr>
              <w:spacing w:after="0"/>
              <w:rPr>
                <w:sz w:val="19"/>
                <w:szCs w:val="19"/>
                <w:color w:val="auto"/>
              </w:rPr>
            </w:pPr>
          </w:p>
        </w:tc>
      </w:tr>
      <w:tr>
        <w:trPr>
          <w:trHeight w:val="229"/>
        </w:trPr>
        <w:tc>
          <w:tcPr>
            <w:tcW w:w="268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2040" w:type="dxa"/>
            <w:vAlign w:val="bottom"/>
          </w:tcPr>
          <w:p>
            <w:pPr>
              <w:jc w:val="right"/>
              <w:ind w:right="150"/>
              <w:spacing w:after="0"/>
              <w:rPr>
                <w:sz w:val="20"/>
                <w:szCs w:val="20"/>
                <w:color w:val="auto"/>
              </w:rPr>
            </w:pPr>
            <w:r>
              <w:rPr>
                <w:rFonts w:ascii="Arial" w:cs="Arial" w:eastAsia="Arial" w:hAnsi="Arial"/>
                <w:sz w:val="18"/>
                <w:szCs w:val="18"/>
                <w:color w:val="auto"/>
              </w:rPr>
              <w:t>6.00</w:t>
            </w:r>
          </w:p>
        </w:tc>
        <w:tc>
          <w:tcPr>
            <w:tcW w:w="1480" w:type="dxa"/>
            <w:vAlign w:val="bottom"/>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r>
      <w:tr>
        <w:trPr>
          <w:trHeight w:val="230"/>
        </w:trPr>
        <w:tc>
          <w:tcPr>
            <w:tcW w:w="2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0 %</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summarizes stock option activity for employees and non-employees for the nine months ended September 30, 2021 and 2020:</w:t>
      </w:r>
    </w:p>
    <w:tbl>
      <w:tblPr>
        <w:tblLayout w:type="fixed"/>
        <w:tblInd w:w="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120"/>
              <w:spacing w:after="0" w:line="185" w:lineRule="exact"/>
              <w:rPr>
                <w:sz w:val="20"/>
                <w:szCs w:val="20"/>
                <w:color w:val="auto"/>
              </w:rPr>
            </w:pPr>
            <w:r>
              <w:rPr>
                <w:rFonts w:ascii="Arial" w:cs="Arial" w:eastAsia="Arial" w:hAnsi="Arial"/>
                <w:sz w:val="18"/>
                <w:szCs w:val="18"/>
                <w:b w:val="1"/>
                <w:bCs w:val="1"/>
                <w:color w:val="auto"/>
                <w:w w:val="98"/>
              </w:rPr>
              <w:t>Weighted-</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4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Exercise Price</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Term (in years)</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166,233</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$34.42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6.53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rPr>
              <w:t>743,118</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0.61</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(36,613)</w:t>
            </w: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(30,766)</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September 30, 2020</w:t>
            </w:r>
          </w:p>
        </w:tc>
        <w:tc>
          <w:tcPr>
            <w:tcW w:w="1420" w:type="dxa"/>
            <w:vAlign w:val="bottom"/>
          </w:tcPr>
          <w:p>
            <w:pPr>
              <w:jc w:val="center"/>
              <w:spacing w:after="0"/>
              <w:rPr>
                <w:sz w:val="20"/>
                <w:szCs w:val="20"/>
                <w:color w:val="auto"/>
              </w:rPr>
            </w:pPr>
            <w:r>
              <w:rPr>
                <w:rFonts w:ascii="Arial" w:cs="Arial" w:eastAsia="Arial" w:hAnsi="Arial"/>
                <w:sz w:val="18"/>
                <w:szCs w:val="18"/>
                <w:color w:val="auto"/>
              </w:rPr>
              <w:t>841,972</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9.32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69,813</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$37.84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5.43</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December 31,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1,563,972</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$2.78</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9.47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$175,770</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79,000</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$1.04-$1.49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(45,000)</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1,597,972</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8.75</w:t>
            </w:r>
          </w:p>
        </w:tc>
        <w:tc>
          <w:tcPr>
            <w:tcW w:w="12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$271,540</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September 30, 2021</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323,730</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$9.27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7.74</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$34,440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and 2020, there was approximately $1.0 million and $0.4 million respectively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2.45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32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2020, filed with the SEC on March 18, 2021.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2020,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a clinical-stage biopharmaceutical company focused on developing effective treatments for cancers with high, unmet medical need. Specifically, we are developing treatments for cancers caused by dysregulated gene expression, i.e., genes that are incorrectly turned on or off. The field concerned with gene expression regulation is called ‘epigenetics’. As cancers are often diseases driven by gene dysregulation, epigenetics is an area of interest for cancer treatment. Our lead epigenetic based technology, seclidemstat ("SP-2577"), may treat cancers by restoring correct gene expression.</w:t>
      </w:r>
    </w:p>
    <w:p>
      <w:pPr>
        <w:spacing w:after="0" w:line="22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2011, Salarius licensed SP-2577 and related compounds from the University of Utah Research Foundation. SP-2577 is a small molecule that inhibits the epigenetic enzyme lysine specific demethylase 1 (“LSD1”). LSD1’s enzymatic activity can cause genes to turn on or off and thereby affect the cell’s gene expression and overall activity. In addition, LSD1 can act via its scaffolding properties (protein-protein interactions), independently of its enzymatic function, to alter gene expression and modulate cell fate. In healthy cells, LSD1 is necessary for stem cell maintenance and normal cell development processes. However, in several cancers LSD1 is highly expressed and acts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 To effectively develop SP-2577, we are pursuing a speed-to-market and market expansion strategy.</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As part of our speed-to-market strategy, we are initially focused on developing SP-2577 for the treatment of sarcomas with high unmet needs. We are investigating SP-2577 for the treatment of several advanced sarcoma subtypes, including Ewing sarcoma, myxoid liposarcoma, and other sarcomas that share similar biology, i.e. FET-rearranged sarcomas. The described sarcomas are all driven by a chromosomal translocation involving a FET-gene family member (EWS, FUS, or TAF15). The translocation results in an FET-rearranged fusion oncoprotein. SP-2577’s target, LSD1, has been shown to associate with FET-rearranged fusion oncoproteins to help promote tumor growth.</w:t>
      </w:r>
    </w:p>
    <w:p>
      <w:pPr>
        <w:spacing w:after="0" w:line="21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We believe SP-2577 disrupts LSD1 from associating with FET-rearranged fusion oncoproteins and therefore leads to inhibition of the fusion oncoprotein’s cancer promoting activity. As a result, SP-2577 has the potential to treat FET-rearranged sarcomas by reversing cancer promoting gene expression and thereby possibly preventing tumor growth and causing cancer cell death. Preclinical studies of SP-2577 in several FET-rearranged sarcoma cell lines including Ewing sarcoma, myxoid liposarcoma, clear cell sarcoma, and desmoplastic small round cell tumors demonstrated that SP-2577 was effective in inhibiting cell proliferation and viability. Additionally, in certain Ewing sarcoma animal models, SP-2577 showed a significant tumor reduction as well as a significant survival benefit compared to untreated animals. Our ongoing Phase 1/2 clinical trial was designed as a single agent dose escalation followed by a dose expansion study in Ewing sarcoma. As a result, given the described preclinical data in FET-rearranged sarcomas and clinical data in FET-rearranged sarcoma patients from our Advanced Solid Tumor (AST) trial, in 2021 we expanded the trial to study SP-2577 in non-Ewing FET-rearranged sarcomas. The amended ongoing dose expansion portion of the trial is studying SP-2577 in combination with a common chemotherapeutic regimen, topotecan and cyclophosphamide ("TC") in Ewing sarcoma patients and single agent SP-2577 in myxoid liposarcoma and other FET-rearranged sarcoma patients. The dose expansion portion can enroll up to 30 relapsed or refractory Ewing sarcoma patients and up to 30 relapsed or refractory FET-rearranged patients (of which up to 15 will be myxoid liposarcoma). In Ewing sarcoma patients, the trial will assess the safety and tolerability of SP-2577 and TC and study preliminary efficacy of the regimen. In myxoid liposarcoma and other FET-rearranged sarcoma patients, the trial is studying single-agent SP-2577 safety, tolerability, and preliminary efficacy.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As LSD1 can interact with over 60 regulatory proteins other than FET-fusion oncoproteins, we believe that LSD1 may also play a critical role in progression of various other cancer types. Preliminary efficacy data from our Phase 1/2 AST trial supports this notion and work is ongoing to identify large market solid tumor indications with the highest potential for SP-2577 success. Continued progress in this area will support the market expansion portion of our strategy.</w:t>
      </w:r>
    </w:p>
    <w:p>
      <w:pPr>
        <w:spacing w:after="0" w:line="21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In addition to solid tumors, SP-2577 has shown promising preclinical activity in hematologic cancers. We recently announced the initiation of an Investigator Initiated Trial studying SP-2577 in combination with azacitidine for the treatment of patients with myelodysplastic syndromes or chronic myelomonocytic leukemia. Myelodysplastic syndromes can progress into Acute Myeloid Leukemia (AML) and data from our ongoing trial will inform development of SP-2577 in hematologic cancers (also referred to as “liquid tumors" or "blood cancer”), including</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AML. The American Cancer Society estimates there were almost 20,000 new cases of AML in the US alone in 2020.</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works have sparked interest in combining LSD1 inhibitors with checkpoint inhibitors. We are conducting preclinical work with SP-2577 in this area.</w:t>
      </w:r>
    </w:p>
    <w:p>
      <w:pPr>
        <w:spacing w:after="0" w:line="1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$28.1 million as of September 30, 2021. Substantially all of our operating losses resulted from expenses incurred in connection with our research and development programs and from general and administrative costs associated with our operations.</w:t>
      </w:r>
    </w:p>
    <w:p>
      <w:pPr>
        <w:spacing w:after="0" w:line="1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 add personnel necessary to continue to operate as a public company,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September 30, 2021, the Cancer Prevention and Research Institution of Texas ("CPRIT") fund matching requirements had been fully met and we have expended all current available funds under the grant. Our September 30, 2021 balance sheet reflects a receivable due from CPRIT of approximately $2.1 million.</w:t>
      </w:r>
    </w:p>
    <w:p>
      <w:pPr>
        <w:spacing w:after="0" w:line="23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$31.9 million in cash and cash equivalents on hand as of September 30, 2021, and the collection of the CPRIT receivable are sufficient to fund our anticipated operating and capital requirements through the completion of our current clinical trials in 2022 and beyond, however, we will continue to require substantial additional capital to continue our clinical development activities. Accordingly, we will need to raise substantial additional capital to continue to fund our operations as a whole.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 and to fund our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or on terms acceptable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On July 2, 2021, the Company filed a prospectus supplement with the SEC to register the offering and sale of our common stock pursuant to the terms of that certain At the Market Offering Agreement (the “Sales Agreement”) between the Company and Ladenburg Thalmann &amp; Co. Inc. (“Ladenburg”), dated as of on February 5, 2021, having an aggregate offering price of up to $25.0 million (the “Additional Shares”). We had previously filed a prospectus supplement with the SEC registering the offering and sale of our common stock under the Sales Agreement having an aggregate offering price of up to $6.3 million (together with the Additional Shares, the “ATM Shares”). Under the Sales Agreement the Company is able to issue and sell, from time to time, shares of its common stock with Ladenburg acting as an agent for such sales. Sales of the ATM Shares may be made by any method permitted by law deemed to be an “at the market offering” as defined in Rule 415(a)(4) of the Securities Act of 1933, as amended, including, without limitation, sales made directly on or through the NASDAQ Capital Market. During the three month period ending September 30, 2021 the Company sold 393,741 ATM shares for aggregate net proceeds of $0.4 million. In aggregate, during the nine months ended September 30, 2021, we issued 3,214,234 shares under the Sales Agreement for net proceeds of $6.7 million.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At this time we are experiencing minimal disruption to our clinical trials. However, our ongoing Phase 1/2 Ewing sarcoma clinical trial and Phase 1/2 AST clinical trial may encounter delays in enrolling new patients due to concerns or healthcare resource constraints because 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we have worked to adapt to the unexpected and challenging circumstances resulting from the COVID-19 pandemic. However, we may experience disruptions in the future that have and could further adversely impact our business operations as well as our preclinical studies and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nine and three months ended September 30, 2021 compared to September 30, 2020.</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720" w:type="dxa"/>
            <w:vAlign w:val="bottom"/>
          </w:tcPr>
          <w:p>
            <w:pPr>
              <w:spacing w:after="0"/>
              <w:rPr>
                <w:sz w:val="20"/>
                <w:szCs w:val="20"/>
                <w:color w:val="auto"/>
              </w:rPr>
            </w:pPr>
          </w:p>
        </w:tc>
        <w:tc>
          <w:tcPr>
            <w:tcW w:w="3220" w:type="dxa"/>
            <w:vAlign w:val="bottom"/>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3220" w:type="dxa"/>
            <w:vAlign w:val="bottom"/>
            <w:gridSpan w:val="5"/>
          </w:tcPr>
          <w:p>
            <w:pPr>
              <w:jc w:val="right"/>
              <w:ind w:right="9"/>
              <w:spacing w:after="0"/>
              <w:rPr>
                <w:sz w:val="20"/>
                <w:szCs w:val="20"/>
                <w:color w:val="auto"/>
              </w:rPr>
            </w:pPr>
            <w:r>
              <w:rPr>
                <w:rFonts w:ascii="Arial" w:cs="Arial" w:eastAsia="Arial" w:hAnsi="Arial"/>
                <w:sz w:val="18"/>
                <w:szCs w:val="18"/>
                <w:b w:val="1"/>
                <w:bCs w:val="1"/>
                <w:color w:val="auto"/>
              </w:rPr>
              <w:t>Three months ended September 30</w:t>
            </w:r>
          </w:p>
        </w:tc>
      </w:tr>
      <w:tr>
        <w:trPr>
          <w:trHeight w:val="270"/>
        </w:trPr>
        <w:tc>
          <w:tcPr>
            <w:tcW w:w="37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49"/>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8"/>
                <w:szCs w:val="18"/>
                <w:b w:val="1"/>
                <w:bCs w:val="1"/>
                <w:color w:val="auto"/>
              </w:rPr>
              <w:t>2020</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Grant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1,840,216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3,754,379</w:t>
            </w:r>
          </w:p>
        </w:tc>
        <w:tc>
          <w:tcPr>
            <w:tcW w:w="14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1,378,239</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(5,852,887)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(4,890,375)</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(2,015,930)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(1,803,682)</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(4,655,404)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(4,893,021)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(1,730,730)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(1,333,062)</w:t>
            </w:r>
          </w:p>
        </w:tc>
      </w:tr>
      <w:tr>
        <w:trPr>
          <w:trHeight w:val="247"/>
        </w:trPr>
        <w:tc>
          <w:tcPr>
            <w:tcW w:w="3720" w:type="dxa"/>
            <w:vAlign w:val="bottom"/>
          </w:tcPr>
          <w:p>
            <w:pPr>
              <w:ind w:left="120"/>
              <w:spacing w:after="0"/>
              <w:rPr>
                <w:sz w:val="20"/>
                <w:szCs w:val="20"/>
                <w:color w:val="auto"/>
              </w:rPr>
            </w:pPr>
            <w:r>
              <w:rPr>
                <w:rFonts w:ascii="Arial" w:cs="Arial" w:eastAsia="Arial" w:hAnsi="Arial"/>
                <w:sz w:val="20"/>
                <w:szCs w:val="20"/>
                <w:color w:val="auto"/>
              </w:rPr>
              <w:t>Change in fair value of warrant liability</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color w:val="auto"/>
              </w:rPr>
              <w:t>5,205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color w:val="auto"/>
              </w:rPr>
              <w:t>265,538</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9,073</w:t>
            </w: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color w:val="auto"/>
              </w:rPr>
              <w:t>45,103</w:t>
            </w:r>
          </w:p>
        </w:tc>
      </w:tr>
      <w:tr>
        <w:trPr>
          <w:trHeight w:val="226"/>
        </w:trPr>
        <w:tc>
          <w:tcPr>
            <w:tcW w:w="3720" w:type="dxa"/>
            <w:vAlign w:val="bottom"/>
          </w:tcPr>
          <w:p>
            <w:pPr>
              <w:spacing w:after="0"/>
              <w:rPr>
                <w:sz w:val="20"/>
                <w:szCs w:val="20"/>
                <w:color w:val="auto"/>
              </w:rPr>
            </w:pPr>
            <w:r>
              <w:rPr>
                <w:rFonts w:ascii="Arial" w:cs="Arial" w:eastAsia="Arial" w:hAnsi="Arial"/>
                <w:sz w:val="18"/>
                <w:szCs w:val="18"/>
                <w:color w:val="auto"/>
              </w:rPr>
              <w:t>Government grants and other income</w:t>
            </w:r>
          </w:p>
        </w:tc>
        <w:tc>
          <w:tcPr>
            <w:tcW w:w="3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179,027</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Interest income(expense),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(3,230)</w:t>
            </w:r>
          </w:p>
        </w:tc>
      </w:tr>
      <w:tr>
        <w:trPr>
          <w:trHeight w:val="223"/>
        </w:trPr>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(8,663,365)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(5,584,706)</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(3,737,100)</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(1,716,632)</w:t>
            </w:r>
          </w:p>
        </w:tc>
      </w:tr>
      <w:tr>
        <w:trPr>
          <w:trHeight w:val="21"/>
        </w:trPr>
        <w:tc>
          <w:tcPr>
            <w:tcW w:w="3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revenue, which was derived solely from the CPRIT grant, was $0 for the three month period ended September 30, 2021 resulting from the completion of CPRIT available funding under the grant during the second quarter of 2021. We have reached the maximum amount of the eligible spending that can be reimbursed from CPRIT.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during both the current period and nine months ended September 30, 2021 compared to the</w:t>
      </w:r>
    </w:p>
    <w:p>
      <w:pPr>
        <w:spacing w:after="0" w:line="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same periods in 2020 resulting from significantly higher personnel costs, clinical trial costs and higher laboratory costs resulting from increased non clinical efforts, all of which more than offset lower manufacturing and process development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General and administrative expenses increased during the current three month period compared to the same period a year ago resulting from higher personnel costs and increased professional fees. For the nine months ended September 30, 2021 general and administrative costs were lower than the same period a year ago resulting from lower overall personnel costs (severance costs in 2020 that did not repeat in the current period), and lower professional fees.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Grant Other Income</w:t>
      </w:r>
    </w:p>
    <w:p>
      <w:pPr>
        <w:spacing w:after="0" w:line="247" w:lineRule="exact"/>
        <w:rPr>
          <w:sz w:val="20"/>
          <w:szCs w:val="20"/>
          <w:color w:val="auto"/>
        </w:rPr>
      </w:pPr>
    </w:p>
    <w:p>
      <w:pPr>
        <w:jc w:val="both"/>
        <w:ind w:right="20"/>
        <w:spacing w:after="0" w:line="229" w:lineRule="auto"/>
        <w:rPr>
          <w:sz w:val="20"/>
          <w:szCs w:val="20"/>
          <w:color w:val="auto"/>
        </w:rPr>
      </w:pPr>
      <w:r>
        <w:rPr>
          <w:rFonts w:ascii="Arial" w:cs="Arial" w:eastAsia="Arial" w:hAnsi="Arial"/>
          <w:sz w:val="18"/>
          <w:szCs w:val="18"/>
          <w:color w:val="auto"/>
        </w:rPr>
        <w:t>On July 12, 2021, the Small Business Administration (SBA) authorized full forgiveness of $0.2 million for the Company's Paycheck Protection Program (PPP) Loan. The Company had previously recognized this as government grants and other income during the nine months ended September 30,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secured capital from the sale of equity and grant revenue.</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do not expect to generate any revenue from product sales unless and until we obtain regulatory approval for and commercialize our product candidate. At the same time, we expect our expenses to increase in connection with</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ongoing research and development and manufacturing activities, particularly as we advance our product candidates to later stages of development.</w:t>
      </w:r>
    </w:p>
    <w:p>
      <w:pPr>
        <w:spacing w:after="0" w:line="21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Until we can generate a sufficient amount of revenue from our products, if ever, we expect to finance future cash needs through public or private equity or debt offerings or other collaborations. Additional capital may not be available on reasonable terms, if at all. If we are unable to raise additional capital in sufficient amounts or on terms acceptable to us, we may have to significantly delay, scale back or discontinue the</w:t>
      </w:r>
    </w:p>
    <w:p>
      <w:pPr>
        <w:spacing w:after="0" w:line="15"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development or commercialization of our product candidate. Furthermore, we may be unable to complete a collaboration, or if we do, we may be forced to relinquish valuable future product rights.</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believe that, based on our current operating plan, our current unrestricted cash and cash and cash equivalent balances will be sufficient to fund our operations through the completion of our current clinical trials in 2022 and beyond.</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September 30, 2021, we had $33.6 million of working capital and our cash and cash equivalents totaled $31.9 million, which were held in bank deposit accounts and a money market account. Our cash and cash equivalents balance increased during the nine months ended September 30, 2021, primarily due to sales of our common stock in our public offering which closed on March 8, 2021 and receipt of $2.7</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million as a payment of our CPRIT remaining receivable.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50"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Nine months ended 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4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2020</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(7,479,594)</w:t>
            </w: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(8,937,879)</w:t>
            </w:r>
          </w:p>
        </w:tc>
      </w:tr>
      <w:tr>
        <w:trPr>
          <w:trHeight w:val="230"/>
        </w:trPr>
        <w:tc>
          <w:tcPr>
            <w:tcW w:w="6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28,264,707</w:t>
            </w:r>
          </w:p>
        </w:tc>
        <w:tc>
          <w:tcPr>
            <w:tcW w:w="2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14,756,792</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20,785,113</w:t>
            </w:r>
          </w:p>
        </w:tc>
        <w:tc>
          <w:tcPr>
            <w:tcW w:w="2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5,818,913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66" w:lineRule="exact"/>
        <w:rPr>
          <w:sz w:val="20"/>
          <w:szCs w:val="20"/>
          <w:color w:val="auto"/>
        </w:rPr>
      </w:pPr>
    </w:p>
    <w:p>
      <w:pPr>
        <w:jc w:val="both"/>
        <w:ind w:right="140"/>
        <w:spacing w:after="0" w:line="229" w:lineRule="auto"/>
        <w:rPr>
          <w:sz w:val="20"/>
          <w:szCs w:val="20"/>
          <w:color w:val="auto"/>
        </w:rPr>
      </w:pPr>
      <w:r>
        <w:rPr>
          <w:rFonts w:ascii="Arial" w:cs="Arial" w:eastAsia="Arial" w:hAnsi="Arial"/>
          <w:sz w:val="18"/>
          <w:szCs w:val="18"/>
          <w:color w:val="auto"/>
        </w:rPr>
        <w:t>Net cash used in operating activities was $7.5 million in the current period, a decrease of approximately $1.5 million from the same period a year ago. The Company collected approximately $3.6 million in grants receivable from CPRIT during the nine months ended September 30, 2021 compared to $0.8 million for the same period a year ago.</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provided by financing activities for the nine months ended September 30, 2021 was $28.3 million, compared to $14.8 million for the same period of the year 2020. The increase resulted from the Company's completion of common stock sales in February and September 2021 and a public offering in March 2021 with total net proceeds of approximately $27.0 million, and the receipt of approximately $1.5 million from the exercise of warrants during the nine months ended September 30,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4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18, 2021.</w:t>
      </w:r>
    </w:p>
    <w:p>
      <w:pPr>
        <w:spacing w:after="0" w:line="22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Readers should refer to our Annual Report on Form10-K filed with SEC on March 18, 2021, Note 2, Basis of Presentation and Significant Accounting Policies to the accompanying financial statements for descriptions of these policies and estimates.</w:t>
      </w:r>
    </w:p>
    <w:p>
      <w:pPr>
        <w:spacing w:after="0" w:line="1"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maintain “disclosure controls and procedures,” as such term is defined in Rules 13a-15(e) and 15d-15(e) 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spacing w:after="0" w:line="232"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necessarily is required to apply its judgment in evaluating the cost-benefit relationship of possible controls and procedures.</w:t>
      </w:r>
    </w:p>
    <w:p>
      <w:pPr>
        <w:spacing w:after="0" w:line="2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(our principal executive officer) and Chief Financial Officer (our principal financial officer and principal accounting officer), of the effectiveness of our disclosure controls and procedures, as such term is defined under Rule 13a-15(e) and 15d-15(e) promulgated under the Exchange Act, as of the end of the period covered by this Quarterly Report on Form 10-Q. Based on the foregoing, our Chief Executive Officer (our principal executive officer) and Chief Financial Officer (our principal financial officer and principal accounting officer) concluded that our disclosure controls and procedures (as defined in Rules 13a-15(e) and 15d-15(e) under the Exchange Act) were effective at the reasonable assurance level as of the end of the period covered by this Quarterly Report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nine months ended September 30, 2021,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5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5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242"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6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2020, filed with the SEC on March 18, 2021, as well as the risk factors set forth below. The risk factors below are in addition to and supplement (and with respect to certain</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matters, update) the risk factors discussed in our Annual Report on Form 10-K and in our Current Report on Form 8-K filed on July 29, 2020. Other than as set forth below, there have been no material changes to the risk factors included in our Annual Report on Form 10-K filed with the SEC on March 18, 2021 and in our Current Report on Form 8-K filed on July 29,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3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date, the COVID-19 pandemic has negatively impacted the global economy and the magnitude, severity, and duration of this impact is unclear and difficult to assess. In addition, certain areas, including Texas where we are headquartered, have recently experienced a resurgence of COVID-19 cases. We have worked to adapt to the unexpected and challenging circumstances resulting from the COVID-19 pandemic. At this time we have experiencing minimal disruption to our clinical trials during the nine months ended September 30, 2021. While both our Ewing sarcoma clinical study and our Advanced Solid Tumor clinical study are active., either or both may encounter delays in enrolling new patients due to concerns or healthcare resource constraints because of the COVID-19 pandemic. We plan to release clinical</w:t>
      </w:r>
    </w:p>
    <w:p>
      <w:pPr>
        <w:spacing w:after="0" w:line="1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data from both studies, as previously disclosed, during 2021 and 2022. However, the situation with respect to the COVID-19 pandemic and its impact changes daily and is difficult to predict.</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w:t>
      </w:r>
    </w:p>
    <w:p>
      <w:pPr>
        <w:spacing w:after="0" w:line="216"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To combat the spread of COVID-19, the United States and other locations in which we operate have imposed measures such as quarantines and “shelter-in-place” orders that are restricting business operations and travel and requiring individuals to work from home (“WFH”), which</w:t>
      </w:r>
    </w:p>
    <w:p>
      <w:pPr>
        <w:spacing w:after="0" w:line="219" w:lineRule="auto"/>
        <w:rPr>
          <w:sz w:val="20"/>
          <w:szCs w:val="20"/>
          <w:color w:val="auto"/>
        </w:rPr>
      </w:pPr>
      <w:r>
        <w:rPr>
          <w:rFonts w:ascii="Arial" w:cs="Arial" w:eastAsia="Arial" w:hAnsi="Arial"/>
          <w:sz w:val="18"/>
          <w:szCs w:val="18"/>
          <w:color w:val="auto"/>
        </w:rPr>
        <w:t>has impacted all aspects of our business as well as those of the third-parties we rely upon for certain supplies and services. The continuation</w:t>
      </w:r>
    </w:p>
    <w:p>
      <w:pPr>
        <w:jc w:val="both"/>
        <w:spacing w:after="0" w:line="227" w:lineRule="auto"/>
        <w:rPr>
          <w:sz w:val="20"/>
          <w:szCs w:val="20"/>
          <w:color w:val="auto"/>
        </w:rPr>
      </w:pPr>
      <w:r>
        <w:rPr>
          <w:rFonts w:ascii="Arial" w:cs="Arial" w:eastAsia="Arial" w:hAnsi="Arial"/>
          <w:sz w:val="18"/>
          <w:szCs w:val="18"/>
          <w:color w:val="auto"/>
        </w:rPr>
        <w:t>of WFH and other restrictions for an extended period of time may negatively impact our productivity, research and development, operations, preclinical studies and clinical trials, business and financial results. Among other things, the COVID-19 pandemic may result in:</w:t>
      </w:r>
    </w:p>
    <w:p>
      <w:pPr>
        <w:spacing w:after="0" w:line="216" w:lineRule="exact"/>
        <w:rPr>
          <w:sz w:val="20"/>
          <w:szCs w:val="20"/>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and negatively impact our business or those of third parties upon which we rely for services and supplies;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constraints on our ability to conduct our operations and our preclinical studies and clinical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our ability to extend the term of the CPRIT grant;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productivity in our business operations, research and development, marketing, and other activities;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third-party manufacturers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COVID-19;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w:t>
      </w:r>
    </w:p>
    <w:p>
      <w:pPr>
        <w:spacing w:after="0" w:line="225"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continue to monitor the situation and the continued disruption of the COVID-19 pandemic and its effects on the worldwide economy could negatively and materially impact our operating and financial operating results. The resumption of normal business operations may be delayed and a resurgence of COVID-19 could occur resulting in continued disruption to us or to the third parties with which we do business. As a result, the effects of the COVID-19 pandemic could have a material adverse impact on our business, results of operations, and financial condition for the remainder of 2021 and beyond.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$7.4 million for the year ended December 31, 2020, and we have incurred a net loss of $3.7 million and $8.7 million for the three and nine months ended September 30, 2021,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 and funding our operations have been funded through sales of equity and funds received from CPRIT. The amount and timing of our future funding requirements will depend on many factors, including but not limited to the pace and results of our clinical development efforts, as well as our ability to access the funding remaining available under the CPRIT grant. Further, the global economic downturn may impair our ability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to obtain additional financing through other means, such as debt financing. There can be no assurance we will be able to secure additional</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funding from CPRIT and failure to receive additional funds may harm our business.</w:t>
      </w:r>
    </w:p>
    <w:p>
      <w:pPr>
        <w:spacing w:after="0" w:line="234"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During the course of the development of our product candidate, we have been funded through the sale of equity and the funding we received from the CPRIT grant. The CPRIT agreement was awarded in June 2016 and originally provided for a three-year grant award of up to $18.7 million, further modified to $16.1 million, to fund the development of the LSD-1 inhibitor. We have received $14 million since inception of the grant. The term of the CPRIT agreement was extended through May 31, 2022. We currently have a $2.1 million receivable due from CPRIT on our September 30, 2021 balance sheet. If CPRIT terminates our agreement prior to the expiration due to an event of default or if we terminate the agreement, CPRIT may require us to repay some or all of the disbursed grant. Although we may apply for government contracts and grants in the future, we may not be successful in obtaining additional grants for any product candidates or programs.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unable to maintain listing of our securities on the Nasdaq Capital Market or another reputable stock exchange, it may be more difficult for our stockholders to sell their securities.</w:t>
      </w:r>
    </w:p>
    <w:p>
      <w:pPr>
        <w:spacing w:after="0" w:line="17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191"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For example, if at any time the bid price of our common stock closes at below $1.00 per share for more than 30 consecutive trading days, we may be subject to delisting from the Nasdaq Capital Market. If we receive a delisting notice, we would have 180 calendar days to regain compliance (subject to any additional 180-day compliance period which may be available to us), which would mean having a bid price above the minimum of $1.00 for at least 10 consecutive days in the 180-day period. During this 180-day period, we would anticipate reviewing our options to regain compliance with the minimum bid requirements, including conducting a reverse stock split. To the extent that we are unable to resolve any listing deficiency, there is a risk that our common stock may be delisted from Nasdaq, which would adversely impact liquidity of our common stock and potentially result in even lower bid prices for our common stock. On November 1, 2021, the closing price of our common stock was $0.85 per share.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00" w:type="dxa"/>
            <w:vAlign w:val="bottom"/>
          </w:tcPr>
          <w:p>
            <w:pPr>
              <w:jc w:val="right"/>
              <w:ind w:right="270"/>
              <w:spacing w:after="0"/>
              <w:rPr>
                <w:sz w:val="20"/>
                <w:szCs w:val="20"/>
                <w:color w:val="auto"/>
              </w:rPr>
            </w:pPr>
            <w:r>
              <w:rPr>
                <w:rFonts w:ascii="Arial" w:cs="Arial" w:eastAsia="Arial" w:hAnsi="Arial"/>
                <w:sz w:val="18"/>
                <w:szCs w:val="18"/>
                <w:b w:val="1"/>
                <w:bCs w:val="1"/>
                <w:color w:val="auto"/>
              </w:rPr>
              <w:t>Item 6.</w:t>
            </w:r>
          </w:p>
        </w:tc>
        <w:tc>
          <w:tcPr>
            <w:tcW w:w="1014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446"/>
        </w:trPr>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rPr>
              <w:t>Exhibit</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180" w:type="dxa"/>
            <w:vAlign w:val="bottom"/>
            <w:gridSpan w:val="4"/>
            <w:vMerge w:val="restart"/>
          </w:tcPr>
          <w:p>
            <w:pPr>
              <w:ind w:left="300"/>
              <w:spacing w:after="0"/>
              <w:rPr>
                <w:sz w:val="20"/>
                <w:szCs w:val="20"/>
                <w:color w:val="auto"/>
              </w:rPr>
            </w:pPr>
            <w:r>
              <w:rPr>
                <w:rFonts w:ascii="Arial" w:cs="Arial" w:eastAsia="Arial" w:hAnsi="Arial"/>
                <w:sz w:val="18"/>
                <w:szCs w:val="18"/>
                <w:b w:val="1"/>
                <w:bCs w:val="1"/>
                <w:color w:val="auto"/>
              </w:rPr>
              <w:t>Description of Document</w:t>
            </w:r>
          </w:p>
        </w:tc>
        <w:tc>
          <w:tcPr>
            <w:tcW w:w="0" w:type="dxa"/>
            <w:vAlign w:val="bottom"/>
          </w:tcPr>
          <w:p>
            <w:pPr>
              <w:spacing w:after="0"/>
              <w:rPr>
                <w:sz w:val="1"/>
                <w:szCs w:val="1"/>
                <w:color w:val="auto"/>
              </w:rPr>
            </w:pPr>
          </w:p>
        </w:tc>
      </w:tr>
      <w:tr>
        <w:trPr>
          <w:trHeight w:val="229"/>
        </w:trPr>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number</w:t>
            </w: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spacing w:after="0"/>
              <w:rPr>
                <w:sz w:val="19"/>
                <w:szCs w:val="19"/>
                <w:color w:val="auto"/>
              </w:rPr>
            </w:pPr>
          </w:p>
        </w:tc>
        <w:tc>
          <w:tcPr>
            <w:tcW w:w="618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00" w:type="dxa"/>
            <w:vAlign w:val="bottom"/>
          </w:tcPr>
          <w:p>
            <w:pPr>
              <w:jc w:val="right"/>
              <w:spacing w:after="0"/>
              <w:rPr>
                <w:sz w:val="20"/>
                <w:szCs w:val="20"/>
                <w:color w:val="auto"/>
              </w:rPr>
            </w:pPr>
            <w:r>
              <w:rPr>
                <w:rFonts w:ascii="Arial" w:cs="Arial" w:eastAsia="Arial" w:hAnsi="Arial"/>
                <w:sz w:val="18"/>
                <w:szCs w:val="18"/>
                <w:color w:val="auto"/>
              </w:rPr>
              <w:t>4.01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7"/>
          </w:tcPr>
          <w:p>
            <w:pPr>
              <w:spacing w:after="0"/>
              <w:rPr>
                <w:rFonts w:ascii="Arial" w:cs="Arial" w:eastAsia="Arial" w:hAnsi="Arial"/>
                <w:sz w:val="18"/>
                <w:szCs w:val="18"/>
                <w:color w:val="0000FF"/>
              </w:rPr>
            </w:pPr>
            <w:hyperlink r:id="rId35">
              <w:r>
                <w:rPr>
                  <w:rFonts w:ascii="Arial" w:cs="Arial" w:eastAsia="Arial" w:hAnsi="Arial"/>
                  <w:sz w:val="18"/>
                  <w:szCs w:val="18"/>
                  <w:color w:val="0000FF"/>
                </w:rPr>
                <w:t>Form of Flex Warrant (incorporated by reference to the Company’s Current Report on Form 8-K that was filed with SEC</w:t>
              </w:r>
            </w:hyperlink>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50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35">
              <w:r>
                <w:rPr>
                  <w:rFonts w:ascii="Arial" w:cs="Arial" w:eastAsia="Arial" w:hAnsi="Arial"/>
                  <w:sz w:val="18"/>
                  <w:szCs w:val="18"/>
                  <w:color w:val="0000FF"/>
                </w:rPr>
                <w:t>on July 1, 2021).</w:t>
              </w:r>
            </w:hyperlink>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jc w:val="right"/>
              <w:spacing w:after="0"/>
              <w:rPr>
                <w:sz w:val="20"/>
                <w:szCs w:val="20"/>
                <w:color w:val="auto"/>
              </w:rPr>
            </w:pPr>
            <w:r>
              <w:rPr>
                <w:rFonts w:ascii="Arial" w:cs="Arial" w:eastAsia="Arial" w:hAnsi="Arial"/>
                <w:sz w:val="18"/>
                <w:szCs w:val="18"/>
                <w:color w:val="auto"/>
              </w:rPr>
              <w:t>31.1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7"/>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Certification of the Principal Executive Officer pursuant to Rule 13a-14(a) or 15d-14(a) of the Securities Exchange Act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27">
              <w:r>
                <w:rPr>
                  <w:rFonts w:ascii="Arial" w:cs="Arial" w:eastAsia="Arial" w:hAnsi="Arial"/>
                  <w:sz w:val="18"/>
                  <w:szCs w:val="18"/>
                  <w:color w:val="0000FF"/>
                  <w:w w:val="93"/>
                </w:rPr>
                <w:t>1934.</w:t>
              </w:r>
            </w:hyperlink>
          </w:p>
        </w:tc>
        <w:tc>
          <w:tcPr>
            <w:tcW w:w="88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6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31.2</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7"/>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the Principal Financial Officer pursuant to Rule 13a-14(a) or 15d-14(a) of the Securities Exchange Act of</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20" w:type="dxa"/>
            <w:vAlign w:val="bottom"/>
            <w:gridSpan w:val="2"/>
          </w:tcPr>
          <w:p>
            <w:pPr>
              <w:spacing w:after="0"/>
              <w:rPr>
                <w:sz w:val="13"/>
                <w:szCs w:val="13"/>
                <w:color w:val="auto"/>
              </w:rPr>
            </w:pPr>
          </w:p>
        </w:tc>
        <w:tc>
          <w:tcPr>
            <w:tcW w:w="44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3"/>
              </w:rPr>
            </w:pPr>
            <w:hyperlink w:anchor="page28">
              <w:r>
                <w:rPr>
                  <w:rFonts w:ascii="Arial" w:cs="Arial" w:eastAsia="Arial" w:hAnsi="Arial"/>
                  <w:sz w:val="18"/>
                  <w:szCs w:val="18"/>
                  <w:color w:val="0000FF"/>
                  <w:w w:val="93"/>
                </w:rPr>
                <w:t>1934.</w:t>
              </w:r>
            </w:hyperlink>
          </w:p>
        </w:tc>
        <w:tc>
          <w:tcPr>
            <w:tcW w:w="880" w:type="dxa"/>
            <w:vAlign w:val="bottom"/>
            <w:tcBorders>
              <w:top w:val="single" w:sz="8" w:color="0000FF"/>
            </w:tcBorders>
          </w:tcPr>
          <w:p>
            <w:pPr>
              <w:spacing w:after="0"/>
              <w:rPr>
                <w:sz w:val="13"/>
                <w:szCs w:val="13"/>
                <w:color w:val="auto"/>
              </w:rPr>
            </w:pPr>
          </w:p>
        </w:tc>
        <w:tc>
          <w:tcPr>
            <w:tcW w:w="2120" w:type="dxa"/>
            <w:vAlign w:val="bottom"/>
            <w:tcBorders>
              <w:top w:val="single" w:sz="8" w:color="0000FF"/>
            </w:tcBorders>
          </w:tcPr>
          <w:p>
            <w:pPr>
              <w:spacing w:after="0"/>
              <w:rPr>
                <w:sz w:val="13"/>
                <w:szCs w:val="13"/>
                <w:color w:val="auto"/>
              </w:rPr>
            </w:pPr>
          </w:p>
        </w:tc>
        <w:tc>
          <w:tcPr>
            <w:tcW w:w="60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Certification of Principal Executive Officer and Principal Financial Officer pursuant to Rule 13a-14(b) or 15d-14(b) of the</w:t>
              </w:r>
            </w:hyperlink>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29">
              <w:r>
                <w:rPr>
                  <w:rFonts w:ascii="Arial" w:cs="Arial" w:eastAsia="Arial" w:hAnsi="Arial"/>
                  <w:sz w:val="18"/>
                  <w:szCs w:val="18"/>
                  <w:color w:val="0000FF"/>
                  <w:w w:val="99"/>
                </w:rPr>
                <w:t>Exchange Act and 18 U.S.C. Section 1350.</w:t>
              </w:r>
            </w:hyperlink>
          </w:p>
        </w:tc>
        <w:tc>
          <w:tcPr>
            <w:tcW w:w="6040" w:type="dxa"/>
            <w:vAlign w:val="bottom"/>
            <w:tcBorders>
              <w:top w:val="single" w:sz="8" w:color="0000FF"/>
            </w:tcBorders>
          </w:tcPr>
          <w:p>
            <w:pPr>
              <w:spacing w:after="0"/>
              <w:rPr>
                <w:sz w:val="13"/>
                <w:szCs w:val="13"/>
                <w:color w:val="auto"/>
              </w:rPr>
            </w:pPr>
          </w:p>
        </w:tc>
        <w:tc>
          <w:tcPr>
            <w:tcW w:w="1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100" w:type="dxa"/>
            <w:vAlign w:val="bottom"/>
          </w:tcPr>
          <w:p>
            <w:pPr>
              <w:jc w:val="right"/>
              <w:spacing w:after="0"/>
              <w:rPr>
                <w:sz w:val="20"/>
                <w:szCs w:val="20"/>
                <w:color w:val="auto"/>
              </w:rPr>
            </w:pPr>
            <w:r>
              <w:rPr>
                <w:rFonts w:ascii="Arial" w:cs="Arial" w:eastAsia="Arial" w:hAnsi="Arial"/>
                <w:sz w:val="18"/>
                <w:szCs w:val="18"/>
                <w:color w:val="auto"/>
              </w:rPr>
              <w:t>101.0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20" w:type="dxa"/>
            <w:vAlign w:val="bottom"/>
            <w:gridSpan w:val="7"/>
          </w:tcPr>
          <w:p>
            <w:pPr>
              <w:spacing w:after="0"/>
              <w:rPr>
                <w:sz w:val="20"/>
                <w:szCs w:val="20"/>
                <w:color w:val="auto"/>
              </w:rPr>
            </w:pPr>
            <w:r>
              <w:rPr>
                <w:rFonts w:ascii="Arial" w:cs="Arial" w:eastAsia="Arial" w:hAnsi="Arial"/>
                <w:sz w:val="18"/>
                <w:szCs w:val="18"/>
                <w:color w:val="auto"/>
              </w:rPr>
              <w:t>The following materials from Salarius Pharmaceuticals, Inc.'s Quarterly Report on Form 10-Q for the quarter ended</w:t>
            </w:r>
          </w:p>
        </w:tc>
        <w:tc>
          <w:tcPr>
            <w:tcW w:w="0" w:type="dxa"/>
            <w:vAlign w:val="bottom"/>
          </w:tcPr>
          <w:p>
            <w:pPr>
              <w:spacing w:after="0"/>
              <w:rPr>
                <w:sz w:val="1"/>
                <w:szCs w:val="1"/>
                <w:color w:val="auto"/>
              </w:rPr>
            </w:pPr>
          </w:p>
        </w:tc>
      </w:tr>
      <w:tr>
        <w:trPr>
          <w:trHeight w:val="176"/>
        </w:trPr>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20" w:type="dxa"/>
            <w:vAlign w:val="bottom"/>
            <w:gridSpan w:val="7"/>
          </w:tcPr>
          <w:p>
            <w:pPr>
              <w:spacing w:after="0" w:line="176" w:lineRule="exact"/>
              <w:rPr>
                <w:sz w:val="20"/>
                <w:szCs w:val="20"/>
                <w:color w:val="auto"/>
              </w:rPr>
            </w:pPr>
            <w:r>
              <w:rPr>
                <w:rFonts w:ascii="Arial" w:cs="Arial" w:eastAsia="Arial" w:hAnsi="Arial"/>
                <w:sz w:val="18"/>
                <w:szCs w:val="18"/>
                <w:color w:val="auto"/>
              </w:rPr>
              <w:t>September 30, 2021, formatted in XBRL (eXtensible Business Reporting Language):(i) Unaudited Condensed</w:t>
            </w:r>
          </w:p>
        </w:tc>
        <w:tc>
          <w:tcPr>
            <w:tcW w:w="0" w:type="dxa"/>
            <w:vAlign w:val="bottom"/>
          </w:tcPr>
          <w:p>
            <w:pPr>
              <w:spacing w:after="0"/>
              <w:rPr>
                <w:sz w:val="1"/>
                <w:szCs w:val="1"/>
                <w:color w:val="auto"/>
              </w:rPr>
            </w:pPr>
          </w:p>
        </w:tc>
      </w:tr>
    </w:tbl>
    <w:p>
      <w:pPr>
        <w:jc w:val="both"/>
        <w:ind w:left="1620" w:right="760"/>
        <w:spacing w:after="0" w:line="219" w:lineRule="auto"/>
        <w:rPr>
          <w:sz w:val="20"/>
          <w:szCs w:val="20"/>
          <w:color w:val="auto"/>
        </w:rPr>
      </w:pPr>
      <w:r>
        <w:rPr>
          <w:rFonts w:ascii="Arial" w:cs="Arial" w:eastAsia="Arial" w:hAnsi="Arial"/>
          <w:sz w:val="18"/>
          <w:szCs w:val="18"/>
          <w:color w:val="auto"/>
        </w:rPr>
        <w:t>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273431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 w:right="120" w:hanging="172"/>
        <w:spacing w:after="0" w:line="249" w:lineRule="auto"/>
        <w:tabs>
          <w:tab w:leader="none" w:pos="114"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84"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99"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31"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6350</wp:posOffset>
            </wp:positionV>
            <wp:extent cx="33000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Mark J. Rosenblum</w:t>
      </w:r>
    </w:p>
    <w:p>
      <w:pPr>
        <w:ind w:left="594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44"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November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290" w:right="47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184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28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188"/>
        </w:trPr>
        <w:tc>
          <w:tcPr>
            <w:tcW w:w="428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President and Chief Executive Officer</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November 4, 2021</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035"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Certification Pursuant to Securities Exchange Act Rules 13a-14(a) and 15d-14(a) as adopted Pursuant to Section 302 of the</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200" w:firstLine="4"/>
        <w:spacing w:after="0" w:line="256"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 w:lineRule="exact"/>
        <w:rPr>
          <w:sz w:val="20"/>
          <w:szCs w:val="20"/>
          <w:color w:val="auto"/>
        </w:rPr>
      </w:pPr>
    </w:p>
    <w:tbl>
      <w:tblPr>
        <w:tblLayout w:type="fixed"/>
        <w:tblInd w:w="1840" w:type="dxa"/>
        <w:tblCellMar>
          <w:top w:w="0" w:type="dxa"/>
          <w:left w:w="0" w:type="dxa"/>
          <w:bottom w:w="0" w:type="dxa"/>
          <w:right w:w="0" w:type="dxa"/>
        </w:tblCellMar>
      </w:tblPr>
      <w:tr>
        <w:trPr>
          <w:trHeight w:val="217"/>
        </w:trPr>
        <w:tc>
          <w:tcPr>
            <w:tcW w:w="4280" w:type="dxa"/>
            <w:vAlign w:val="bottom"/>
          </w:tcPr>
          <w:p>
            <w:pPr>
              <w:spacing w:after="0"/>
              <w:rPr>
                <w:sz w:val="18"/>
                <w:szCs w:val="18"/>
                <w:color w:val="auto"/>
              </w:rPr>
            </w:pPr>
          </w:p>
        </w:tc>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4280" w:type="dxa"/>
            <w:vAlign w:val="bottom"/>
          </w:tcPr>
          <w:p>
            <w:pPr>
              <w:spacing w:after="0"/>
              <w:rPr>
                <w:sz w:val="19"/>
                <w:szCs w:val="19"/>
                <w:color w:val="auto"/>
              </w:rPr>
            </w:pPr>
          </w:p>
        </w:tc>
        <w:tc>
          <w:tcPr>
            <w:tcW w:w="508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4280" w:type="dxa"/>
            <w:vAlign w:val="bottom"/>
          </w:tcPr>
          <w:p>
            <w:pPr>
              <w:spacing w:after="0"/>
              <w:rPr>
                <w:sz w:val="16"/>
                <w:szCs w:val="16"/>
                <w:color w:val="auto"/>
              </w:rPr>
            </w:pPr>
          </w:p>
        </w:tc>
        <w:tc>
          <w:tcPr>
            <w:tcW w:w="508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November 4, 2021</w:t>
            </w:r>
          </w:p>
        </w:tc>
        <w:tc>
          <w:tcPr>
            <w:tcW w:w="508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September 30, 2021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31" w:lineRule="exact"/>
        <w:rPr>
          <w:sz w:val="20"/>
          <w:szCs w:val="20"/>
          <w:color w:val="auto"/>
        </w:rPr>
      </w:pPr>
    </w:p>
    <w:p>
      <w:pPr>
        <w:ind w:left="660" w:right="220" w:hanging="4"/>
        <w:spacing w:after="0" w:line="261" w:lineRule="auto"/>
        <w:tabs>
          <w:tab w:leader="none" w:pos="9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65" w:lineRule="exact"/>
        <w:rPr>
          <w:sz w:val="20"/>
          <w:szCs w:val="20"/>
          <w:color w:val="auto"/>
        </w:rPr>
      </w:pPr>
    </w:p>
    <w:tbl>
      <w:tblPr>
        <w:tblLayout w:type="fixed"/>
        <w:tblInd w:w="680" w:type="dxa"/>
        <w:tblCellMar>
          <w:top w:w="0" w:type="dxa"/>
          <w:left w:w="0" w:type="dxa"/>
          <w:bottom w:w="0" w:type="dxa"/>
          <w:right w:w="0" w:type="dxa"/>
        </w:tblCellMar>
      </w:tblPr>
      <w:tr>
        <w:trPr>
          <w:trHeight w:val="217"/>
        </w:trPr>
        <w:tc>
          <w:tcPr>
            <w:tcW w:w="4780" w:type="dxa"/>
            <w:vAlign w:val="bottom"/>
          </w:tcPr>
          <w:p>
            <w:pPr>
              <w:spacing w:after="0"/>
              <w:rPr>
                <w:sz w:val="18"/>
                <w:szCs w:val="18"/>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23"/>
        </w:trPr>
        <w:tc>
          <w:tcPr>
            <w:tcW w:w="47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29"/>
        </w:trPr>
        <w:tc>
          <w:tcPr>
            <w:tcW w:w="4780" w:type="dxa"/>
            <w:vAlign w:val="bottom"/>
          </w:tcPr>
          <w:p>
            <w:pPr>
              <w:spacing w:after="0"/>
              <w:rPr>
                <w:sz w:val="20"/>
                <w:szCs w:val="20"/>
                <w:color w:val="auto"/>
              </w:rPr>
            </w:pPr>
            <w:r>
              <w:rPr>
                <w:rFonts w:ascii="Arial" w:cs="Arial" w:eastAsia="Arial" w:hAnsi="Arial"/>
                <w:sz w:val="18"/>
                <w:szCs w:val="18"/>
                <w:color w:val="auto"/>
              </w:rPr>
              <w:t>November 4, 2021</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338"/>
        </w:trPr>
        <w:tc>
          <w:tcPr>
            <w:tcW w:w="478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23"/>
        </w:trPr>
        <w:tc>
          <w:tcPr>
            <w:tcW w:w="4780" w:type="dxa"/>
            <w:vAlign w:val="bottom"/>
          </w:tcPr>
          <w:p>
            <w:pPr>
              <w:spacing w:after="0"/>
              <w:rPr>
                <w:sz w:val="19"/>
                <w:szCs w:val="19"/>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188"/>
        </w:trPr>
        <w:tc>
          <w:tcPr>
            <w:tcW w:w="4780" w:type="dxa"/>
            <w:vAlign w:val="bottom"/>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780" w:type="dxa"/>
            <w:vAlign w:val="bottom"/>
          </w:tcPr>
          <w:p>
            <w:pPr>
              <w:spacing w:after="0"/>
              <w:rPr>
                <w:sz w:val="20"/>
                <w:szCs w:val="20"/>
                <w:color w:val="auto"/>
              </w:rPr>
            </w:pPr>
            <w:r>
              <w:rPr>
                <w:rFonts w:ascii="Arial" w:cs="Arial" w:eastAsia="Arial" w:hAnsi="Arial"/>
                <w:sz w:val="18"/>
                <w:szCs w:val="18"/>
                <w:color w:val="auto"/>
              </w:rPr>
              <w:t>November 4, 2021</w:t>
            </w: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35" Type="http://schemas.openxmlformats.org/officeDocument/2006/relationships/hyperlink" Target="https://www.sec.gov/ix?doc=/Archives/edgar/data/1615219/000161521921000070/flks-202107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2021-11-04T16:03:58Z</dcterms:created>
  <dcterms:modified xsi:type="dcterms:W3CDTF">2021-11-04T16:03:58Z</dcterms:modified>
</cp:coreProperties>
</file>