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22"/>
        </w:rPr>
      </w:pPr>
      <w:bookmarkStart w:id="0" w:name="dcoy_424b3_333-299353.htm"/>
      <w:bookmarkStart w:id="1" w:name="ksdcoy_424b3_333299353"/>
      <w:bookmarkEnd w:id="0"/>
      <w:bookmarkEnd w:id="1"/>
      <w:r>
        <w:rPr>
          <w:rFonts w:ascii="Times New Roman" w:hAnsi="Times New Roman"/>
          <w:b/>
          <w:color w:val="000000"/>
          <w:sz w:val="22"/>
        </w:rPr>
        <w:t>Filed Pursuant to Rule 424(b)(3)</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333-299353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PROSPECTUS</w:t>
      </w:r>
    </w:p>
    <w:p>
      <w:pPr>
        <w:pStyle w:val="TextBody"/>
        <w:bidi w:val="0"/>
        <w:spacing w:before="120" w:after="283"/>
        <w:jc w:val="center"/>
        <w:rPr/>
      </w:pPr>
      <w:r>
        <w:rPr/>
        <w:drawing>
          <wp:inline distT="0" distB="0" distL="0" distR="0">
            <wp:extent cx="30003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1009650"/>
                    </a:xfrm>
                    <a:prstGeom prst="rect">
                      <a:avLst/>
                    </a:prstGeom>
                  </pic:spPr>
                </pic:pic>
              </a:graphicData>
            </a:graphic>
          </wp:inline>
        </w:drawing>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spacing w:before="200" w:after="283"/>
        <w:jc w:val="center"/>
        <w:rPr>
          <w:rFonts w:ascii="Times New Roman" w:hAnsi="Times New Roman"/>
          <w:sz w:val="22"/>
        </w:rPr>
      </w:pPr>
      <w:r>
        <w:rPr>
          <w:rFonts w:ascii="Times New Roman" w:hAnsi="Times New Roman"/>
          <w:b/>
          <w:color w:val="000000"/>
          <w:sz w:val="22"/>
        </w:rPr>
        <w:t>Up to 2,368,868</w:t>
      </w:r>
      <w:r>
        <w:rPr>
          <w:rFonts w:ascii="Times New Roman" w:hAnsi="Times New Roman"/>
          <w:color w:val="000000"/>
          <w:sz w:val="22"/>
        </w:rPr>
        <w:t xml:space="preserve"> </w:t>
      </w:r>
      <w:r>
        <w:rPr>
          <w:rFonts w:ascii="Times New Roman" w:hAnsi="Times New Roman"/>
          <w:b/>
          <w:color w:val="000000"/>
          <w:sz w:val="22"/>
        </w:rPr>
        <w:t>Shares of Common Stock</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prospectus relates to the resale from time to time by the selling stockholder identified in this prospectus (the “selling stockholder”) of up to 2,368,868 shares of our common stock, par value $0.0001 per share (“common stock”) issuable upon the exercise of common stock purchase warrants (the “New Warrants”). We issued the New Warrants to a certain investor as consideration for such investor’s exercise of Series B milestone-based common stock purchase warrants (the “Existing Series B Warrants”) issued on June 29, 2026, pursuant to the terms of a warrant inducement offer letter (the “Inducement Letter”) with the investor to immediately exercise its Existing Series B Warrants. The New Warrants were issued in a private placement that closed on September 23, 2026, as described under “The Private Placement.”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are not selling any securities under this prospectus and will not receive any of the proceeds from the resale of shares of common stock by the selling stockholder. We will, however, receive the proceeds of any cash exercise of the New Warrants. See “Use of Proceeds.”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selling stockholder may sell or otherwise dispose of the shares of common stock described in this prospectus in a number of different ways and at varying prices. See “Plan of Distribution.” We have agreed to pay certain expenses in connection with the registration of the shares of common stock and to indemnify the selling stockholder against certain liabilities. See “Plan of Distribution.”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are filing the registration statement on Form S-1 of which this prospectus forms a part to fulfill our contractual obligations to the selling stockholder to provide for the resale by the selling stockholder of the shares of common stock issuable upon exercise of the New Warrants. See “Selling Stockholder” beginning on page 14 of this prospectus for more information about the selling stockholder. Our registration of the securities covered by this prospectus does not mean that either we or the selling stockholder will issue, offer or sell any of the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listed on The Nasdaq Capital Market (“Nasdaq”) under the symbol “DCOY.” On October 6, 2026, the last reported sale price of our common stock was $1.55 per share. As of such date, we had 2,385,282 shares of common stock outstanding.</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Our cash, cash equivalents and restricted cash balance as of September 30, 2026 was approximately $8.0 million, of which $2.5 million is restricted for use under our Gates Foundation Grant Agreement and can only be used for specific development purpose.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are a “smaller reporting company” under the federal securities laws and have elected to comply with certain reduced public company reporting requirements. See “Prospectus Summary — Implications of Being a Smaller Reporting Company.”</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Investing in our securities involves a high degree of risk. You should review carefully the risks and uncertainties described under the heading “Risk Factors” beginning on page 6 of this prospectus, and under similar headings in any amendment of or supplement to this prospectus or in any other documents that are incorporated by reference into this prospectus.</w:t>
      </w:r>
    </w:p>
    <w:p>
      <w:pPr>
        <w:pStyle w:val="TextBody"/>
        <w:bidi w:val="0"/>
        <w:spacing w:before="120" w:after="283"/>
        <w:jc w:val="left"/>
        <w:rPr>
          <w:rFonts w:ascii="Times New Roman" w:hAnsi="Times New Roman"/>
          <w:sz w:val="22"/>
        </w:rPr>
      </w:pPr>
      <w:r>
        <w:rPr>
          <w:rFonts w:ascii="Times New Roman" w:hAnsi="Times New Roman"/>
          <w:b/>
          <w:color w:val="000000"/>
          <w:sz w:val="22"/>
        </w:rPr>
        <w:t>NEITHER THE SEC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2"/>
        </w:rPr>
        <w: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The date of this prospectus is October 16, 2026.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2"/>
                  <w:u w:val="single"/>
                </w:rPr>
                <w:t>About This Prospectus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prospectus_summary">
              <w:r>
                <w:rPr>
                  <w:rStyle w:val="InternetLink"/>
                  <w:rFonts w:ascii="Times New Roman" w:hAnsi="Times New Roman"/>
                  <w:color w:val="0000FF"/>
                  <w:sz w:val="22"/>
                  <w:u w:val="single"/>
                </w:rPr>
                <w:t>Prospectus Summary</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the_offering">
              <w:r>
                <w:rPr>
                  <w:rStyle w:val="InternetLink"/>
                  <w:rFonts w:ascii="Times New Roman" w:hAnsi="Times New Roman"/>
                  <w:color w:val="0000FF"/>
                  <w:sz w:val="22"/>
                  <w:u w:val="single"/>
                </w:rPr>
                <w:t>The Offering</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4</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risk_factors">
              <w:r>
                <w:rPr>
                  <w:rStyle w:val="InternetLink"/>
                  <w:rFonts w:ascii="Times New Roman" w:hAnsi="Times New Roman"/>
                  <w:color w:val="0000FF"/>
                  <w:sz w:val="22"/>
                  <w:u w:val="single"/>
                </w:rPr>
                <w:t>Risk Factors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6</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cautionary_note_regarding_forwardlooking">
              <w:r>
                <w:rPr>
                  <w:rStyle w:val="InternetLink"/>
                  <w:rFonts w:ascii="Times New Roman" w:hAnsi="Times New Roman"/>
                  <w:color w:val="0000FF"/>
                  <w:sz w:val="22"/>
                  <w:u w:val="single"/>
                </w:rPr>
                <w:t>Cautionary Note Regarding Forward-Looking Statements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use_of_proceeds">
              <w:r>
                <w:rPr>
                  <w:rStyle w:val="InternetLink"/>
                  <w:rFonts w:ascii="Times New Roman" w:hAnsi="Times New Roman"/>
                  <w:color w:val="0000FF"/>
                  <w:sz w:val="22"/>
                  <w:u w:val="single"/>
                </w:rPr>
                <w:t>Use Of Proceeds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market_information_determination">
              <w:r>
                <w:rPr>
                  <w:rStyle w:val="InternetLink"/>
                  <w:rFonts w:ascii="Times New Roman" w:hAnsi="Times New Roman"/>
                  <w:color w:val="0000FF"/>
                  <w:sz w:val="22"/>
                  <w:u w:val="single"/>
                </w:rPr>
                <w:t>Market Information, Determination Of Offering Price And Dividend Information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11</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the_private_placement">
              <w:r>
                <w:rPr>
                  <w:rStyle w:val="InternetLink"/>
                  <w:rFonts w:ascii="Times New Roman" w:hAnsi="Times New Roman"/>
                  <w:color w:val="0000FF"/>
                  <w:sz w:val="22"/>
                  <w:u w:val="single"/>
                </w:rPr>
                <w:t>The Private Placement</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12</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selling_stockholders">
              <w:r>
                <w:rPr>
                  <w:rStyle w:val="InternetLink"/>
                  <w:rFonts w:ascii="Times New Roman" w:hAnsi="Times New Roman"/>
                  <w:color w:val="0000FF"/>
                  <w:sz w:val="22"/>
                  <w:u w:val="single"/>
                </w:rPr>
                <w:t>Selling Stockholder</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14</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plan_of_distribution">
              <w:r>
                <w:rPr>
                  <w:rStyle w:val="InternetLink"/>
                  <w:rFonts w:ascii="Times New Roman" w:hAnsi="Times New Roman"/>
                  <w:color w:val="0000FF"/>
                  <w:sz w:val="22"/>
                  <w:u w:val="single"/>
                </w:rPr>
                <w:t>Plan Of Distribution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16</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mda">
              <w:r>
                <w:rPr>
                  <w:rStyle w:val="InternetLink"/>
                  <w:rFonts w:ascii="Times New Roman" w:hAnsi="Times New Roman"/>
                  <w:color w:val="0000FF"/>
                  <w:sz w:val="22"/>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business">
              <w:r>
                <w:rPr>
                  <w:rStyle w:val="InternetLink"/>
                  <w:rFonts w:ascii="Times New Roman" w:hAnsi="Times New Roman"/>
                  <w:color w:val="0000FF"/>
                  <w:sz w:val="22"/>
                  <w:u w:val="single"/>
                </w:rPr>
                <w:t>Business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description_of_capital_stock">
              <w:r>
                <w:rPr>
                  <w:rStyle w:val="InternetLink"/>
                  <w:rFonts w:ascii="Times New Roman" w:hAnsi="Times New Roman"/>
                  <w:color w:val="0000FF"/>
                  <w:sz w:val="22"/>
                  <w:u w:val="single"/>
                </w:rPr>
                <w:t>Description Of Capital Stock</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directors_executive_officers_and_corpor">
              <w:r>
                <w:rPr>
                  <w:rStyle w:val="InternetLink"/>
                  <w:rFonts w:ascii="Times New Roman" w:hAnsi="Times New Roman"/>
                  <w:color w:val="0000FF"/>
                  <w:sz w:val="22"/>
                  <w:u w:val="single"/>
                </w:rPr>
                <w:t>Directors, Executive Officers, And Corporate Governance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executive_compensation">
              <w:r>
                <w:rPr>
                  <w:rStyle w:val="InternetLink"/>
                  <w:rFonts w:ascii="Times New Roman" w:hAnsi="Times New Roman"/>
                  <w:color w:val="0000FF"/>
                  <w:sz w:val="22"/>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 And Related Stockholder Matters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certain_relationships_and_related">
              <w:r>
                <w:rPr>
                  <w:rStyle w:val="InternetLink"/>
                  <w:rFonts w:ascii="Times New Roman" w:hAnsi="Times New Roman"/>
                  <w:color w:val="0000FF"/>
                  <w:sz w:val="22"/>
                  <w:u w:val="single"/>
                </w:rPr>
                <w:t>Certain Relationships And Related Transactions And Director Independence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legal_matters">
              <w:r>
                <w:rPr>
                  <w:rStyle w:val="InternetLink"/>
                  <w:rFonts w:ascii="Times New Roman" w:hAnsi="Times New Roman"/>
                  <w:color w:val="0000FF"/>
                  <w:sz w:val="22"/>
                  <w:u w:val="single"/>
                </w:rPr>
                <w:t>Legal Matters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experts">
              <w:r>
                <w:rPr>
                  <w:rStyle w:val="InternetLink"/>
                  <w:rFonts w:ascii="Times New Roman" w:hAnsi="Times New Roman"/>
                  <w:color w:val="0000FF"/>
                  <w:sz w:val="22"/>
                  <w:u w:val="single"/>
                </w:rPr>
                <w:t>Experts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where_you_can_find_more">
              <w:r>
                <w:rPr>
                  <w:rStyle w:val="InternetLink"/>
                  <w:rFonts w:ascii="Times New Roman" w:hAnsi="Times New Roman"/>
                  <w:color w:val="0000FF"/>
                  <w:sz w:val="22"/>
                  <w:u w:val="single"/>
                </w:rPr>
                <w:t>Where You Can Find More Information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incorporation_of_certain_information">
              <w:r>
                <w:rPr>
                  <w:rStyle w:val="InternetLink"/>
                  <w:rFonts w:ascii="Times New Roman" w:hAnsi="Times New Roman"/>
                  <w:color w:val="0000FF"/>
                  <w:sz w:val="22"/>
                  <w:u w:val="single"/>
                </w:rPr>
                <w:t>Incorporation Of Certain Information By Reference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 w:name="about_this_prospectus"/>
      <w:bookmarkEnd w:id="2"/>
      <w:r>
        <w:rPr>
          <w:rFonts w:ascii="Times New Roman" w:hAnsi="Times New Roman"/>
          <w:color w:val="000000"/>
          <w:sz w:val="22"/>
        </w:rPr>
        <w:t>ABOUT THIS PROSPECTUS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is part of a registration statement on Form S-1 that we have filed with the Securities and Exchange Commission (the “SEC”), and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and the documents incorporated by reference herein or any amendment thereto.</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 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Neither we nor the selling stockholder has authorized anyone to provide you with different or additional information. If anyone provides you with different or inconsistent information, you should not rely on it. Neither we nor the selling stockholder are making an offer to sell these securities in any jurisdiction where the offer or sale is not permitted. You should assume that the information appearing in this prospectus and the documents incorporated by reference herein is accurate only as of their respective dates.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the context otherwise requires, references in this prospectus to the “Company,” “we,” “us,” “our,” “Decoy” and similar references refer to Decoy Therapeutics Inc. and, where appropriate, its consolidated subsidiaries. References to “Legacy Decoy” refer to Decoy Therapeutics Inc. as it existed prior to the Merger described herein, and references to “Salarius” refer to the Company when it was known as Salarius Pharmaceuticals, Inc. prior to the name change described herein.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3" w:name="prospectus_summary"/>
      <w:bookmarkEnd w:id="3"/>
      <w:r>
        <w:rPr>
          <w:rFonts w:ascii="Times New Roman" w:hAnsi="Times New Roman"/>
          <w:color w:val="000000"/>
          <w:sz w:val="22"/>
        </w:rPr>
        <w:t>PROSPECTUS SUMMARY</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This summary highlights selected information appearing elsewhere in, or incorporated by reference into, this prospectus. This summary is not complete and does not contain all of the information that you should consider before investing in our common stock. You should carefully read this entire prospectus, including the information under “Risk Factors” and the financial statements and related notes and other information that we incorporate by reference herein, including our Annual Report on Form 10-K for the fiscal year ended December 31, 2025, as amended, and our Quarterly Reports on Form 10-Q for the quarters ended March 31, 2026 and June 30, 2026, before making an investment decision.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pre-clinical stage biotechnology company focused on advancing our pipeline of peptide conjugate therapeutics engineered through our proprietary IMP3ACT platform. Our IMP3ACT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Utilizing our novel IMP3ACT platform, we aim to build a robust portfolio of novel peptide conjugate therapeutics, initially focusing on infectious diseases and oncology. The Decoy IMP³ACT platform is generating a pipeline of Designable Multi-Antivirals (“D-MAV”) candidates across respiratory viruses, and our portfolio also includes two legacy small molecule clinical candidates: SP-3164, a targeted protein degrader, and seclidemstat (“SP-2577”), a targeted protein inhibitor. We have no products approved for commercial sale and have not generated any revenue from product sales.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Merger and Name Change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Prior to January 8, 2026, we were known as Salarius Pharmaceuticals, Inc. On November 12, 2025, pursuant to an Agreement and Plan of Merger dated January 10, 2025, as amended (the “Merger Agreement”), a wholly owned subsidiary of Salarius merged with and into Legacy Decoy, with Legacy Decoy surviving and becoming a wholly owned subsidiary of the Company (the “Merger”). In connection with the Merger, we issued 877.709 shares of Series A Non-Voting Convertible Preferred Stock (the “Series A Preferred Stock”) and 796.306 shares of Series B Non-Voting Convertible Preferred Stock (the “Series B Preferred Stock”) to former Legacy Decoy stockholders and debtholders. The shares of Series A Preferred Stock and Series B Preferred Stock are not convertible into common stock until our stockholders approve such conversion in accordance with Nasdaq Rule 5635 and we satisfy the Nasdaq initial listing requirements applicable to the combined company. On January 8, 2026, we filed a certificate of amendment to change our corporate name to “Decoy Therapeutics Inc.,” and our common stock, which had traded under the symbol “SLRX,” began trading under the symbol “DCOY.”</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Private Placement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September 22, 2026, we entered into the Inducement Letter with a single healthcare-focused institutional and accredited investor (the “Purchaser”), pursuant to which the Purchaser agreed to exercise for cash, in full, the Existing Series B Warrants to purchase an aggregate of 1,184,434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Pursuant to the Inducement Letter, we agreed to reduce the exercise price of the Existing Series B Warrants from $5.91 per share to $3.25 per share. In connection with the transaction, the exercise price of outstanding milestone-based Series A and Series C common warrants issued on June 29, 2026 was also reduced from $5.91 per share to $3.25 per share. The Existing Series B Warrants were exercised in full on September 22, 2026, and the transaction closed on September 23, 2026, resulting in aggregate gross proceeds of approximately $3.85 million, before deducting other expenses.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Pursuant to the Inducement Letter and as consideration for the immediate exercise of the Existing Series B Warrants, on September 23, 2026, we issued to the Purchaser in a private placement New Warrants to purchase up to 2,368,868 shares of common stock, representing 200% of the number of shares underlying the exercised Existing Series B Warrants (the “Private Placement”). We agreed to register the resale of the shares of common stock issuable upon exercise of the New Warrants, and the registration statement of which this prospectus forms a part is being filed in part to satisfy that obligation. See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Corporate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were incorporated in Delaware in February 2014 as Flex Pharma, Inc. In July 2019, our predecessor merged with Salarius Pharmaceuticals, LLC and we changed our name to Salarius Pharmaceuticals, Inc., and effective January 8, 2026, we changed our name to Decoy Therapeutics Inc. Our principal executive offices are located at 2450 Holcombe Blvd., Suite X, Houston, TX 77021, and our telephone number is (713) 913-5608. Our website address is www.decoytx.com. Information on, or accessible through, our website is not part of this prospectus.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Implications of Being a Smaller Reporting Company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“smaller reporting company” as defined in Rule 12b-2 under the Securities Exchange Act of 1934, as amended (the “Exchange Act”). We may take advantage of certain scaled disclosure requirements available to smaller reporting companies, including presenting only two years of audited financial statements and reduced executive compensation disclosure. We will remain a smaller reporting company until the last day of the fiscal year in which (i) the market value of our common stock held by non-affiliates is $250 million or more measured as of the last business day of our most recently completed second fiscal quarter, or (ii) our annual revenue is $100 million or more during the most recently completed fiscal year and the market value of our common stock held by non-affiliates is $700 million or more measured as of the last business day of our most recently completed second fiscal quarter.</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4" w:name="the_offering"/>
      <w:bookmarkEnd w:id="4"/>
      <w:r>
        <w:rPr>
          <w:rFonts w:ascii="Times New Roman" w:hAnsi="Times New Roman"/>
          <w:color w:val="000000"/>
          <w:sz w:val="22"/>
        </w:rPr>
        <w:t>THE OFFERING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sz w:val="4"/>
                <w:szCs w:val="4"/>
              </w:rPr>
            </w:pPr>
            <w:r>
              <w:rPr>
                <w:sz w:val="4"/>
                <w:szCs w:val="4"/>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offered by the selling stockholder</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2,368,868 shares of common stock issuable upon exercise of the New Warrants.</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Common stock outstanding prior to this offering</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2,385,282 shares of common stock outstanding as of October 6, 2026.</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Common stock outstanding after this offering</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4,754,150 shares of common stock, assuming the exercise in full of all of the New Warrants and the issuance and resale of all 2,368,868 shares offered hereby.</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Use of proceeds</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 will not receive any proceeds from the resale of shares by the selling stockholder. We will receive the proceeds of any cash exercise of the New Warrants, which we intend to use, for working capital and general corporate purposes. See “Use of Proceeds.”</w:t>
            </w:r>
          </w:p>
        </w:tc>
      </w:tr>
      <w:tr>
        <w:trPr/>
        <w:tc>
          <w:tcPr>
            <w:tcW w:w="2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Terms of the New Warrants</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Each New Warrant has an exercise price of $3.25 per share, is immediately exercisable upon issuance </w:t>
            </w:r>
            <w:r>
              <w:rPr>
                <w:rFonts w:ascii="Times New Roman" w:hAnsi="Times New Roman"/>
                <w:color w:val="000000"/>
                <w:sz w:val="20"/>
              </w:rPr>
              <w:t>and will expire on the fifth anniversary of the date of issuance</w:t>
            </w:r>
            <w:r>
              <w:rPr>
                <w:rFonts w:ascii="Times New Roman" w:hAnsi="Times New Roman"/>
                <w:color w:val="000000"/>
                <w:sz w:val="22"/>
              </w:rPr>
              <w:t>, subject to the beneficial ownership limitation described below. See “The Private Placement.”</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Beneficial ownership limitation</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New Warrants may not be exercised to the extent that, after giving effect to the exercise, the holder, together with its affiliates and attribution parties, would beneficially own more than 4.99% of our outstanding common stock, which limitation the holder may adjust upon 61 days’ prior notice to us, subject to the maximum percentage set forth in the New Warrants.</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Risk factors</w:t>
            </w:r>
          </w:p>
        </w:tc>
        <w:tc>
          <w:tcPr>
            <w:tcW w:w="8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Investing in our common stock involves a high degree of risk. See “Risk Factors” beginning on page 6.</w:t>
            </w:r>
          </w:p>
        </w:tc>
      </w:tr>
      <w:tr>
        <w:trPr/>
        <w:tc>
          <w:tcPr>
            <w:tcW w:w="20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Nasdaq Capital Market symbol</w:t>
            </w:r>
          </w:p>
        </w:tc>
        <w:tc>
          <w:tcPr>
            <w:tcW w:w="8199"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r>
              <w:rPr>
                <w:rFonts w:ascii="Times New Roman" w:hAnsi="Times New Roman"/>
                <w:color w:val="000000"/>
                <w:sz w:val="22"/>
              </w:rPr>
              <w:t>DCOY”</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Except as otherwise indicated, the number of shares of our common stock to be outstanding after this offering is based on 2,385,282 shares of common stock outstanding as of October 6, 2026, and does not give effect to the conversion of our outstanding Series A Preferred Stock or Series B Preferred Stock, which are not convertible into common stock unless and until our stockholders approve such conversion in accordance with Nasdaq Listing Rule 5635 and the Company satisfies the applicable Nasdaq initial listing requirements. As of October 6, 2026, the issued and reserved shares of Series A Preferred Stock and Series B Preferred Stock would, upon such approval, be convertible into an aggregate of 390,604 shares of common stock. The number of shares of common stock to be outstanding after this offering excludes: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390,604 shares of common stock issuable upon conversion of our outstanding Series A Preferred Stock and Series B Preferred Stock issued, which conversion remains subject to stockholder approval under Nasdaq Listing Rule 5635 and satisfaction of the applicable Nasdaq initial listing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2,922,730 shares of common stock issuable upon the exercise of warrants outstanding as of October 6, 2026 (which do not include the New Warrants issued in the Private Placement), at a weighted-average exercise price of $10.59 per share;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28,707 shares of common stock issuable upon the exercise of stock options outstanding under our equity incentive plans as of October 6, 2026, at a weighted-average exercise price of $229.48 per share;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otherwise indicated, this prospectus assumes no conversion of the preferred stock and no exercise of outstanding warrants or options.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5" w:name="risk_factors"/>
      <w:bookmarkEnd w:id="5"/>
      <w:r>
        <w:rPr>
          <w:rFonts w:ascii="Times New Roman" w:hAnsi="Times New Roman"/>
          <w:color w:val="000000"/>
          <w:sz w:val="22"/>
        </w:rPr>
        <w:t>RISK FACTORS</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Investing in our common stock involves a high degree of risk. Before making an investment decision, you should carefully consider the risks described below, together with the risk factors described in our Annual Report on Form 10-K for the fiscal year ended December 31, 2025, as amended, and our Quarterly Reports on Form 10-Q for the quarters ended March 31, 2026 and June 30, 2026, each of which is incorporated by reference herein, as well as the other information contained in or incorporated by reference into this prospectus. The risk factors set forth below are limited to those arising primarily from this offering and the Private Placement and supplement, and should be read together with, the risk factors incorporated by reference herein; they do not purport to be a complete statement of all risks relevant to an investment in our common stock. If any of these risks actually occur, our business, financial condition, results of operations and prospects could be materially and adversely affected, the trading price of our common stock could decline, and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Our Liquidity and Capital Needs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financial condition raises substantial doubt about our ability to continue as a going concern.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incurred recurring losses from operations since inception and have not generated any revenue from product sales. Our independent registered public accounting firm and management have concluded that there is substantial doubt about our ability to continue as a going concern, and the report of our independent registered public accounting firm on our consolidated financial statements for the year ended December 31, 2025 includes an explanatory paragraph to that effect. We believe our existing cash and cash equivalents will be sufficient to fund our operations only into early 2027. If we are unable to obtain additional capital in the near term, we may be forced to delay, reduce or eliminate some or all of our development programs, or cease operations, in which case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cash proceeds we may receive upon exercise of the New Warrants are uncertain and may never be realized.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will not receive any proceeds from the resale of the shares of common stock by the selling stockholder. We may receive proceeds from the cash exercise of the New Warrants, but the New Warrants may be exercised on a cashless basis in the circumstances specified in the New Warrants, in which case we would receive no cash proceeds. Accordingly, the amount of cash, if any, ultimately available to fund our operations from exercise of the New Warrants is uncertain.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This Offering and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number of shares being registered for resale is significant in relation to our outstanding common stock, and resales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covers the resale of up to 2,368,868 shares of common stock, which substantially exceeds the 2,385,282 shares of common stock outstanding as of October 6, 2026. The resale of all or a substantial portion of these shares in the public market, or the perception that these resales may occur, could cause the market price of our common stock to decline significantly and could impair our ability to raise capital through the sale of additional equity securities.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Future resales or issuances of our common stock, or the perception that such sales may occur,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In addition to the shares offered hereby, we have a significant number of shares of common stock issuable upon the conversion of our outstanding Series A Preferred Stock and Series B Preferred Stock (subject to stockholder approval) and upon the exercise of other outstanding warrants and options. The issuance and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subsequent resale of these shares, or the perception that such sales may occur, could depress the market price of our common stock and impair our ability to raise capital.</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Nasdaq Listing</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common stock may be delisted from Nasdaq, which would adversely affect the liquidity and market price of our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a history of non-compliance with Nasdaq continued listing requirements, including the minimum bid price requirement and the stockholders’ equity requirement, and we remain subject to a mandatory panel monitor through March 31, 2027 (the “Mandatory Panel Monitor”). If we again fail to comply with Nasdaq’s continued listing requirements, Nasdaq may take expedited delisting action, and our common stock could be delisted, which would adversely affect the liquidity and market price of our common stock and our ability to raise capital.</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6" w:name="cautionary_note_regarding_forwardlooking"/>
      <w:bookmarkEnd w:id="6"/>
      <w:r>
        <w:rPr>
          <w:rFonts w:ascii="Times New Roman" w:hAnsi="Times New Roman"/>
          <w:color w:val="000000"/>
          <w:sz w:val="22"/>
        </w:rPr>
        <w:t>CAUTIONARY NOTE REGARDING FORWARD-LOOKING STATEMENTS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and the documents incorporated by reference herein contain forward-looking statements within the meaning of Section 27A of the Securities Act and Section 21E of the Exchange Act. All statements other than statements of historical fact are forward-looking statements. In some cases, you can identify forward-looking statements by terms such as “may,” “will,” “could,” “would,” “should,” “expect,” “intend,” “plan,” “anticipate,” “believe,” “estimate,” “predict,” “potential,” “continue,” “seek,” “target” or the negative of these terms or other comparable terminology. These forward-looking statements include, among others,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continue as a going concern and to support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expectations regarding the timing, likelihood and expected benefits of, and the potential value created by, the recently completed Merger with Legacy Decoy, and the execution of our related integration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maintain the listing of our common stock on Nasdaq, including specifically our ability to continue to comply with the minimum $2.5 million stockholders’ equity requirement and the conditions of the Mandatory Panel Monitor, and the effect of any noncompliance on the liquidity and trading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whether and when the milestone events applicable to the milestone-based Series A and Series C warrants will be achieved;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successfully manage our cash and cash equivalents and any anticipated proceeds from financing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acquire sufficient sources of funding if and when needed, and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plans, strategies and objectives of management for future operations, including the execution of our integration plans and the anticipated timing of filings and of the commencement of preclinical studies or clinical trials of our current and future product candidates, including the timing of our planned regulatory communications, submissions and approvals and the release of data from such studies or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financial performance, and 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belief regarding the sufficiency of our cash resources, and our liquidity position and the expected sufficiency of that position for our anticipated operating and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plans to develop and commercialize our product candidates, including planned preclinical, clinical, regulatory, commercialization and manufacturing activities, and our expectations regarding the scope of any approved indication for any product candidate,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use of artificial intelligence and machine learning to identify and develop current and future product candidates, and the risks associated with the use of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attraction and retention of highly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protect and enhance our products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developments and projections relating to our competitors and our industry, and future regulatory, judicial and legislative changes affecting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relationships and actions with third parties; and</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anticipated use of the net proceeds, if any, that we may receive upon the exercise of the New Warrants.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forward-looking statements in this prospectus and the documents incorporated by reference herein are subject to known and unknown risks, uncertainties and assumptions, including those described under “Risk Factors” in this prospectus and the risks set forth under Item 1A of our Annual Report on Form 10-K for the fiscal year ended December 31, 2025, as amended, as supplemented by Part II, Item 1A of our Quarterly Reports on Form 10-Q for the quarters ended March 31, 2026 and June 30, 2026, each of which is incorporated by reference herein, and the other documents incorporated by reference herein, that could cause our actual results to differ materially from those expressed or implied by these forward-looking statements. These forward-looking statements speak only as of the date of this prospectus or, in the case of forward-looking statements contained in any document incorporated by reference herein, as of the date of that document. Except as required by law, we undertake no obligation to update or revise publicly any forward-looking statement, whether as a result of new information, future events or otherwise.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2"/>
        </w:rPr>
      </w:pPr>
      <w:bookmarkStart w:id="7" w:name="use_of_proceeds"/>
      <w:bookmarkEnd w:id="7"/>
      <w:r>
        <w:rPr>
          <w:rFonts w:ascii="Times New Roman" w:hAnsi="Times New Roman"/>
          <w:color w:val="000000"/>
          <w:sz w:val="22"/>
        </w:rPr>
        <w:t>USE OF PROCEEDS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of shares of our common stock that may be offered and sold from time to time by the selling stockholder. We will not receive any proceeds from the resale of shares of common stock by the selling stockholder.</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receive proceeds from any exercise of the New Warrants for cash. If all of the New Warrants were exercised for cash in full, we would receive aggregate gross proceeds of approximately $7.7 million from the exercise of the New Warrants (at an exercise price of $3.25 per share). We cannot predict when or whether any New Warrants will be exercised, and the New Warrants may be exercised on a cashless basis under the circumstances specified in the New Warrants, in which case we would not receive any cash proceeds upon exercise. We intend to use any net proceeds we receive from the cash exercise of the New Warrants for working capital and general corporate purposes.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2"/>
        </w:rPr>
      </w:pPr>
      <w:bookmarkStart w:id="8" w:name="market_information_determination"/>
      <w:bookmarkEnd w:id="8"/>
      <w:r>
        <w:rPr>
          <w:rFonts w:ascii="Times New Roman" w:hAnsi="Times New Roman"/>
          <w:color w:val="000000"/>
          <w:sz w:val="22"/>
        </w:rPr>
        <w:t xml:space="preserve">MARKET </w:t>
      </w:r>
      <w:r>
        <w:rPr>
          <w:rFonts w:ascii="Times New Roman" w:hAnsi="Times New Roman"/>
          <w:caps/>
          <w:color w:val="000000"/>
          <w:sz w:val="22"/>
        </w:rPr>
        <w:t>Information</w:t>
      </w:r>
      <w:r>
        <w:rPr>
          <w:rFonts w:ascii="Times New Roman" w:hAnsi="Times New Roman"/>
          <w:color w:val="000000"/>
          <w:sz w:val="22"/>
        </w:rPr>
        <w:t xml:space="preserve">, </w:t>
      </w:r>
      <w:r>
        <w:rPr>
          <w:rFonts w:ascii="Times New Roman" w:hAnsi="Times New Roman"/>
          <w:caps/>
          <w:color w:val="000000"/>
          <w:sz w:val="22"/>
        </w:rPr>
        <w:t>Determination of Offering Price</w:t>
      </w:r>
      <w:r>
        <w:rPr>
          <w:rFonts w:ascii="Times New Roman" w:hAnsi="Times New Roman"/>
          <w:color w:val="000000"/>
          <w:sz w:val="22"/>
        </w:rPr>
        <w:t xml:space="preserve"> AND DIVIDEND INFORMATION</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Market Price and Determination of Offering Price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common stock is listed on the Nasdaq Capital Market under the symbol “DCOY.” Prior to January 8, 2026, our common stock traded on Nasdaq under the symbol “SLRX.”</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On October 6, 2026, the last reported sale price of our common stock on Nasdaq was $1.55 per share.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will determine at what price(s) it may sell the shares of common stock, and such sales may be made at prevailing market prices, or at privately negotiated prices.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Holders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As of October 6, 2026, we had approximately 21 holders of record of our common stock. Because many of our shares of common stock are held by brokers and other institutions on behalf of stockholders, this number is not representative of the number of beneficial holders of our common stock or the total number of stockholders.</w:t>
      </w:r>
    </w:p>
    <w:p>
      <w:pPr>
        <w:pStyle w:val="TextBody"/>
        <w:bidi w:val="0"/>
        <w:spacing w:before="200" w:after="283"/>
        <w:jc w:val="left"/>
        <w:rPr>
          <w:rFonts w:ascii="Times New Roman" w:hAnsi="Times New Roman"/>
          <w:sz w:val="22"/>
        </w:rPr>
      </w:pPr>
      <w:r>
        <w:rPr>
          <w:rFonts w:ascii="Times New Roman" w:hAnsi="Times New Roman"/>
          <w:b/>
          <w:color w:val="000000"/>
          <w:sz w:val="22"/>
        </w:rPr>
        <w:t>Dividend Policy</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never declared or paid any cash dividends on our common stock and do not anticipate paying any cash dividends in the foreseeable future. We currently intend to retain all available funds and any future earnings, if any, to fund the development and growth of our business. Any future determination to declare and pay cash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deems relevant.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9" w:name="the_private_placement"/>
      <w:bookmarkEnd w:id="9"/>
      <w:r>
        <w:rPr>
          <w:rFonts w:ascii="Times New Roman" w:hAnsi="Times New Roman"/>
          <w:color w:val="000000"/>
          <w:sz w:val="22"/>
        </w:rPr>
        <w:t>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September 22, 2026, we entered into the Inducement Letter with the Purchaser, pursuant to which the Purchaser agreed to exercise for cash, in full, the Existing Series B Warrants to purchase an aggregate of 1,184,434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Pursuant to the Inducement Letter, we agreed to reduce the exercise price of the Existing Series B Warrants from $5.91 per share to $3.25 per share. In connection with the transaction, the exercise price of outstanding milestone-based Series A and Series C common warrants was also reduced from $5.91 per share to $3.25 per share. The Existing Series B Warrants were exercised in full on September 22, 2026, and the transaction closed on September 23, 2026, resulting in aggregate gross proceeds of approximately $3.85 million, before deducting expenses.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As consideration for the immediate exercise of the Existing Series B Warrants, on September 23, 2026, we issued to the Purchaser New Warrants to purchase up to 2,368,868 shares of common stock, representing 200% of the number of shares underlying the exercised Existing Series B Warrants. The Purchaser is an institutional accredited investor, and the New Warrants were issued in a private placement pursuant to Section 4(a)(2) and Regulation D promulgated under the Securities Act.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New Warrants</w:t>
      </w:r>
    </w:p>
    <w:p>
      <w:pPr>
        <w:pStyle w:val="TextBody"/>
        <w:bidi w:val="0"/>
        <w:spacing w:before="200" w:after="283"/>
        <w:jc w:val="left"/>
        <w:rPr>
          <w:rFonts w:ascii="Times New Roman" w:hAnsi="Times New Roman"/>
          <w:sz w:val="20"/>
        </w:rPr>
      </w:pPr>
      <w:r>
        <w:rPr>
          <w:rFonts w:ascii="Times New Roman" w:hAnsi="Times New Roman"/>
          <w:color w:val="000000"/>
          <w:sz w:val="22"/>
        </w:rPr>
        <w:t>Each New Warrant has an exercise price of $3.25 per share, is exercisable immediately upon issuance and will expire on the fifth anniversary of the date of issuance. The New Warrants contain customary anti-dilution adjustments and may be exercised on a cashless basis in the event the Company fails to keep an active registration statement effective covering the shares underlying the New Warrants. The exercise price of each warrant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Beneficial Ownership Limitation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New Warrants may not be exercised to the extent that, after giving effect to the exercise, the holder, together with its affiliates and attribution parties, would beneficially own more than 4.99% of our outstanding common stock, which limitation the holder may adjust upon 61 days’ prior notice to us, subject to the maximum percentage set forth in the New Warrants. </w:t>
      </w:r>
    </w:p>
    <w:p>
      <w:pPr>
        <w:pStyle w:val="TextBody"/>
        <w:bidi w:val="0"/>
        <w:spacing w:before="200" w:after="283"/>
        <w:jc w:val="left"/>
        <w:rPr>
          <w:rFonts w:ascii="Times New Roman" w:hAnsi="Times New Roman"/>
          <w:sz w:val="22"/>
        </w:rPr>
      </w:pPr>
      <w:r>
        <w:rPr>
          <w:rFonts w:ascii="Times New Roman" w:hAnsi="Times New Roman"/>
          <w:b/>
          <w:i/>
          <w:color w:val="000000"/>
          <w:sz w:val="22"/>
        </w:rPr>
        <w:t>Transferability</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In accordance with its terms and subject to applicable laws, the New Warrants may be transferred at the option of the holder upon surrender of the New Warrants to us together with the appropriate instruments of transfer and payment of funds sufficient to pay any transfer taxes (if applicable).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Exchange Listing</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There is no established public trading market for the New Warrants that were issued in the Private Placement, and we do not expect a market to develop. We do not intend to apply for listing of the New Warrants on any securities exchange or other nationally recognized trading system. Without an active trading market, the liquidity of the New Warrants will be limited.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2"/>
        </w:rPr>
      </w:pPr>
      <w:r>
        <w:rPr>
          <w:rFonts w:ascii="Times New Roman" w:hAnsi="Times New Roman"/>
          <w:b/>
          <w:i/>
          <w:color w:val="000000"/>
          <w:sz w:val="22"/>
        </w:rPr>
        <w:t>Fundamental Transactions</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the event of any fundamental transaction, as described in the New Warrants and generally including any merger with or into another entity, sale of all or substantially all of our assets, tender offer or exchange offer, or reclassification of our common stock, then upon any subsequent exercise of a New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common stock for which the New Warrant is exercisable immediately prior to such event. In addition, in the event of a fundamental transaction, we or any successor entity will be required to purchase, at a holder’s option, exercisable at any time concurrently with or within 30 days after the consummation of the fundamental transaction (or, if later, the date of the public announcement of the applicable fundamental transaction), such holder’s New Warrants in an amount equal to the value of the remaining unexercised portion of such holder’s New Warrants, determined in accordance with the Black Scholes option pricing model as more particularly set forth in the New Warrants.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Rights as a Stockholder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Except as otherwise provided in the New Warrants or by virtue of such holder’s ownership of our common stock, the holder of a New Warrant does not have the rights or privileges of a holder of our common stock, including any voting rights, until the holder exercises the New Warrant.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Registration Rights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connection with the Private Placement, we entered into an Inducement Letter, pursuant to which we agreed to file a registration statement covering the resale of the shares of common stock issuable upon exercise of the New Warrants within 15 calendar days following the date of the Inducement Letter and to use commercially reasonable efforts to cause such registration statement to become effective within the periods set forth in the Inducement Letter. The resale of the shares of common stock issuable upon exercise of the Existing Series B Warrants has been registered pursuant to the Company’s effective registration statement on Form S-1 (File No. 333-297381). In the Inducement Letter, we also agreed, subject to certain exceptions, not to issue any shares of common stock or common stock equivalents, or file any registration statement, for 30 days following the date of the Inducement Letter, and, subject to certain exceptions, not to enter into any variable rate transaction until 180 days after the effective date of the resale registration statement covering the shares of common stock issuable upon exercise of the New Warrants. The registration statement of which this prospectus forms a part is being filed in part to satisfy our obligations under the Inducement Letter.</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foregoing summaries of the Inducement Letter and the New Warrants do not purport to be complete and are qualified in their entirety by reference to the full text of each such document, copies of which are filed as exhibits to, or incorporated by reference into, the registration statement of which this prospectus forms a part.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0" w:name="selling_stockholders"/>
      <w:bookmarkEnd w:id="10"/>
      <w:r>
        <w:rPr>
          <w:rFonts w:ascii="Times New Roman" w:hAnsi="Times New Roman"/>
          <w:color w:val="000000"/>
          <w:sz w:val="22"/>
        </w:rPr>
        <w:t>SELLING STOCKHOLDER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This prospectus relates to the possible resale from time to time by the selling stockholder of up to 2,368,868 shares of common stock issuable upon exercise of the New Warrants issued in the Private Placement. For additional information regarding the issuance of the New Warrants, see “The Private Placement” above. We are registering the shares of common stock in order to permit the selling stockholder to offer the shares for resale from time to time.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Except for the transactions contemplated by the Inducement Letter and New Warrants, and except as set forth below or in the documents incorporated by reference herein, the selling stockholder has not had any material relationship with us within the past three years.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table below presents information regarding the selling stockholder and the shares of common stock that it may offer from time to time under this prospectus. The number of shares in the column “Shares Beneficially Owned Prior to Offering” assumes the exercise in full of all New Warrants held by the selling stockholder as of the trading day immediately preceding the date this registration statement was initially filed with the SEC, without regard to any limitations on exercise. The number of shares in the column “Maximum Number of Shares of Common Stock to be Offered Pursuant to this Prospectus” represents all of the shares of common stock that the selling stockholder may offer under this prospectus, without giving effect to the beneficial ownership limitations contained in the New Warrants. The percentage of beneficial ownership is based on 2,385,282 shares of common stock outstanding as of October 6, 2026.</w:t>
      </w:r>
    </w:p>
    <w:p>
      <w:pPr>
        <w:pStyle w:val="TextBody"/>
        <w:bidi w:val="0"/>
        <w:jc w:val="left"/>
        <w:rPr>
          <w:rFonts w:ascii="Times New Roman" w:hAnsi="Times New Roman"/>
          <w:color w:val="000000"/>
          <w:sz w:val="22"/>
        </w:rPr>
      </w:pPr>
      <w:r>
        <w:rPr>
          <w:rFonts w:ascii="Times New Roman" w:hAnsi="Times New Roman"/>
          <w:color w:val="000000"/>
          <w:sz w:val="22"/>
        </w:rPr>
        <w:t>In accordance with the terms of the Inducement Letter with the selling stockholder, this prospectus generally covers the resale of the maximum number of shares of common stock issuable upon exercise of the related warrants, determined as if the outstanding New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Inducement Letter, without regard to any limitations on the exercise of the New Warrants. The fourth column assumes the sale of all of the shares offered by the selling stockholder pursuant to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the terms of the New Warrants, the selling stockholder may not exercise the New Warrants to the extent such exercise would cause such selling stockholder, together with its affiliates and attribution parties, to beneficially own a number of shares of common stock which would exceed 4.99% of our then outstanding common stock following such exercise, excluding for purposes of such determination shares of common stock issuable upon exercise of such New Warrants which have not been exercised. The number of shares in the columns below does not reflect this limitation. The selling stockholder may sell all, some or none of its shares in this offering. See “Plan of Distribution.”</w:t>
      </w:r>
    </w:p>
    <w:p>
      <w:pPr>
        <w:pStyle w:val="TextBody"/>
        <w:bidi w:val="0"/>
        <w:jc w:val="left"/>
        <w:rPr/>
      </w:pPr>
      <w:r>
        <w:rPr/>
        <w:t> </w:t>
      </w:r>
    </w:p>
    <w:p>
      <w:pPr>
        <w:pStyle w:val="TextBody"/>
        <w:bidi w:val="0"/>
        <w:jc w:val="left"/>
        <w:rPr/>
      </w:pPr>
      <w:r>
        <w:rPr/>
        <w:t> </w:t>
      </w:r>
    </w:p>
    <w:tbl>
      <w:tblPr>
        <w:tblW w:w="9381" w:type="dxa"/>
        <w:jc w:val="left"/>
        <w:tblInd w:w="0" w:type="dxa"/>
        <w:tblLayout w:type="fixed"/>
        <w:tblCellMar>
          <w:top w:w="28" w:type="dxa"/>
          <w:left w:w="28" w:type="dxa"/>
          <w:bottom w:w="28" w:type="dxa"/>
          <w:right w:w="28" w:type="dxa"/>
        </w:tblCellMar>
      </w:tblPr>
      <w:tblGrid>
        <w:gridCol w:w="3571"/>
        <w:gridCol w:w="1471"/>
        <w:gridCol w:w="1171"/>
        <w:gridCol w:w="1096"/>
        <w:gridCol w:w="1066"/>
        <w:gridCol w:w="1006"/>
      </w:tblGrid>
      <w:tr>
        <w:trPr/>
        <w:tc>
          <w:tcPr>
            <w:tcW w:w="35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Name of</w:t>
            </w:r>
          </w:p>
          <w:p>
            <w:pPr>
              <w:pStyle w:val="TableContents"/>
              <w:bidi w:val="0"/>
              <w:jc w:val="center"/>
              <w:rPr>
                <w:rFonts w:ascii="Times New Roman" w:hAnsi="Times New Roman"/>
                <w:b/>
                <w:color w:val="000000"/>
                <w:sz w:val="22"/>
              </w:rPr>
            </w:pPr>
            <w:r>
              <w:rPr>
                <w:rFonts w:ascii="Times New Roman" w:hAnsi="Times New Roman"/>
                <w:b/>
                <w:color w:val="000000"/>
                <w:sz w:val="22"/>
              </w:rPr>
              <w:t>Selling</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Stockholder</w:t>
            </w:r>
          </w:p>
        </w:tc>
        <w:tc>
          <w:tcPr>
            <w:tcW w:w="14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Beneficially</w:t>
            </w:r>
          </w:p>
          <w:p>
            <w:pPr>
              <w:pStyle w:val="TableContents"/>
              <w:bidi w:val="0"/>
              <w:jc w:val="center"/>
              <w:rPr>
                <w:rFonts w:ascii="Times New Roman" w:hAnsi="Times New Roman"/>
                <w:b/>
                <w:color w:val="000000"/>
                <w:sz w:val="22"/>
              </w:rPr>
            </w:pPr>
            <w:r>
              <w:rPr>
                <w:rFonts w:ascii="Times New Roman" w:hAnsi="Times New Roman"/>
                <w:b/>
                <w:color w:val="000000"/>
                <w:sz w:val="22"/>
              </w:rPr>
              <w:t>Owned Prior</w:t>
            </w:r>
          </w:p>
          <w:p>
            <w:pPr>
              <w:pStyle w:val="TableContents"/>
              <w:bidi w:val="0"/>
              <w:spacing w:before="0" w:after="283"/>
              <w:jc w:val="center"/>
              <w:rPr>
                <w:rFonts w:ascii="Times New Roman" w:hAnsi="Times New Roman"/>
                <w:sz w:val="22"/>
              </w:rPr>
            </w:pPr>
            <w:r>
              <w:rPr>
                <w:rFonts w:ascii="Times New Roman" w:hAnsi="Times New Roman"/>
                <w:b/>
                <w:color w:val="000000"/>
                <w:sz w:val="22"/>
              </w:rPr>
              <w:t>to Offering</w:t>
            </w:r>
            <w:r>
              <w:rPr>
                <w:rFonts w:ascii="Times New Roman" w:hAnsi="Times New Roman"/>
                <w:color w:val="000000"/>
                <w:sz w:val="22"/>
              </w:rPr>
              <w:t>(1)</w:t>
            </w:r>
          </w:p>
        </w:tc>
        <w:tc>
          <w:tcPr>
            <w:tcW w:w="1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 Prior to</w:t>
            </w:r>
          </w:p>
          <w:p>
            <w:pPr>
              <w:pStyle w:val="TableContents"/>
              <w:bidi w:val="0"/>
              <w:spacing w:before="0" w:after="283"/>
              <w:jc w:val="center"/>
              <w:rPr>
                <w:rFonts w:ascii="Times New Roman" w:hAnsi="Times New Roman"/>
                <w:sz w:val="22"/>
              </w:rPr>
            </w:pPr>
            <w:r>
              <w:rPr>
                <w:rFonts w:ascii="Times New Roman" w:hAnsi="Times New Roman"/>
                <w:b/>
                <w:color w:val="000000"/>
                <w:sz w:val="22"/>
              </w:rPr>
              <w:t>Offering</w:t>
            </w:r>
            <w:r>
              <w:rPr>
                <w:rFonts w:ascii="Times New Roman" w:hAnsi="Times New Roman"/>
                <w:color w:val="000000"/>
                <w:sz w:val="15"/>
              </w:rPr>
              <w:t>(2)</w:t>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Maximum</w:t>
            </w:r>
          </w:p>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Offered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Hereby</w:t>
            </w:r>
          </w:p>
        </w:tc>
        <w:tc>
          <w:tcPr>
            <w:tcW w:w="2072"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Number of</w:t>
            </w:r>
          </w:p>
          <w:p>
            <w:pPr>
              <w:pStyle w:val="TableContents"/>
              <w:bidi w:val="0"/>
              <w:jc w:val="center"/>
              <w:rPr>
                <w:rFonts w:ascii="Times New Roman" w:hAnsi="Times New Roman"/>
                <w:b/>
                <w:color w:val="000000"/>
                <w:sz w:val="22"/>
              </w:rPr>
            </w:pPr>
            <w:r>
              <w:rPr>
                <w:rFonts w:ascii="Times New Roman" w:hAnsi="Times New Roman"/>
                <w:b/>
                <w:color w:val="000000"/>
                <w:sz w:val="22"/>
              </w:rPr>
              <w:t>Shares of</w:t>
            </w:r>
          </w:p>
          <w:p>
            <w:pPr>
              <w:pStyle w:val="TableContents"/>
              <w:bidi w:val="0"/>
              <w:jc w:val="center"/>
              <w:rPr>
                <w:rFonts w:ascii="Times New Roman" w:hAnsi="Times New Roman"/>
                <w:b/>
                <w:color w:val="000000"/>
                <w:sz w:val="22"/>
              </w:rPr>
            </w:pPr>
            <w:r>
              <w:rPr>
                <w:rFonts w:ascii="Times New Roman" w:hAnsi="Times New Roman"/>
                <w:b/>
                <w:color w:val="000000"/>
                <w:sz w:val="22"/>
              </w:rPr>
              <w:t>Common Stock</w:t>
            </w:r>
          </w:p>
          <w:p>
            <w:pPr>
              <w:pStyle w:val="TableContents"/>
              <w:bidi w:val="0"/>
              <w:jc w:val="center"/>
              <w:rPr>
                <w:rFonts w:ascii="Times New Roman" w:hAnsi="Times New Roman"/>
                <w:b/>
                <w:color w:val="000000"/>
                <w:sz w:val="22"/>
              </w:rPr>
            </w:pPr>
            <w:r>
              <w:rPr>
                <w:rFonts w:ascii="Times New Roman" w:hAnsi="Times New Roman"/>
                <w:b/>
                <w:color w:val="000000"/>
                <w:sz w:val="22"/>
              </w:rPr>
              <w:t>Owned After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Offering</w:t>
            </w:r>
          </w:p>
        </w:tc>
      </w:tr>
      <w:tr>
        <w:trPr/>
        <w:tc>
          <w:tcPr>
            <w:tcW w:w="3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Number</w:t>
            </w:r>
            <w:r>
              <w:rPr>
                <w:rFonts w:ascii="Times New Roman" w:hAnsi="Times New Roman"/>
                <w:color w:val="000000"/>
                <w:sz w:val="15"/>
              </w:rPr>
              <w:t>(2)</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Percent</w:t>
            </w:r>
            <w:r>
              <w:rPr>
                <w:rFonts w:ascii="Times New Roman" w:hAnsi="Times New Roman"/>
                <w:color w:val="000000"/>
                <w:sz w:val="15"/>
              </w:rPr>
              <w:t>(2)</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Armistice Capital Master Fund Ltd.</w:t>
            </w:r>
            <w:r>
              <w:rPr>
                <w:rFonts w:ascii="Times New Roman" w:hAnsi="Times New Roman"/>
                <w:color w:val="000000"/>
                <w:sz w:val="15"/>
              </w:rPr>
              <w:t>(3)</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4,367,743</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64.68%</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2,368,868</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1,998,875</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29.6%</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4,367,743</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64.68%</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2,368,868</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1,998,875</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29.6%</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Represents the shares of common stock issuable upon exercise of the New Warrants held by the selling stockholder, without giving effect to the beneficial ownership limitations contained in the New Warrants.</w:t>
      </w:r>
    </w:p>
    <w:p>
      <w:pPr>
        <w:pStyle w:val="TextBody"/>
        <w:bidi w:val="0"/>
        <w:jc w:val="left"/>
        <w:rPr>
          <w:rFonts w:ascii="Times New Roman" w:hAnsi="Times New Roman"/>
          <w:color w:val="000000"/>
          <w:sz w:val="22"/>
        </w:rPr>
      </w:pPr>
      <w:r>
        <w:rPr>
          <w:rFonts w:ascii="Times New Roman" w:hAnsi="Times New Roman"/>
          <w:color w:val="000000"/>
          <w:sz w:val="22"/>
        </w:rPr>
        <w:t>(2) Assumes the sale of all shares of common stock offered hereby. Percentages are based on 2,385,282 shares of common stock outstanding as of October 6, 2026 and treat as outstanding the shares of common stock issuable upon exercise of the New Warrants held by the selling stockholder, in each case assuming exercise in full and without giving effect to the beneficial ownership limitations contained in the New Warrants. Beneficial ownership determined in accordance with Rule 13d-3 under the Exchange Act, which gives effect to those limitations and conditions, would be substantially lower. See footnotes (1) and (3).</w:t>
      </w:r>
    </w:p>
    <w:p>
      <w:pPr>
        <w:pStyle w:val="TextBody"/>
        <w:bidi w:val="0"/>
        <w:jc w:val="left"/>
        <w:rPr>
          <w:rFonts w:ascii="Times New Roman" w:hAnsi="Times New Roman"/>
          <w:color w:val="000000"/>
          <w:sz w:val="22"/>
        </w:rPr>
      </w:pPr>
      <w:r>
        <w:rPr>
          <w:rFonts w:ascii="Times New Roman" w:hAnsi="Times New Roman"/>
          <w:color w:val="000000"/>
          <w:sz w:val="22"/>
        </w:rPr>
        <w:t>(3)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1" w:name="plan_of_distribution"/>
      <w:bookmarkEnd w:id="11"/>
      <w:r>
        <w:rPr>
          <w:rFonts w:ascii="Times New Roman" w:hAnsi="Times New Roman"/>
          <w:color w:val="000000"/>
          <w:sz w:val="22"/>
        </w:rPr>
        <w:t>PLAN OF DISTRIBUTION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 of the securities covered by this prospectus and any of its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transactions through broker-dealers that agree with the selling stockholder to sell a specified number of such securities at a stipulated price per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may also sell securities under Rule 144 or any other exemption from registration under the Securities Act, if available, rather than under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its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securities by the selling stockholder or any other person. We will make copies of this prospectus available to the selling stockholder and have informed the selling stockholder of the need to deliver a copy of this prospectus to each purchaser at or prior to the time of the sale (including by compliance with Rule 172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currently listed on The Nasdaq Capital Market under the symbol “DCOY.”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2" w:name="mda"/>
      <w:bookmarkEnd w:id="12"/>
      <w:r>
        <w:rPr>
          <w:rFonts w:ascii="Times New Roman" w:hAnsi="Times New Roman"/>
          <w:color w:val="000000"/>
          <w:sz w:val="22"/>
        </w:rPr>
        <w:t>MANAGEMENT’S DISCUSSION AND ANALYSIS OF FINANCIAL CONDITION AND RESULTS OF OPERATIONS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discussion and analysis of financial condition and results of operations is incorporated by reference from Part II, Item 7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3" w:name="business"/>
      <w:bookmarkEnd w:id="13"/>
      <w:r>
        <w:rPr>
          <w:rFonts w:ascii="Times New Roman" w:hAnsi="Times New Roman"/>
          <w:color w:val="000000"/>
          <w:sz w:val="22"/>
        </w:rPr>
        <w:t>BUSINESS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business is incorporated by reference from Part I, Item 1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4" w:name="description_of_capital_stock"/>
      <w:bookmarkEnd w:id="14"/>
      <w:r>
        <w:rPr>
          <w:rFonts w:ascii="Times New Roman" w:hAnsi="Times New Roman"/>
          <w:color w:val="000000"/>
          <w:sz w:val="22"/>
        </w:rPr>
        <w:t>DESCRIPTION OF CAPITAL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 is offering for resale up to an aggregate of 2,368,868 shares of our common stock. The terms of our common stock are contained in our amended and restated certificate of incorporation, as amended (the “Amended and Restated Certificate of Incorporation”), and our second amended and restated bylaws, each as filed or incorporated by reference as exhibits to our Annual Report on Form 10-K for the fiscal year ended December 31, 2025, as amended. For a description of our common stock, see Exhibit 4.9—Description of The Company’s Securities Registered Under Section 12 of the Securities Exchange Act of 1934, As Amended, to our Annual Report on Form 10-K for the fiscal year ended December 31, 2025, filed with the SEC on March 31, 2026, as amended by Amendment No. 1 on Form 10-K/A filed with the SEC on April 30,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Amended and Restated Certificate of Incorporation authorizes the issuance of up to 100,000,000 shares of common stock, par value $0.0001 per share, and up to 10,000,000 shares of preferred stock, par value $0.0001 per share, of which we have designated (i) 877.709 shares of Series A Preferred Stock, 877.709 of which are issued and outstanding as of October 6, 2026; and (ii) 796.306 of our shares of Series B Preferred Stock, 796.306 of which are issued and outstanding as of October 6, 2026. As of October 6, 2026, we had 2,385,282 shares of common stock outstanding. The Series A Preferred Stock and Series B Preferred Stock are not convertible into common stock until our stockholders approve such conversion in accordance with Nasdaq Listing Rule 5635 and we satisfy the applicable Nasdaq initial listing requirements. Our board of directors may establish the rights and preferences of any additional series of preferred stock from time to time.</w:t>
      </w:r>
    </w:p>
    <w:p>
      <w:pPr>
        <w:pStyle w:val="Heading1"/>
        <w:bidi w:val="0"/>
        <w:spacing w:before="200" w:after="283"/>
        <w:jc w:val="center"/>
        <w:rPr>
          <w:rFonts w:ascii="Times New Roman" w:hAnsi="Times New Roman"/>
          <w:color w:val="000000"/>
          <w:sz w:val="22"/>
        </w:rPr>
      </w:pPr>
      <w:bookmarkStart w:id="15" w:name="directors_executive_officers_and_corpor"/>
      <w:bookmarkEnd w:id="15"/>
      <w:r>
        <w:rPr>
          <w:rFonts w:ascii="Times New Roman" w:hAnsi="Times New Roman"/>
          <w:color w:val="000000"/>
          <w:sz w:val="22"/>
        </w:rPr>
        <w:t>DIRECTORS, EXECUTIVE OFFICERS, AND CORPORATE GOVERNANCE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directors, executive officers and corporate governance is incorporated by reference from Part III, Item 10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6" w:name="executive_compensation"/>
      <w:bookmarkEnd w:id="16"/>
      <w:r>
        <w:rPr>
          <w:rFonts w:ascii="Times New Roman" w:hAnsi="Times New Roman"/>
          <w:color w:val="000000"/>
          <w:sz w:val="22"/>
        </w:rPr>
        <w:t>EXECUTIVE COMPENSATION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executive compensation is incorporated by reference from Part III, Item 11 of the Company’s Annual Report on Form 10-K, as filed with the SEC on March 31, 2026, as amended by Amendment No. 1 on Form 10-K/A, filed with the SEC on April 30, 2026 (see “Incorporation of Certain Information by Reference”).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2"/>
        </w:rPr>
      </w:pPr>
      <w:bookmarkStart w:id="17" w:name="security_ownership_of_certain_beneficial"/>
      <w:bookmarkEnd w:id="17"/>
      <w:r>
        <w:rPr>
          <w:rFonts w:ascii="Times New Roman" w:hAnsi="Times New Roman"/>
          <w:b/>
          <w:color w:val="000000"/>
          <w:sz w:val="22"/>
        </w:rPr>
        <w:t>SECURITY OWNERSHIP OF CERTAIN BENEFICIAL OWNERS AND MANAGEMENT AND RELATED STOCKHOLDER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the security ownership of certain beneficial owners and management and related stockholder matters is incorporated by reference from Part III, Item 12 of the Company’s Annual Report on Form 10-K, as filed with the SEC on March 31, 2026, as amended by Amendment No. 1 on Form 10-K/A, filed with the SEC on April 30, 2026 (see “Incorporation of Certain Information by Reference”).</w:t>
      </w:r>
    </w:p>
    <w:p>
      <w:pPr>
        <w:pStyle w:val="TextBody"/>
        <w:bidi w:val="0"/>
        <w:spacing w:before="200" w:after="283"/>
        <w:jc w:val="center"/>
        <w:rPr>
          <w:rFonts w:ascii="Times New Roman" w:hAnsi="Times New Roman"/>
          <w:sz w:val="22"/>
        </w:rPr>
      </w:pPr>
      <w:bookmarkStart w:id="18" w:name="certain_relationships_and_related"/>
      <w:bookmarkEnd w:id="18"/>
      <w:r>
        <w:rPr>
          <w:rFonts w:ascii="Times New Roman" w:hAnsi="Times New Roman"/>
          <w:b/>
          <w:color w:val="000000"/>
          <w:sz w:val="22"/>
        </w:rPr>
        <w:t>CERTAIN RELATIONSHIPS AND</w:t>
      </w:r>
      <w:r>
        <w:rPr>
          <w:rFonts w:ascii="Times New Roman" w:hAnsi="Times New Roman"/>
          <w:color w:val="000000"/>
          <w:sz w:val="22"/>
        </w:rPr>
        <w:t xml:space="preserve"> </w:t>
      </w:r>
      <w:r>
        <w:rPr>
          <w:rFonts w:ascii="Times New Roman" w:hAnsi="Times New Roman"/>
          <w:b/>
          <w:color w:val="000000"/>
          <w:sz w:val="22"/>
        </w:rPr>
        <w:t>RELATED TRANSACTIONS AND DIRECTOR INDEPENDENCE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certain relationships and related transactions and director independence is incorporated by reference from Part III, Item 13 of the Company’s Annual Report on Form 10-K, as filed with the SEC on March 31, 2026, as amended by Amendment No. 1 on Form 10-K/A, filed with the SEC on April 30, 2026 (see “Incorporation of Certain Information by Reference”).</w:t>
      </w:r>
    </w:p>
    <w:p>
      <w:pPr>
        <w:pStyle w:val="TextBody"/>
        <w:bidi w:val="0"/>
        <w:spacing w:before="200" w:after="283"/>
        <w:jc w:val="center"/>
        <w:rPr>
          <w:rFonts w:ascii="Times New Roman" w:hAnsi="Times New Roman"/>
          <w:b/>
          <w:color w:val="000000"/>
          <w:sz w:val="22"/>
        </w:rPr>
      </w:pPr>
      <w:bookmarkStart w:id="19" w:name="legal_matters"/>
      <w:bookmarkEnd w:id="19"/>
      <w:r>
        <w:rPr>
          <w:rFonts w:ascii="Times New Roman" w:hAnsi="Times New Roman"/>
          <w:b/>
          <w:color w:val="000000"/>
          <w:sz w:val="22"/>
        </w:rPr>
        <w:t>LEGAL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validity of the shares of common stock offered by this prospectus will be passed upon for us by Honigman LLP. </w:t>
      </w:r>
    </w:p>
    <w:p>
      <w:pPr>
        <w:pStyle w:val="TextBody"/>
        <w:bidi w:val="0"/>
        <w:spacing w:before="200" w:after="283"/>
        <w:jc w:val="center"/>
        <w:rPr>
          <w:rFonts w:ascii="Times New Roman" w:hAnsi="Times New Roman"/>
          <w:b/>
          <w:color w:val="000000"/>
          <w:sz w:val="22"/>
        </w:rPr>
      </w:pPr>
      <w:bookmarkStart w:id="20" w:name="experts"/>
      <w:bookmarkEnd w:id="20"/>
      <w:r>
        <w:rPr>
          <w:rFonts w:ascii="Times New Roman" w:hAnsi="Times New Roman"/>
          <w:b/>
          <w:color w:val="000000"/>
          <w:sz w:val="22"/>
        </w:rPr>
        <w:t>EXPERTS</w:t>
      </w:r>
    </w:p>
    <w:p>
      <w:pPr>
        <w:pStyle w:val="TextBody"/>
        <w:bidi w:val="0"/>
        <w:jc w:val="left"/>
        <w:rPr>
          <w:rFonts w:ascii="Times New Roman" w:hAnsi="Times New Roman"/>
          <w:color w:val="000000"/>
          <w:sz w:val="22"/>
        </w:rPr>
      </w:pPr>
      <w:r>
        <w:rPr>
          <w:rFonts w:ascii="Times New Roman" w:hAnsi="Times New Roman"/>
          <w:color w:val="000000"/>
          <w:sz w:val="22"/>
        </w:rPr>
        <w:t xml:space="preserve">Ernst &amp; Young LLP, independent registered public accounting firm, has audited our consolidated financial statements included in our Annual Report on Form 10-K for the year ended December 31, 2025, as set forth in their report thereon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200" w:after="283"/>
        <w:jc w:val="center"/>
        <w:rPr>
          <w:rFonts w:ascii="Times New Roman" w:hAnsi="Times New Roman"/>
          <w:sz w:val="22"/>
        </w:rPr>
      </w:pPr>
      <w:bookmarkStart w:id="21" w:name="where_you_can_find_more"/>
      <w:bookmarkEnd w:id="21"/>
      <w:r>
        <w:rPr>
          <w:rFonts w:ascii="Times New Roman" w:hAnsi="Times New Roman"/>
          <w:b/>
          <w:color w:val="000000"/>
          <w:sz w:val="22"/>
        </w:rPr>
        <w:t>WHERE YOU CAN</w:t>
      </w:r>
      <w:r>
        <w:rPr>
          <w:rFonts w:ascii="Times New Roman" w:hAnsi="Times New Roman"/>
          <w:color w:val="000000"/>
          <w:sz w:val="22"/>
        </w:rPr>
        <w:t xml:space="preserve"> </w:t>
      </w:r>
      <w:r>
        <w:rPr>
          <w:rFonts w:ascii="Times New Roman" w:hAnsi="Times New Roman"/>
          <w:b/>
          <w:color w:val="000000"/>
          <w:sz w:val="22"/>
        </w:rPr>
        <w:t>FIND MORE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file annual, quarterly and current reports, proxy statements and other information with the SEC. The SEC maintains a website at www.sec.gov that contains reports, proxy and information statements, and other information regarding issuers that file electronically with the SEC. We also maintain a website at www.decoytx.com. Information on, or accessible through, our website is not part of this prospectus. We have filed with the SEC a registration statement on Form S-1 under the Securities Act with respect to the shares of common stock offered by this prospectus. This prospectus does not contain all of the information set forth in the registration statement and its exhibits and schedules. For further information, we refer you to the registration statement and its exhibits and schedules.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2" w:name="incorporation_of_certain_information"/>
      <w:bookmarkEnd w:id="22"/>
      <w:r>
        <w:rPr>
          <w:rFonts w:ascii="Times New Roman" w:hAnsi="Times New Roman"/>
          <w:color w:val="000000"/>
          <w:sz w:val="22"/>
        </w:rPr>
        <w:t>INCORPORATION OF CERTAIN INFORMATION BY REFERENCE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SEC allows us to “incorporate by reference” into this prospectus the information in other documents that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information furnished and not filed) after the date of the initial registration statement and prior to effectiveness, and after the date of this prospectus and prior to the termination of the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2"/>
        </w:rPr>
      </w:pPr>
      <w:r>
        <w:rPr>
          <w:rFonts w:ascii="Times New Roman" w:hAnsi="Times New Roman"/>
          <w:color w:val="000000"/>
          <w:sz w:val="22"/>
        </w:rPr>
        <w:t xml:space="preserve">our Annual Report on Form 10-K for the fiscal year ended December 31, 2025, filed with the SEC on </w:t>
      </w:r>
      <w:r>
        <w:rPr>
          <w:rFonts w:ascii="Times New Roman" w:hAnsi="Times New Roman"/>
          <w:color w:val="0000FF"/>
          <w:sz w:val="22"/>
        </w:rPr>
        <w:t>March 31, 2026</w:t>
      </w:r>
      <w:r>
        <w:rPr>
          <w:rFonts w:ascii="Times New Roman" w:hAnsi="Times New Roman"/>
          <w:color w:val="000000"/>
          <w:sz w:val="22"/>
        </w:rPr>
        <w:t xml:space="preserve">, as amended by Amendment No. 1 on Form 10-K/A filed with the SEC on </w:t>
      </w:r>
      <w:r>
        <w:rPr>
          <w:rFonts w:ascii="Times New Roman" w:hAnsi="Times New Roman"/>
          <w:color w:val="0000FF"/>
          <w:sz w:val="22"/>
        </w:rPr>
        <w:t>April 30, 2026</w:t>
      </w:r>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2"/>
        </w:rPr>
      </w:pPr>
      <w:r>
        <w:rPr>
          <w:rFonts w:ascii="Times New Roman" w:hAnsi="Times New Roman"/>
          <w:color w:val="000000"/>
          <w:sz w:val="22"/>
        </w:rPr>
        <w:t xml:space="preserve">our Quarterly Reports on Form 10-Q for the quarter ended </w:t>
      </w:r>
      <w:r>
        <w:rPr>
          <w:rFonts w:ascii="Times New Roman" w:hAnsi="Times New Roman"/>
          <w:color w:val="0000FF"/>
          <w:sz w:val="22"/>
        </w:rPr>
        <w:t>March 31, 2026</w:t>
      </w:r>
      <w:r>
        <w:rPr>
          <w:rFonts w:ascii="Times New Roman" w:hAnsi="Times New Roman"/>
          <w:color w:val="000000"/>
          <w:sz w:val="22"/>
        </w:rPr>
        <w:t xml:space="preserve">, filed with the SEC on May 8, 2026, and the quarter ended </w:t>
      </w:r>
      <w:r>
        <w:rPr>
          <w:rFonts w:ascii="Times New Roman" w:hAnsi="Times New Roman"/>
          <w:color w:val="0000FF"/>
          <w:sz w:val="22"/>
        </w:rPr>
        <w:t>June 30, 2026</w:t>
      </w:r>
      <w:r>
        <w:rPr>
          <w:rFonts w:ascii="Times New Roman" w:hAnsi="Times New Roman"/>
          <w:color w:val="000000"/>
          <w:sz w:val="22"/>
        </w:rPr>
        <w:t>, filed with the SEC on August 12,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2"/>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r>
        <w:rPr>
          <w:rFonts w:ascii="Times New Roman" w:hAnsi="Times New Roman"/>
          <w:color w:val="0000FF"/>
          <w:sz w:val="22"/>
        </w:rPr>
        <w:t>January 2, 2026</w:t>
      </w:r>
      <w:r>
        <w:rPr>
          <w:rFonts w:ascii="Times New Roman" w:hAnsi="Times New Roman"/>
          <w:color w:val="000000"/>
          <w:sz w:val="22"/>
        </w:rPr>
        <w:t xml:space="preserve">, </w:t>
      </w:r>
      <w:r>
        <w:rPr>
          <w:rFonts w:ascii="Times New Roman" w:hAnsi="Times New Roman"/>
          <w:color w:val="0000FF"/>
          <w:sz w:val="22"/>
        </w:rPr>
        <w:t>January 2, 2026</w:t>
      </w:r>
      <w:r>
        <w:rPr>
          <w:rFonts w:ascii="Times New Roman" w:hAnsi="Times New Roman"/>
          <w:color w:val="000000"/>
          <w:sz w:val="22"/>
        </w:rPr>
        <w:t xml:space="preserve">, </w:t>
      </w:r>
      <w:r>
        <w:rPr>
          <w:rFonts w:ascii="Times New Roman" w:hAnsi="Times New Roman"/>
          <w:color w:val="0000FF"/>
          <w:sz w:val="22"/>
        </w:rPr>
        <w:t>January 8, 2026</w:t>
      </w:r>
      <w:r>
        <w:rPr>
          <w:rFonts w:ascii="Times New Roman" w:hAnsi="Times New Roman"/>
          <w:color w:val="000000"/>
          <w:sz w:val="22"/>
        </w:rPr>
        <w:t xml:space="preserve">, </w:t>
      </w:r>
      <w:r>
        <w:rPr>
          <w:rFonts w:ascii="Times New Roman" w:hAnsi="Times New Roman"/>
          <w:color w:val="0000FF"/>
          <w:sz w:val="22"/>
        </w:rPr>
        <w:t>February 25, 2026</w:t>
      </w:r>
      <w:r>
        <w:rPr>
          <w:rFonts w:ascii="Times New Roman" w:hAnsi="Times New Roman"/>
          <w:color w:val="000000"/>
          <w:sz w:val="22"/>
        </w:rPr>
        <w:t xml:space="preserve">, </w:t>
      </w:r>
      <w:r>
        <w:rPr>
          <w:rFonts w:ascii="Times New Roman" w:hAnsi="Times New Roman"/>
          <w:color w:val="0000FF"/>
          <w:sz w:val="22"/>
        </w:rPr>
        <w:t>March 5, 2026</w:t>
      </w:r>
      <w:r>
        <w:rPr>
          <w:rFonts w:ascii="Times New Roman" w:hAnsi="Times New Roman"/>
          <w:color w:val="000000"/>
          <w:sz w:val="22"/>
        </w:rPr>
        <w:t xml:space="preserve">, </w:t>
      </w:r>
      <w:r>
        <w:rPr>
          <w:rFonts w:ascii="Times New Roman" w:hAnsi="Times New Roman"/>
          <w:color w:val="0000FF"/>
          <w:sz w:val="22"/>
        </w:rPr>
        <w:t>April 2, 2026</w:t>
      </w:r>
      <w:r>
        <w:rPr>
          <w:rFonts w:ascii="Times New Roman" w:hAnsi="Times New Roman"/>
          <w:color w:val="000000"/>
          <w:sz w:val="22"/>
        </w:rPr>
        <w:t xml:space="preserve">, </w:t>
      </w:r>
      <w:r>
        <w:rPr>
          <w:rFonts w:ascii="Times New Roman" w:hAnsi="Times New Roman"/>
          <w:color w:val="0000FF"/>
          <w:sz w:val="22"/>
        </w:rPr>
        <w:t>May 19, 2026</w:t>
      </w:r>
      <w:r>
        <w:rPr>
          <w:rFonts w:ascii="Times New Roman" w:hAnsi="Times New Roman"/>
          <w:color w:val="000000"/>
          <w:sz w:val="22"/>
        </w:rPr>
        <w:t xml:space="preserve">, </w:t>
      </w:r>
      <w:r>
        <w:rPr>
          <w:rFonts w:ascii="Times New Roman" w:hAnsi="Times New Roman"/>
          <w:color w:val="0000FF"/>
          <w:sz w:val="22"/>
        </w:rPr>
        <w:t>June 29, 2026</w:t>
      </w:r>
      <w:r>
        <w:rPr>
          <w:rFonts w:ascii="Times New Roman" w:hAnsi="Times New Roman"/>
          <w:color w:val="000000"/>
          <w:sz w:val="22"/>
        </w:rPr>
        <w:t xml:space="preserve">, </w:t>
      </w:r>
      <w:r>
        <w:rPr>
          <w:rFonts w:ascii="Times New Roman" w:hAnsi="Times New Roman"/>
          <w:color w:val="0000FF"/>
          <w:sz w:val="22"/>
        </w:rPr>
        <w:t>July 15, 2026</w:t>
      </w:r>
      <w:r>
        <w:rPr>
          <w:rFonts w:ascii="Times New Roman" w:hAnsi="Times New Roman"/>
          <w:color w:val="000000"/>
          <w:sz w:val="22"/>
        </w:rPr>
        <w:t xml:space="preserve">, </w:t>
      </w:r>
      <w:r>
        <w:rPr>
          <w:rFonts w:ascii="Times New Roman" w:hAnsi="Times New Roman"/>
          <w:color w:val="0000FF"/>
          <w:sz w:val="22"/>
        </w:rPr>
        <w:t>September 15, 2026</w:t>
      </w:r>
      <w:r>
        <w:rPr>
          <w:rFonts w:ascii="Times New Roman" w:hAnsi="Times New Roman"/>
          <w:color w:val="000000"/>
          <w:sz w:val="22"/>
        </w:rPr>
        <w:t xml:space="preserve">, and </w:t>
      </w:r>
      <w:r>
        <w:rPr>
          <w:rFonts w:ascii="Times New Roman" w:hAnsi="Times New Roman"/>
          <w:color w:val="0000FF"/>
          <w:sz w:val="22"/>
        </w:rPr>
        <w:t>September 23, 2026</w:t>
      </w:r>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 xml:space="preserve">the description of our common stock contained in our Registration Statement on </w:t>
      </w:r>
      <w:r>
        <w:rPr>
          <w:rFonts w:ascii="Times New Roman" w:hAnsi="Times New Roman"/>
          <w:color w:val="0000FF"/>
          <w:sz w:val="24"/>
        </w:rPr>
        <w:t>Form 8-A</w:t>
      </w:r>
      <w:r>
        <w:rPr>
          <w:rFonts w:ascii="Times New Roman" w:hAnsi="Times New Roman"/>
          <w:color w:val="000000"/>
          <w:sz w:val="24"/>
        </w:rPr>
        <w:t xml:space="preserve"> filed on January 23, 2015, as updated by </w:t>
      </w:r>
      <w:r>
        <w:rPr>
          <w:rFonts w:ascii="Times New Roman" w:hAnsi="Times New Roman"/>
          <w:color w:val="0000FF"/>
          <w:sz w:val="24"/>
        </w:rPr>
        <w:t>Exhibit 4.9</w:t>
      </w:r>
      <w:r>
        <w:rPr>
          <w:rFonts w:ascii="Times New Roman" w:hAnsi="Times New Roman"/>
          <w:color w:val="000000"/>
          <w:sz w:val="24"/>
        </w:rPr>
        <w:t xml:space="preserve"> to the Registrant’s Annual Report on </w:t>
      </w:r>
      <w:r>
        <w:rPr>
          <w:rFonts w:ascii="Times New Roman" w:hAnsi="Times New Roman"/>
          <w:color w:val="0000FF"/>
          <w:sz w:val="24"/>
        </w:rPr>
        <w:t>Form 10-K</w:t>
      </w:r>
      <w:r>
        <w:rPr>
          <w:rFonts w:ascii="Times New Roman" w:hAnsi="Times New Roman"/>
          <w:color w:val="000000"/>
          <w:sz w:val="24"/>
        </w:rPr>
        <w:t xml:space="preserve"> for the fiscal year ended December 31, 2025, including any amendments or reports filed for the purpose of updating such description.</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You also may access the reports and documents incorporated by reference herein on our website at www.decoytx.com. We will also provide, without charge, to each person to whom a copy of this prospectus is delivered, including any beneficial owner, upon written or oral request, a copy of any or all of the documents incorporated by reference into this prospectus (other than exhibits, unless those exhibits are specifically incorporated by reference). Requests should be directed to Decoy Therapeutics Inc., 2450 Holcombe Blvd., Suite X, Houston, TX 77021, Attn: Corporate Secretary, (713) 913-5608.</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DECOY THERAPEUTICS INC.</w:t>
      </w:r>
    </w:p>
    <w:p>
      <w:pPr>
        <w:pStyle w:val="TextBody"/>
        <w:bidi w:val="0"/>
        <w:jc w:val="left"/>
        <w:rPr/>
      </w:pPr>
      <w:r>
        <w:rPr/>
        <w:t> </w:t>
      </w:r>
    </w:p>
    <w:p>
      <w:pPr>
        <w:pStyle w:val="TextBody"/>
        <w:bidi w:val="0"/>
        <w:jc w:val="center"/>
        <w:rPr/>
      </w:pPr>
      <w:r>
        <w:rPr/>
        <w:drawing>
          <wp:inline distT="0" distB="0" distL="0" distR="0">
            <wp:extent cx="3000375" cy="100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00375" cy="10096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Up to 2,368,868 Shares of Common Stock</w:t>
      </w:r>
    </w:p>
    <w:p>
      <w:pPr>
        <w:pStyle w:val="TextBody"/>
        <w:bidi w:val="0"/>
        <w:jc w:val="center"/>
        <w:rPr>
          <w:rFonts w:ascii="Times New Roman" w:hAnsi="Times New Roman"/>
          <w:b/>
          <w:color w:val="000000"/>
          <w:sz w:val="22"/>
        </w:rPr>
      </w:pPr>
      <w:r>
        <w:rPr>
          <w:rFonts w:ascii="Times New Roman" w:hAnsi="Times New Roman"/>
          <w:b/>
          <w:color w:val="000000"/>
          <w:sz w:val="22"/>
        </w:rPr>
        <w:t>Prospectus</w:t>
      </w:r>
    </w:p>
    <w:p>
      <w:pPr>
        <w:pStyle w:val="TextBody"/>
        <w:bidi w:val="0"/>
        <w:jc w:val="center"/>
        <w:rPr>
          <w:rFonts w:ascii="Times New Roman" w:hAnsi="Times New Roman"/>
          <w:b/>
          <w:color w:val="000000"/>
          <w:sz w:val="22"/>
        </w:rPr>
      </w:pPr>
      <w:r>
        <w:rPr>
          <w:rFonts w:ascii="Times New Roman" w:hAnsi="Times New Roman"/>
          <w:b/>
          <w:color w:val="000000"/>
          <w:sz w:val="22"/>
        </w:rPr>
        <w:t>October 16,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8687</Words>
  <Characters>46124</Characters>
  <CharactersWithSpaces>54561</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