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266700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39" w:lineRule="exact"/>
        <w:rPr>
          <w:sz w:val="24"/>
          <w:szCs w:val="24"/>
          <w:color w:val="auto"/>
        </w:rPr>
      </w:pPr>
    </w:p>
    <w:p>
      <w:pPr>
        <w:ind w:left="3860" w:right="1040" w:hanging="3737"/>
        <w:spacing w:after="0" w:line="273" w:lineRule="auto"/>
        <w:tabs>
          <w:tab w:leader="none" w:pos="1431" w:val="left"/>
        </w:tabs>
        <w:numPr>
          <w:ilvl w:val="0"/>
          <w:numId w:val="1"/>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6"/>
          <w:szCs w:val="16"/>
          <w:b w:val="1"/>
          <w:bCs w:val="1"/>
          <w:color w:val="auto"/>
        </w:rPr>
        <w:t>For the quarterly period ended March 31, 2023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ind w:left="4360" w:right="1040" w:hanging="4237"/>
        <w:spacing w:after="0" w:line="306" w:lineRule="auto"/>
        <w:tabs>
          <w:tab w:leader="none" w:pos="1418" w:val="left"/>
        </w:tabs>
        <w:numPr>
          <w:ilvl w:val="0"/>
          <w:numId w:val="2"/>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6"/>
          <w:szCs w:val="16"/>
          <w:b w:val="1"/>
          <w:bCs w:val="1"/>
          <w:color w:val="auto"/>
        </w:rPr>
        <w:t>For the Transition Period from to</w:t>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001-36812</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SALARIUS PHARMACEUTICALS,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37" w:lineRule="exact"/>
        <w:rPr>
          <w:sz w:val="24"/>
          <w:szCs w:val="24"/>
          <w:color w:val="auto"/>
        </w:rPr>
      </w:pPr>
    </w:p>
    <w:tbl>
      <w:tblPr>
        <w:tblLayout w:type="fixed"/>
        <w:tblInd w:w="2620" w:type="dxa"/>
        <w:tblCellMar>
          <w:top w:w="0" w:type="dxa"/>
          <w:left w:w="0" w:type="dxa"/>
          <w:bottom w:w="0" w:type="dxa"/>
          <w:right w:w="0" w:type="dxa"/>
        </w:tblCellMar>
      </w:tblPr>
      <w:tr>
        <w:trPr>
          <w:trHeight w:val="200"/>
        </w:trPr>
        <w:tc>
          <w:tcPr>
            <w:tcW w:w="3120" w:type="dxa"/>
            <w:vAlign w:val="bottom"/>
          </w:tcPr>
          <w:p>
            <w:pPr>
              <w:jc w:val="center"/>
              <w:ind w:right="1168"/>
              <w:spacing w:after="0"/>
              <w:rPr>
                <w:sz w:val="20"/>
                <w:szCs w:val="20"/>
                <w:color w:val="auto"/>
              </w:rPr>
            </w:pPr>
            <w:r>
              <w:rPr>
                <w:rFonts w:ascii="Arial" w:cs="Arial" w:eastAsia="Arial" w:hAnsi="Arial"/>
                <w:sz w:val="14"/>
                <w:szCs w:val="14"/>
                <w:b w:val="1"/>
                <w:bCs w:val="1"/>
                <w:color w:val="auto"/>
              </w:rPr>
              <w:t>Delaware</w:t>
            </w:r>
          </w:p>
        </w:tc>
        <w:tc>
          <w:tcPr>
            <w:tcW w:w="2660" w:type="dxa"/>
            <w:vAlign w:val="bottom"/>
          </w:tcPr>
          <w:p>
            <w:pPr>
              <w:jc w:val="center"/>
              <w:ind w:left="1168"/>
              <w:spacing w:after="0"/>
              <w:rPr>
                <w:sz w:val="20"/>
                <w:szCs w:val="20"/>
                <w:color w:val="auto"/>
              </w:rPr>
            </w:pPr>
            <w:r>
              <w:rPr>
                <w:rFonts w:ascii="Arial" w:cs="Arial" w:eastAsia="Arial" w:hAnsi="Arial"/>
                <w:sz w:val="14"/>
                <w:szCs w:val="14"/>
                <w:b w:val="1"/>
                <w:bCs w:val="1"/>
                <w:color w:val="auto"/>
              </w:rPr>
              <w:t>46-5087339</w:t>
            </w:r>
          </w:p>
        </w:tc>
      </w:tr>
      <w:tr>
        <w:trPr>
          <w:trHeight w:val="151"/>
        </w:trPr>
        <w:tc>
          <w:tcPr>
            <w:tcW w:w="3120" w:type="dxa"/>
            <w:vAlign w:val="bottom"/>
          </w:tcPr>
          <w:p>
            <w:pPr>
              <w:jc w:val="center"/>
              <w:ind w:right="1168"/>
              <w:spacing w:after="0" w:line="151" w:lineRule="exact"/>
              <w:rPr>
                <w:sz w:val="20"/>
                <w:szCs w:val="20"/>
                <w:color w:val="auto"/>
              </w:rPr>
            </w:pPr>
            <w:r>
              <w:rPr>
                <w:rFonts w:ascii="Arial" w:cs="Arial" w:eastAsia="Arial" w:hAnsi="Arial"/>
                <w:sz w:val="14"/>
                <w:szCs w:val="14"/>
                <w:color w:val="auto"/>
              </w:rPr>
              <w:t>(State or other jurisdiction of</w:t>
            </w:r>
          </w:p>
        </w:tc>
        <w:tc>
          <w:tcPr>
            <w:tcW w:w="2660" w:type="dxa"/>
            <w:vAlign w:val="bottom"/>
          </w:tcPr>
          <w:p>
            <w:pPr>
              <w:jc w:val="center"/>
              <w:ind w:left="1168"/>
              <w:spacing w:after="0" w:line="151" w:lineRule="exact"/>
              <w:rPr>
                <w:sz w:val="20"/>
                <w:szCs w:val="20"/>
                <w:color w:val="auto"/>
              </w:rPr>
            </w:pPr>
            <w:r>
              <w:rPr>
                <w:rFonts w:ascii="Arial" w:cs="Arial" w:eastAsia="Arial" w:hAnsi="Arial"/>
                <w:sz w:val="14"/>
                <w:szCs w:val="14"/>
                <w:color w:val="auto"/>
              </w:rPr>
              <w:t>(I.R.S. Employer</w:t>
            </w:r>
          </w:p>
        </w:tc>
      </w:tr>
      <w:tr>
        <w:trPr>
          <w:trHeight w:val="182"/>
        </w:trPr>
        <w:tc>
          <w:tcPr>
            <w:tcW w:w="3120" w:type="dxa"/>
            <w:vAlign w:val="bottom"/>
          </w:tcPr>
          <w:p>
            <w:pPr>
              <w:jc w:val="center"/>
              <w:ind w:right="1188"/>
              <w:spacing w:after="0"/>
              <w:rPr>
                <w:sz w:val="20"/>
                <w:szCs w:val="20"/>
                <w:color w:val="auto"/>
              </w:rPr>
            </w:pPr>
            <w:r>
              <w:rPr>
                <w:rFonts w:ascii="Arial" w:cs="Arial" w:eastAsia="Arial" w:hAnsi="Arial"/>
                <w:sz w:val="14"/>
                <w:szCs w:val="14"/>
                <w:color w:val="auto"/>
              </w:rPr>
              <w:t>incorporation or organization)</w:t>
            </w:r>
          </w:p>
        </w:tc>
        <w:tc>
          <w:tcPr>
            <w:tcW w:w="2660" w:type="dxa"/>
            <w:vAlign w:val="bottom"/>
          </w:tcPr>
          <w:p>
            <w:pPr>
              <w:jc w:val="center"/>
              <w:ind w:left="1168"/>
              <w:spacing w:after="0"/>
              <w:rPr>
                <w:sz w:val="20"/>
                <w:szCs w:val="20"/>
                <w:color w:val="auto"/>
              </w:rPr>
            </w:pPr>
            <w:r>
              <w:rPr>
                <w:rFonts w:ascii="Arial" w:cs="Arial" w:eastAsia="Arial" w:hAnsi="Arial"/>
                <w:sz w:val="14"/>
                <w:szCs w:val="14"/>
                <w:color w:val="auto"/>
              </w:rPr>
              <w:t>Identification Number)</w:t>
            </w:r>
          </w:p>
        </w:tc>
      </w:tr>
    </w:tbl>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2450 Holcombe Blvd., Suite X, Houston, TX 77021</w:t>
      </w:r>
    </w:p>
    <w:p>
      <w:pPr>
        <w:jc w:val="center"/>
        <w:ind w:right="-19"/>
        <w:spacing w:after="0"/>
        <w:rPr>
          <w:sz w:val="20"/>
          <w:szCs w:val="20"/>
          <w:color w:val="auto"/>
        </w:rPr>
      </w:pPr>
      <w:r>
        <w:rPr>
          <w:rFonts w:ascii="Arial" w:cs="Arial" w:eastAsia="Arial" w:hAnsi="Arial"/>
          <w:sz w:val="13"/>
          <w:szCs w:val="13"/>
          <w:color w:val="auto"/>
        </w:rPr>
        <w:t>(Address of principal executive offices)(Zip Code)</w:t>
      </w:r>
    </w:p>
    <w:p>
      <w:pPr>
        <w:spacing w:after="0" w:line="200" w:lineRule="exact"/>
        <w:rPr>
          <w:sz w:val="24"/>
          <w:szCs w:val="24"/>
          <w:color w:val="auto"/>
        </w:rPr>
      </w:pP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(832)804-9144</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63" w:lineRule="exact"/>
        <w:rPr>
          <w:sz w:val="24"/>
          <w:szCs w:val="24"/>
          <w:color w:val="auto"/>
        </w:rPr>
      </w:pPr>
    </w:p>
    <w:p>
      <w:pPr>
        <w:ind w:left="60"/>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-60960</wp:posOffset>
            </wp:positionV>
            <wp:extent cx="4174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337"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660" w:type="dxa"/>
            <w:vAlign w:val="bottom"/>
          </w:tcPr>
          <w:p>
            <w:pPr>
              <w:jc w:val="center"/>
              <w:spacing w:after="0"/>
              <w:rPr>
                <w:sz w:val="20"/>
                <w:szCs w:val="20"/>
                <w:color w:val="auto"/>
              </w:rPr>
            </w:pPr>
            <w:r>
              <w:rPr>
                <w:rFonts w:ascii="Arial" w:cs="Arial" w:eastAsia="Arial" w:hAnsi="Arial"/>
                <w:sz w:val="14"/>
                <w:szCs w:val="14"/>
                <w:color w:val="auto"/>
              </w:rPr>
              <w:t>Securities registered pursuant to Section 12(b) of the Act</w:t>
            </w:r>
          </w:p>
        </w:tc>
        <w:tc>
          <w:tcPr>
            <w:tcW w:w="1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80" w:type="dxa"/>
            <w:vAlign w:val="bottom"/>
          </w:tcPr>
          <w:p>
            <w:pPr>
              <w:spacing w:after="0"/>
              <w:rPr>
                <w:sz w:val="15"/>
                <w:szCs w:val="15"/>
                <w:color w:val="auto"/>
              </w:rPr>
            </w:pPr>
          </w:p>
        </w:tc>
      </w:tr>
      <w:tr>
        <w:trPr>
          <w:trHeight w:val="227"/>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9"/>
                <w:szCs w:val="19"/>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19"/>
                <w:szCs w:val="19"/>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5"/>
        </w:trPr>
        <w:tc>
          <w:tcPr>
            <w:tcW w:w="3660" w:type="dxa"/>
            <w:vAlign w:val="bottom"/>
          </w:tcPr>
          <w:p>
            <w:pPr>
              <w:jc w:val="center"/>
              <w:spacing w:after="0"/>
              <w:rPr>
                <w:sz w:val="20"/>
                <w:szCs w:val="20"/>
                <w:color w:val="auto"/>
              </w:rPr>
            </w:pPr>
            <w:r>
              <w:rPr>
                <w:rFonts w:ascii="Arial" w:cs="Arial" w:eastAsia="Arial" w:hAnsi="Arial"/>
                <w:sz w:val="14"/>
                <w:szCs w:val="14"/>
                <w:color w:val="auto"/>
              </w:rPr>
              <w:t>Common Stock, $0.0001 par value</w:t>
            </w:r>
          </w:p>
        </w:tc>
        <w:tc>
          <w:tcPr>
            <w:tcW w:w="100" w:type="dxa"/>
            <w:vAlign w:val="bottom"/>
          </w:tcPr>
          <w:p>
            <w:pPr>
              <w:spacing w:after="0"/>
              <w:rPr>
                <w:sz w:val="16"/>
                <w:szCs w:val="16"/>
                <w:color w:val="auto"/>
              </w:rPr>
            </w:pPr>
          </w:p>
        </w:tc>
        <w:tc>
          <w:tcPr>
            <w:tcW w:w="3340" w:type="dxa"/>
            <w:vAlign w:val="bottom"/>
          </w:tcPr>
          <w:p>
            <w:pPr>
              <w:jc w:val="center"/>
              <w:spacing w:after="0"/>
              <w:rPr>
                <w:sz w:val="20"/>
                <w:szCs w:val="20"/>
                <w:color w:val="auto"/>
              </w:rPr>
            </w:pPr>
            <w:r>
              <w:rPr>
                <w:rFonts w:ascii="Arial" w:cs="Arial" w:eastAsia="Arial" w:hAnsi="Arial"/>
                <w:sz w:val="14"/>
                <w:szCs w:val="14"/>
                <w:color w:val="auto"/>
              </w:rPr>
              <w:t>SLRX</w:t>
            </w:r>
          </w:p>
        </w:tc>
        <w:tc>
          <w:tcPr>
            <w:tcW w:w="140" w:type="dxa"/>
            <w:vAlign w:val="bottom"/>
          </w:tcPr>
          <w:p>
            <w:pPr>
              <w:spacing w:after="0"/>
              <w:rPr>
                <w:sz w:val="16"/>
                <w:szCs w:val="16"/>
                <w:color w:val="auto"/>
              </w:rPr>
            </w:pPr>
          </w:p>
        </w:tc>
        <w:tc>
          <w:tcPr>
            <w:tcW w:w="39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200" w:lineRule="exact"/>
        <w:rPr>
          <w:sz w:val="24"/>
          <w:szCs w:val="24"/>
          <w:color w:val="auto"/>
        </w:rPr>
      </w:pPr>
    </w:p>
    <w:p>
      <w:pPr>
        <w:spacing w:after="0" w:line="239" w:lineRule="exact"/>
        <w:rPr>
          <w:sz w:val="24"/>
          <w:szCs w:val="24"/>
          <w:color w:val="auto"/>
        </w:rPr>
      </w:pPr>
    </w:p>
    <w:p>
      <w:pPr>
        <w:ind w:right="100"/>
        <w:spacing w:after="0" w:line="19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 w:lineRule="exact"/>
        <w:rPr>
          <w:sz w:val="24"/>
          <w:szCs w:val="24"/>
          <w:color w:val="auto"/>
        </w:rPr>
      </w:pPr>
    </w:p>
    <w:p>
      <w:pPr>
        <w:ind w:right="660"/>
        <w:spacing w:after="0" w:line="19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 w:lineRule="exact"/>
        <w:rPr>
          <w:sz w:val="24"/>
          <w:szCs w:val="24"/>
          <w:color w:val="auto"/>
        </w:rPr>
      </w:pPr>
    </w:p>
    <w:p>
      <w:pPr>
        <w:ind w:right="460"/>
        <w:spacing w:after="0" w:line="26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20"/>
        <w:spacing w:after="0" w:line="161" w:lineRule="exact"/>
        <w:tabs>
          <w:tab w:leader="none" w:pos="1900" w:val="left"/>
          <w:tab w:leader="none" w:pos="2320" w:val="left"/>
          <w:tab w:leader="none" w:pos="3580" w:val="left"/>
          <w:tab w:leader="none" w:pos="4180" w:val="left"/>
          <w:tab w:leader="none" w:pos="5900" w:val="left"/>
          <w:tab w:leader="none" w:pos="6320" w:val="left"/>
          <w:tab w:leader="none" w:pos="8300" w:val="left"/>
          <w:tab w:leader="none" w:pos="8800" w:val="left"/>
          <w:tab w:leader="none" w:pos="107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94" w:lineRule="exact"/>
        <w:rPr>
          <w:sz w:val="24"/>
          <w:szCs w:val="24"/>
          <w:color w:val="auto"/>
        </w:rPr>
      </w:pPr>
    </w:p>
    <w:p>
      <w:pPr>
        <w:ind w:right="280"/>
        <w:spacing w:after="0" w:line="21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7"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293" w:lineRule="exact"/>
        <w:rPr>
          <w:sz w:val="24"/>
          <w:szCs w:val="24"/>
          <w:color w:val="auto"/>
        </w:rPr>
      </w:pPr>
    </w:p>
    <w:p>
      <w:pPr>
        <w:spacing w:after="0"/>
        <w:rPr>
          <w:sz w:val="20"/>
          <w:szCs w:val="20"/>
          <w:color w:val="auto"/>
        </w:rPr>
      </w:pPr>
      <w:r>
        <w:rPr>
          <w:rFonts w:ascii="Arial" w:cs="Arial" w:eastAsia="Arial" w:hAnsi="Arial"/>
          <w:sz w:val="14"/>
          <w:szCs w:val="14"/>
          <w:color w:val="auto"/>
        </w:rPr>
        <w:t>As of May 5, 2023, there were 2,491,428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60" w:type="dxa"/>
            <w:vAlign w:val="bottom"/>
            <w:gridSpan w:val="5"/>
          </w:tcPr>
          <w:p>
            <w:pPr>
              <w:ind w:left="200"/>
              <w:spacing w:after="0"/>
              <w:rPr>
                <w:sz w:val="20"/>
                <w:szCs w:val="20"/>
                <w:color w:val="auto"/>
              </w:rPr>
            </w:pPr>
            <w:r>
              <w:rPr>
                <w:rFonts w:ascii="Arial" w:cs="Arial" w:eastAsia="Arial" w:hAnsi="Arial"/>
                <w:sz w:val="14"/>
                <w:szCs w:val="14"/>
                <w:b w:val="1"/>
                <w:bCs w:val="1"/>
                <w:color w:val="auto"/>
              </w:rPr>
              <w:t>Page</w:t>
            </w:r>
          </w:p>
        </w:tc>
      </w:tr>
      <w:tr>
        <w:trPr>
          <w:trHeight w:val="482"/>
        </w:trPr>
        <w:tc>
          <w:tcPr>
            <w:tcW w:w="20" w:type="dxa"/>
            <w:vAlign w:val="bottom"/>
          </w:tcPr>
          <w:p>
            <w:pPr>
              <w:spacing w:after="0"/>
              <w:rPr>
                <w:sz w:val="24"/>
                <w:szCs w:val="24"/>
                <w:color w:val="auto"/>
              </w:rPr>
            </w:pPr>
          </w:p>
        </w:tc>
        <w:tc>
          <w:tcPr>
            <w:tcW w:w="6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5"/>
              </w:rPr>
              <w:t>PART I.</w:t>
            </w:r>
          </w:p>
        </w:tc>
        <w:tc>
          <w:tcPr>
            <w:tcW w:w="54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Financial Information</w:t>
            </w:r>
          </w:p>
        </w:tc>
        <w:tc>
          <w:tcPr>
            <w:tcW w:w="7200" w:type="dxa"/>
            <w:vAlign w:val="bottom"/>
            <w:gridSpan w:val="10"/>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1.</w:t>
            </w:r>
          </w:p>
        </w:tc>
        <w:tc>
          <w:tcPr>
            <w:tcW w:w="600" w:type="dxa"/>
            <w:vAlign w:val="bottom"/>
            <w:gridSpan w:val="4"/>
          </w:tcPr>
          <w:p>
            <w:pPr>
              <w:spacing w:after="0"/>
              <w:rPr>
                <w:sz w:val="18"/>
                <w:szCs w:val="18"/>
                <w:color w:val="auto"/>
              </w:rPr>
            </w:pPr>
          </w:p>
        </w:tc>
        <w:tc>
          <w:tcPr>
            <w:tcW w:w="420" w:type="dxa"/>
            <w:vAlign w:val="bottom"/>
          </w:tcPr>
          <w:p>
            <w:pPr>
              <w:spacing w:after="0"/>
              <w:rPr>
                <w:sz w:val="18"/>
                <w:szCs w:val="18"/>
                <w:color w:val="auto"/>
              </w:rPr>
            </w:pPr>
          </w:p>
        </w:tc>
        <w:tc>
          <w:tcPr>
            <w:tcW w:w="26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Financial Statements (Unaudited)</w:t>
            </w:r>
          </w:p>
        </w:tc>
        <w:tc>
          <w:tcPr>
            <w:tcW w:w="6200" w:type="dxa"/>
            <w:vAlign w:val="bottom"/>
            <w:gridSpan w:val="8"/>
          </w:tcPr>
          <w:p>
            <w:pPr>
              <w:spacing w:after="0"/>
              <w:rPr>
                <w:sz w:val="18"/>
                <w:szCs w:val="18"/>
                <w:color w:val="auto"/>
              </w:rPr>
            </w:pPr>
          </w:p>
        </w:tc>
        <w:tc>
          <w:tcPr>
            <w:tcW w:w="62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60" w:type="dxa"/>
            <w:vAlign w:val="bottom"/>
            <w:gridSpan w:val="15"/>
          </w:tcPr>
          <w:p>
            <w:pPr>
              <w:spacing w:after="0"/>
              <w:rPr>
                <w:sz w:val="20"/>
                <w:szCs w:val="20"/>
                <w:color w:val="auto"/>
              </w:rPr>
            </w:pPr>
            <w:r>
              <w:rPr>
                <w:rFonts w:ascii="Arial" w:cs="Arial" w:eastAsia="Arial" w:hAnsi="Arial"/>
                <w:sz w:val="18"/>
                <w:szCs w:val="18"/>
                <w:color w:val="0000FF"/>
              </w:rPr>
              <w:t>Condensed Consolidated Balance Sheets</w:t>
            </w:r>
          </w:p>
        </w:tc>
        <w:tc>
          <w:tcPr>
            <w:tcW w:w="72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6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Operations</w:t>
            </w:r>
          </w:p>
        </w:tc>
        <w:tc>
          <w:tcPr>
            <w:tcW w:w="720" w:type="dxa"/>
            <w:vAlign w:val="bottom"/>
            <w:gridSpan w:val="3"/>
          </w:tcPr>
          <w:p>
            <w:pPr>
              <w:jc w:val="right"/>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6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Cash Flows</w:t>
            </w:r>
          </w:p>
        </w:tc>
        <w:tc>
          <w:tcPr>
            <w:tcW w:w="720" w:type="dxa"/>
            <w:vAlign w:val="bottom"/>
            <w:gridSpan w:val="3"/>
          </w:tcPr>
          <w:p>
            <w:pPr>
              <w:jc w:val="right"/>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6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720" w:type="dxa"/>
            <w:vAlign w:val="bottom"/>
            <w:gridSpan w:val="3"/>
          </w:tcPr>
          <w:p>
            <w:pPr>
              <w:jc w:val="right"/>
              <w:spacing w:after="0"/>
              <w:rPr>
                <w:sz w:val="20"/>
                <w:szCs w:val="20"/>
                <w:color w:val="auto"/>
              </w:rPr>
            </w:pPr>
            <w:r>
              <w:rPr>
                <w:rFonts w:ascii="Arial" w:cs="Arial" w:eastAsia="Arial" w:hAnsi="Arial"/>
                <w:sz w:val="18"/>
                <w:szCs w:val="18"/>
                <w:color w:val="0000FF"/>
              </w:rPr>
              <w:t>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4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3820" w:type="dxa"/>
            <w:vAlign w:val="bottom"/>
            <w:gridSpan w:val="2"/>
          </w:tcPr>
          <w:p>
            <w:pPr>
              <w:spacing w:after="0"/>
              <w:rPr>
                <w:sz w:val="18"/>
                <w:szCs w:val="18"/>
                <w:color w:val="auto"/>
              </w:rPr>
            </w:pPr>
          </w:p>
        </w:tc>
        <w:tc>
          <w:tcPr>
            <w:tcW w:w="620" w:type="dxa"/>
            <w:vAlign w:val="bottom"/>
            <w:gridSpan w:val="2"/>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68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2.</w:t>
            </w:r>
          </w:p>
        </w:tc>
        <w:tc>
          <w:tcPr>
            <w:tcW w:w="600" w:type="dxa"/>
            <w:vAlign w:val="bottom"/>
            <w:gridSpan w:val="4"/>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rPr>
              <w:t>Item 3.</w:t>
            </w:r>
          </w:p>
        </w:tc>
        <w:tc>
          <w:tcPr>
            <w:tcW w:w="500" w:type="dxa"/>
            <w:vAlign w:val="bottom"/>
            <w:gridSpan w:val="2"/>
          </w:tcPr>
          <w:p>
            <w:pPr>
              <w:spacing w:after="0"/>
              <w:rPr>
                <w:sz w:val="19"/>
                <w:szCs w:val="19"/>
                <w:color w:val="auto"/>
              </w:rPr>
            </w:pPr>
          </w:p>
        </w:tc>
        <w:tc>
          <w:tcPr>
            <w:tcW w:w="420" w:type="dxa"/>
            <w:vAlign w:val="bottom"/>
          </w:tcPr>
          <w:p>
            <w:pPr>
              <w:spacing w:after="0"/>
              <w:rPr>
                <w:sz w:val="19"/>
                <w:szCs w:val="19"/>
                <w:color w:val="auto"/>
              </w:rPr>
            </w:pPr>
          </w:p>
        </w:tc>
        <w:tc>
          <w:tcPr>
            <w:tcW w:w="470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4180" w:type="dxa"/>
            <w:vAlign w:val="bottom"/>
            <w:gridSpan w:val="3"/>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0000FF"/>
              </w:rPr>
              <w:t>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4.</w:t>
            </w:r>
          </w:p>
        </w:tc>
        <w:tc>
          <w:tcPr>
            <w:tcW w:w="600" w:type="dxa"/>
            <w:vAlign w:val="bottom"/>
            <w:gridSpan w:val="4"/>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Controls and Procedures</w:t>
            </w:r>
          </w:p>
        </w:tc>
        <w:tc>
          <w:tcPr>
            <w:tcW w:w="6880" w:type="dxa"/>
            <w:vAlign w:val="bottom"/>
            <w:gridSpan w:val="9"/>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20"/>
        </w:trPr>
        <w:tc>
          <w:tcPr>
            <w:tcW w:w="20" w:type="dxa"/>
            <w:vAlign w:val="bottom"/>
          </w:tcPr>
          <w:p>
            <w:pPr>
              <w:spacing w:after="0"/>
              <w:rPr>
                <w:sz w:val="24"/>
                <w:szCs w:val="24"/>
                <w:color w:val="auto"/>
              </w:rPr>
            </w:pPr>
          </w:p>
        </w:tc>
        <w:tc>
          <w:tcPr>
            <w:tcW w:w="1160" w:type="dxa"/>
            <w:vAlign w:val="bottom"/>
            <w:gridSpan w:val="5"/>
          </w:tcPr>
          <w:p>
            <w:pPr>
              <w:spacing w:after="0"/>
              <w:rPr>
                <w:sz w:val="20"/>
                <w:szCs w:val="20"/>
                <w:color w:val="auto"/>
              </w:rPr>
            </w:pPr>
            <w:r>
              <w:rPr>
                <w:rFonts w:ascii="Arial" w:cs="Arial" w:eastAsia="Arial" w:hAnsi="Arial"/>
                <w:sz w:val="18"/>
                <w:szCs w:val="18"/>
                <w:color w:val="0000FF"/>
              </w:rPr>
              <w:t>PART II.</w:t>
            </w:r>
          </w:p>
        </w:tc>
        <w:tc>
          <w:tcPr>
            <w:tcW w:w="9300" w:type="dxa"/>
            <w:vAlign w:val="bottom"/>
            <w:gridSpan w:val="17"/>
          </w:tcPr>
          <w:p>
            <w:pPr>
              <w:ind w:left="420"/>
              <w:spacing w:after="0"/>
              <w:rPr>
                <w:sz w:val="20"/>
                <w:szCs w:val="20"/>
                <w:color w:val="auto"/>
              </w:rPr>
            </w:pPr>
            <w:r>
              <w:rPr>
                <w:rFonts w:ascii="Arial" w:cs="Arial" w:eastAsia="Arial" w:hAnsi="Arial"/>
                <w:sz w:val="18"/>
                <w:szCs w:val="18"/>
                <w:color w:val="0000FF"/>
              </w:rPr>
              <w:t>Other Information</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380" w:type="dxa"/>
            <w:vAlign w:val="bottom"/>
            <w:gridSpan w:val="11"/>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1.</w:t>
            </w:r>
          </w:p>
        </w:tc>
        <w:tc>
          <w:tcPr>
            <w:tcW w:w="100" w:type="dxa"/>
            <w:vAlign w:val="bottom"/>
            <w:gridSpan w:val="2"/>
          </w:tcPr>
          <w:p>
            <w:pPr>
              <w:spacing w:after="0"/>
              <w:rPr>
                <w:sz w:val="18"/>
                <w:szCs w:val="18"/>
                <w:color w:val="auto"/>
              </w:rPr>
            </w:pPr>
          </w:p>
        </w:tc>
        <w:tc>
          <w:tcPr>
            <w:tcW w:w="50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Legal Proceedings</w:t>
            </w:r>
          </w:p>
        </w:tc>
        <w:tc>
          <w:tcPr>
            <w:tcW w:w="7380" w:type="dxa"/>
            <w:vAlign w:val="bottom"/>
            <w:gridSpan w:val="11"/>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w w:val="98"/>
              </w:rPr>
              <w:t>Item 1A.</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80" w:type="dxa"/>
            <w:vAlign w:val="bottom"/>
            <w:gridSpan w:val="16"/>
          </w:tcPr>
          <w:p>
            <w:pPr>
              <w:spacing w:after="0"/>
              <w:rPr>
                <w:sz w:val="20"/>
                <w:szCs w:val="20"/>
                <w:color w:val="auto"/>
              </w:rPr>
            </w:pPr>
            <w:r>
              <w:rPr>
                <w:rFonts w:ascii="Arial" w:cs="Arial" w:eastAsia="Arial" w:hAnsi="Arial"/>
                <w:sz w:val="18"/>
                <w:szCs w:val="18"/>
                <w:color w:val="0000FF"/>
              </w:rPr>
              <w:t>Risk Factors</w:t>
            </w:r>
          </w:p>
        </w:tc>
        <w:tc>
          <w:tcPr>
            <w:tcW w:w="720" w:type="dxa"/>
            <w:vAlign w:val="bottom"/>
            <w:gridSpan w:val="3"/>
          </w:tcPr>
          <w:p>
            <w:pPr>
              <w:jc w:val="right"/>
              <w:spacing w:after="0"/>
              <w:rPr>
                <w:sz w:val="20"/>
                <w:szCs w:val="20"/>
                <w:color w:val="auto"/>
              </w:rPr>
            </w:pPr>
            <w:r>
              <w:rPr>
                <w:rFonts w:ascii="Arial" w:cs="Arial" w:eastAsia="Arial" w:hAnsi="Arial"/>
                <w:sz w:val="18"/>
                <w:szCs w:val="18"/>
                <w:color w:val="0000FF"/>
              </w:rPr>
              <w:t>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8"/>
              </w:rPr>
              <w:t>Item 6.</w:t>
            </w:r>
          </w:p>
        </w:tc>
        <w:tc>
          <w:tcPr>
            <w:tcW w:w="120" w:type="dxa"/>
            <w:vAlign w:val="bottom"/>
            <w:tcBorders>
              <w:top w:val="single" w:sz="8" w:color="0000FF"/>
            </w:tcBorders>
            <w:gridSpan w:val="3"/>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8"/>
              </w:rPr>
              <w:t>Exhibits</w:t>
            </w:r>
          </w:p>
        </w:tc>
        <w:tc>
          <w:tcPr>
            <w:tcW w:w="360" w:type="dxa"/>
            <w:vAlign w:val="bottom"/>
            <w:tcBorders>
              <w:top w:val="single" w:sz="8" w:color="0000FF"/>
            </w:tcBorders>
          </w:tcPr>
          <w:p>
            <w:pPr>
              <w:spacing w:after="0"/>
              <w:rPr>
                <w:sz w:val="18"/>
                <w:szCs w:val="18"/>
                <w:color w:val="auto"/>
              </w:rPr>
            </w:pPr>
          </w:p>
        </w:tc>
        <w:tc>
          <w:tcPr>
            <w:tcW w:w="7880" w:type="dxa"/>
            <w:vAlign w:val="bottom"/>
            <w:gridSpan w:val="13"/>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160" w:type="dxa"/>
            <w:vAlign w:val="bottom"/>
            <w:gridSpan w:val="5"/>
          </w:tcPr>
          <w:p>
            <w:pPr>
              <w:spacing w:after="0"/>
              <w:rPr>
                <w:sz w:val="20"/>
                <w:szCs w:val="20"/>
                <w:color w:val="auto"/>
              </w:rPr>
            </w:pPr>
            <w:r>
              <w:rPr>
                <w:rFonts w:ascii="Arial" w:cs="Arial" w:eastAsia="Arial" w:hAnsi="Arial"/>
                <w:sz w:val="18"/>
                <w:szCs w:val="18"/>
                <w:color w:val="0000FF"/>
                <w:w w:val="97"/>
              </w:rPr>
              <w:t>SIGNATURES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0000FF"/>
              </w:rPr>
              <w:t>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243"/>
        </w:trPr>
        <w:tc>
          <w:tcPr>
            <w:tcW w:w="2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5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Various statements made in this Quarterly Report on Form 10-Q are forward-looking and involve risks and uncertainties. All statements that address activities, events or developments that we intend, expect or believe may occur in the future are forward-looking statements within the meaning of Section 27A of the Securities Act of 1933, as amended, and Section 21E of the Securities Exchange Act of 1934, as amended. Such statements give our current expectations or forecasts of future events and are not statements of historical or current facts. These statements include, among others, statements about:</w:t>
      </w:r>
    </w:p>
    <w:p>
      <w:pPr>
        <w:spacing w:after="0" w:line="224" w:lineRule="exact"/>
        <w:rPr>
          <w:sz w:val="20"/>
          <w:szCs w:val="20"/>
          <w:color w:val="auto"/>
        </w:rPr>
      </w:pPr>
    </w:p>
    <w:p>
      <w:pPr>
        <w:ind w:left="660" w:right="240" w:hanging="328"/>
        <w:spacing w:after="0" w:line="227"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Company's ability to continue as a going concern and its ability to obtain additional capital to support its operations beyond the fourth quarter of 2023;</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planned strategy;</w:t>
      </w:r>
    </w:p>
    <w:p>
      <w:pPr>
        <w:spacing w:after="0" w:line="1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Company's clinical trials, including expected costs, goals, timing and other expectations related thereto;</w:t>
      </w:r>
    </w:p>
    <w:p>
      <w:pPr>
        <w:spacing w:after="0" w:line="21" w:lineRule="exact"/>
        <w:rPr>
          <w:rFonts w:ascii="Arial" w:cs="Arial" w:eastAsia="Arial" w:hAnsi="Arial"/>
          <w:sz w:val="22"/>
          <w:szCs w:val="22"/>
          <w:color w:val="auto"/>
        </w:rPr>
      </w:pPr>
    </w:p>
    <w:p>
      <w:pPr>
        <w:ind w:left="660" w:hanging="328"/>
        <w:spacing w:after="0" w:line="242"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potential advantages of its lead compound, seclidemstat or SP-2577, as a treatment for Ewing sarcoma, and other cancers and its ability to improve the life of patients;</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potential for seclidemstat to target the epigenetic dysregulation underlying Ewing sarcoma and advanced solid tumors;</w:t>
      </w:r>
    </w:p>
    <w:p>
      <w:pPr>
        <w:spacing w:after="0" w:line="10" w:lineRule="exact"/>
        <w:rPr>
          <w:rFonts w:ascii="Arial" w:cs="Arial" w:eastAsia="Arial" w:hAnsi="Arial"/>
          <w:sz w:val="22"/>
          <w:szCs w:val="22"/>
          <w:color w:val="auto"/>
        </w:rPr>
      </w:pPr>
    </w:p>
    <w:p>
      <w:pPr>
        <w:ind w:left="660" w:right="740" w:hanging="328"/>
        <w:spacing w:after="0" w:line="234"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future of the company’s Phase 1/2 trial of seclidemstat as a treatment for Ewing sarcoma and FET-rearranged sarcomas following the FDA's conclusion that the clinical trial may be resumed;</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potential advantages of protein degraders including the value of SP-3164 as a cancer treatment;</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expected impact that the addition of new clinical sites will have on the development of the Company’s product candidates;</w:t>
      </w:r>
    </w:p>
    <w:p>
      <w:pPr>
        <w:spacing w:after="0" w:line="22" w:lineRule="exact"/>
        <w:rPr>
          <w:rFonts w:ascii="Arial" w:cs="Arial" w:eastAsia="Arial" w:hAnsi="Arial"/>
          <w:sz w:val="22"/>
          <w:szCs w:val="22"/>
          <w:color w:val="auto"/>
        </w:rPr>
      </w:pPr>
    </w:p>
    <w:p>
      <w:pPr>
        <w:ind w:left="660" w:hanging="328"/>
        <w:spacing w:after="0" w:line="235"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commercial or market opportunity and expansion for each therapeutic option, including the availability and value of a pediatric priority review voucher for in-clinic treatments and potential for accelerated approval;</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Company’s expectations as to revenue, cash flow, and expenses;</w:t>
      </w:r>
    </w:p>
    <w:p>
      <w:pPr>
        <w:spacing w:after="0" w:line="21" w:lineRule="exact"/>
        <w:rPr>
          <w:rFonts w:ascii="Arial" w:cs="Arial" w:eastAsia="Arial" w:hAnsi="Arial"/>
          <w:sz w:val="22"/>
          <w:szCs w:val="22"/>
          <w:color w:val="auto"/>
        </w:rPr>
      </w:pPr>
    </w:p>
    <w:p>
      <w:pPr>
        <w:ind w:left="660" w:hanging="328"/>
        <w:spacing w:after="0" w:line="242"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Company's liquidity position, the expected sufficiency of such position to support anticipated operating and capital requirements; and</w:t>
      </w:r>
    </w:p>
    <w:p>
      <w:pPr>
        <w:spacing w:after="0" w:line="22" w:lineRule="exact"/>
        <w:rPr>
          <w:rFonts w:ascii="Arial" w:cs="Arial" w:eastAsia="Arial" w:hAnsi="Arial"/>
          <w:sz w:val="22"/>
          <w:szCs w:val="22"/>
          <w:color w:val="auto"/>
        </w:rPr>
      </w:pPr>
    </w:p>
    <w:p>
      <w:pPr>
        <w:ind w:left="660" w:hanging="328"/>
        <w:spacing w:after="0" w:line="235"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ability of the Company to access additional financing under the Cancer Research Grant Contract with Cancer Prevention and Research Institute of Texas ("CPRIT").</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Forward-looking statements also include statements other than statements of current or historical fact,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We often, although not always, identify forward-looking statements by using words or phrases such as “believe,” “may,” “could,”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“will,” “estimate,” “continue,” “anticipate,” “intend,” “expect,” “indicate,” “seek,” “should,” “would,” “target”, “potential,” “evaluate,” “proceeding.”</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following are some of the factors that could cause actual results to differ materially from the anticipated results or other expectations expressed, anticipated or implied in our forward-looking statements:</w:t>
      </w:r>
    </w:p>
    <w:p>
      <w:pPr>
        <w:spacing w:after="0" w:line="18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i w:val="1"/>
          <w:iCs w:val="1"/>
          <w:color w:val="auto"/>
        </w:rPr>
      </w:pPr>
      <w:r>
        <w:rPr>
          <w:rFonts w:ascii="Arial" w:cs="Arial" w:eastAsia="Arial" w:hAnsi="Arial"/>
          <w:sz w:val="18"/>
          <w:szCs w:val="18"/>
          <w:i w:val="1"/>
          <w:iCs w:val="1"/>
          <w:color w:val="auto"/>
        </w:rPr>
        <w:t>Our ability to raise additional capital;</w:t>
      </w: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resume enrollment in the Phase 1/2 trial of seclidemstat following the clinical trial hold is removed;</w:t>
      </w:r>
    </w:p>
    <w:p>
      <w:pPr>
        <w:spacing w:after="0" w:line="13"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the effectiveness and timeliness of our preclinical studies and clinical trials, and the usefulness of the data;</w:t>
      </w:r>
    </w:p>
    <w:p>
      <w:pPr>
        <w:spacing w:after="0" w:line="21" w:lineRule="exact"/>
        <w:rPr>
          <w:rFonts w:ascii="Arial" w:cs="Arial" w:eastAsia="Arial" w:hAnsi="Arial"/>
          <w:sz w:val="22"/>
          <w:szCs w:val="22"/>
          <w:color w:val="auto"/>
        </w:rPr>
      </w:pPr>
    </w:p>
    <w:p>
      <w:pPr>
        <w:ind w:left="660" w:hanging="328"/>
        <w:spacing w:after="0" w:line="242" w:lineRule="auto"/>
        <w:tabs>
          <w:tab w:leader="none" w:pos="660" w:val="left"/>
        </w:tabs>
        <w:numPr>
          <w:ilvl w:val="0"/>
          <w:numId w:val="4"/>
        </w:numPr>
        <w:rPr>
          <w:rFonts w:ascii="Arial" w:cs="Arial" w:eastAsia="Arial" w:hAnsi="Arial"/>
          <w:sz w:val="22"/>
          <w:szCs w:val="22"/>
          <w:i w:val="1"/>
          <w:iCs w:val="1"/>
          <w:color w:val="auto"/>
        </w:rPr>
      </w:pPr>
      <w:r>
        <w:rPr>
          <w:rFonts w:ascii="Arial" w:cs="Arial" w:eastAsia="Arial" w:hAnsi="Arial"/>
          <w:sz w:val="18"/>
          <w:szCs w:val="18"/>
          <w:i w:val="1"/>
          <w:iCs w:val="1"/>
          <w:color w:val="auto"/>
        </w:rPr>
        <w:t>the adequacy of our capital to support our future operations and our ability to successfully initiate and complete clinical trials and regulatory submissions;</w:t>
      </w:r>
    </w:p>
    <w:p>
      <w:pPr>
        <w:spacing w:after="0" w:line="4" w:lineRule="exact"/>
        <w:rPr>
          <w:rFonts w:ascii="Arial" w:cs="Arial" w:eastAsia="Arial" w:hAnsi="Arial"/>
          <w:sz w:val="22"/>
          <w:szCs w:val="22"/>
          <w:i w:val="1"/>
          <w:iCs w:val="1"/>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fluctuations in our operating results;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the success of current and future license and collaboration agreements;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our dependence on contract research organizations, vendors and investigators;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effects of competition and other developments affecting development of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market acceptance of our product candidates;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protection of intellectual property and avoiding intellectual property infringement;</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product liability;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other factors described in our filings with the SEC.</w:t>
      </w:r>
    </w:p>
    <w:p>
      <w:pPr>
        <w:spacing w:after="0" w:line="2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cannot guarantee that the results and other expectations expressed, anticipated or implied in any forward-looking statement will be realized. The risks set forth under Item 1A of our Annual Report on Form 10-K for the fiscal year ended December 31, 2022, describe major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forward-looking statements speak only as of the dates on which they are made. We do not undertake any obligation to publicly update or revise our forward-looking statements even if experience or future changes makes it clear that any projected results expressed or implied in such statements will not be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93" w:lineRule="exact"/>
        <w:rPr>
          <w:sz w:val="20"/>
          <w:szCs w:val="20"/>
          <w:color w:val="auto"/>
        </w:rPr>
      </w:pPr>
    </w:p>
    <w:p>
      <w:pPr>
        <w:ind w:left="40"/>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3/31/2023</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12/31/2022</w:t>
            </w:r>
          </w:p>
        </w:tc>
      </w:tr>
      <w:tr>
        <w:trPr>
          <w:trHeight w:val="223"/>
        </w:trPr>
        <w:tc>
          <w:tcPr>
            <w:tcW w:w="7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rPr>
              <w:t>(Unaudited)</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(Audited)</w:t>
            </w:r>
          </w:p>
        </w:tc>
      </w:tr>
      <w:tr>
        <w:trPr>
          <w:trHeight w:val="24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9,273,682</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12,106,435</w:t>
            </w:r>
          </w:p>
        </w:tc>
      </w:tr>
      <w:tr>
        <w:trPr>
          <w:trHeight w:val="236"/>
        </w:trPr>
        <w:tc>
          <w:tcPr>
            <w:tcW w:w="7420" w:type="dxa"/>
            <w:vAlign w:val="bottom"/>
          </w:tcPr>
          <w:p>
            <w:pPr>
              <w:ind w:left="120"/>
              <w:spacing w:after="0"/>
              <w:rPr>
                <w:sz w:val="20"/>
                <w:szCs w:val="20"/>
                <w:color w:val="auto"/>
              </w:rPr>
            </w:pPr>
            <w:r>
              <w:rPr>
                <w:rFonts w:ascii="Arial" w:cs="Arial" w:eastAsia="Arial" w:hAnsi="Arial"/>
                <w:sz w:val="18"/>
                <w:szCs w:val="18"/>
                <w:color w:val="auto"/>
              </w:rPr>
              <w:t>Grants receivable from CPRIT</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130,000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1,610,490</w:t>
            </w:r>
          </w:p>
        </w:tc>
      </w:tr>
      <w:tr>
        <w:trPr>
          <w:trHeight w:val="236"/>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536,625</w:t>
            </w:r>
          </w:p>
        </w:tc>
        <w:tc>
          <w:tcPr>
            <w:tcW w:w="3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803,373</w:t>
            </w: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9,940,307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14,520,298</w:t>
            </w:r>
          </w:p>
        </w:tc>
      </w:tr>
      <w:tr>
        <w:trPr>
          <w:trHeight w:val="24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114,852</w:t>
            </w:r>
          </w:p>
        </w:tc>
        <w:tc>
          <w:tcPr>
            <w:tcW w:w="3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130,501</w:t>
            </w: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10,055,159</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14,650,799</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6"/>
        </w:trPr>
        <w:tc>
          <w:tcPr>
            <w:tcW w:w="74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36"/>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3,510,905</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2,858,330</w:t>
            </w:r>
          </w:p>
        </w:tc>
      </w:tr>
      <w:tr>
        <w:trPr>
          <w:trHeight w:val="230"/>
        </w:trPr>
        <w:tc>
          <w:tcPr>
            <w:tcW w:w="7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985,393</w:t>
            </w:r>
          </w:p>
        </w:tc>
        <w:tc>
          <w:tcPr>
            <w:tcW w:w="3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1,407,861</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4,496,298</w:t>
            </w:r>
          </w:p>
        </w:tc>
        <w:tc>
          <w:tcPr>
            <w:tcW w:w="3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4,266,191</w:t>
            </w:r>
          </w:p>
        </w:tc>
      </w:tr>
      <w:tr>
        <w:trPr>
          <w:trHeight w:val="196"/>
        </w:trPr>
        <w:tc>
          <w:tcPr>
            <w:tcW w:w="7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5)</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6"/>
        </w:trPr>
        <w:tc>
          <w:tcPr>
            <w:tcW w:w="7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4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Preferred stock, $0.0001 par value; 10,000,000 shares authorized; 0 issued and outstanding</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7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Common stock, $0.0001 par value; 100,000,000 shares authorized; 2,468,297 and</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89"/>
        </w:trPr>
        <w:tc>
          <w:tcPr>
            <w:tcW w:w="74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2,255,899 shares issued and outstanding at March 31, 2023 and December 31, 2022,</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74,704,536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74,189,531</w:t>
            </w:r>
          </w:p>
        </w:tc>
      </w:tr>
      <w:tr>
        <w:trPr>
          <w:trHeight w:val="24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(69,145,921)</w:t>
            </w:r>
          </w:p>
        </w:tc>
        <w:tc>
          <w:tcPr>
            <w:tcW w:w="3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(63,805,148)</w:t>
            </w: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5,558,861</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10,384,608</w:t>
            </w:r>
          </w:p>
        </w:tc>
      </w:tr>
      <w:tr>
        <w:trPr>
          <w:trHeight w:val="24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10,055,159</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14,650,799</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center"/>
        <w:ind w:left="2060" w:right="1180"/>
        <w:spacing w:after="0" w:line="287" w:lineRule="auto"/>
        <w:rPr>
          <w:sz w:val="20"/>
          <w:szCs w:val="20"/>
          <w:color w:val="auto"/>
        </w:rPr>
      </w:pPr>
      <w:r>
        <w:rPr>
          <w:rFonts w:ascii="Arial" w:cs="Arial" w:eastAsia="Arial" w:hAnsi="Arial"/>
          <w:sz w:val="18"/>
          <w:szCs w:val="18"/>
          <w:b w:val="1"/>
          <w:bCs w:val="1"/>
          <w:color w:val="auto"/>
        </w:rPr>
        <w:t>SALARIUS PHARMACEUTICALS, INC. CONDENSED CONSOLIDATED STATEMENTS OF OPERATIONS (Unaudited)</w:t>
      </w:r>
    </w:p>
    <w:p>
      <w:pPr>
        <w:spacing w:after="0" w:line="189" w:lineRule="exact"/>
        <w:rPr>
          <w:sz w:val="20"/>
          <w:szCs w:val="20"/>
          <w:color w:val="auto"/>
        </w:rPr>
      </w:pPr>
    </w:p>
    <w:p>
      <w:pPr>
        <w:ind w:left="6220"/>
        <w:spacing w:after="0"/>
        <w:rPr>
          <w:sz w:val="20"/>
          <w:szCs w:val="20"/>
          <w:color w:val="auto"/>
        </w:rPr>
      </w:pPr>
      <w:r>
        <w:rPr>
          <w:rFonts w:ascii="Arial" w:cs="Arial" w:eastAsia="Arial" w:hAnsi="Arial"/>
          <w:sz w:val="20"/>
          <w:szCs w:val="20"/>
          <w:b w:val="1"/>
          <w:bCs w:val="1"/>
          <w:color w:val="auto"/>
        </w:rPr>
        <w:t>Three Months Ended March 31</w:t>
      </w:r>
    </w:p>
    <w:p>
      <w:pPr>
        <w:spacing w:after="0" w:line="47" w:lineRule="exact"/>
        <w:rPr>
          <w:sz w:val="20"/>
          <w:szCs w:val="20"/>
          <w:color w:val="auto"/>
        </w:rPr>
      </w:pPr>
    </w:p>
    <w:tbl>
      <w:tblPr>
        <w:tblLayout w:type="fixed"/>
        <w:tblInd w:w="1740" w:type="dxa"/>
        <w:tblCellMar>
          <w:top w:w="0" w:type="dxa"/>
          <w:left w:w="0" w:type="dxa"/>
          <w:bottom w:w="0" w:type="dxa"/>
          <w:right w:w="0" w:type="dxa"/>
        </w:tblCellMar>
      </w:tblPr>
      <w:tr>
        <w:trPr>
          <w:trHeight w:val="223"/>
        </w:trPr>
        <w:tc>
          <w:tcPr>
            <w:tcW w:w="4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3,725,588</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4,439,475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1,695,075</w:t>
            </w: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5,420,663</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6,117,229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Loss before other income (expense)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(5,420,663)</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(6,117,229)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net and other</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79,890</w:t>
            </w:r>
          </w:p>
        </w:tc>
        <w:tc>
          <w:tcPr>
            <w:tcW w:w="1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continuing operations</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(5,340,773)</w:t>
            </w:r>
          </w:p>
        </w:tc>
        <w:tc>
          <w:tcPr>
            <w:tcW w:w="1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(6,109,225)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(5,340,773)</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(6,109,225)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per common share — basic and diluted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5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4160" w:type="dxa"/>
            <w:vAlign w:val="bottom"/>
          </w:tcPr>
          <w:p>
            <w:pPr>
              <w:ind w:left="20"/>
              <w:spacing w:after="0" w:line="170" w:lineRule="exact"/>
              <w:rPr>
                <w:sz w:val="20"/>
                <w:szCs w:val="20"/>
                <w:color w:val="auto"/>
              </w:rPr>
            </w:pPr>
            <w:r>
              <w:rPr>
                <w:rFonts w:ascii="Arial" w:cs="Arial" w:eastAsia="Arial" w:hAnsi="Arial"/>
                <w:sz w:val="18"/>
                <w:szCs w:val="18"/>
                <w:color w:val="auto"/>
              </w:rPr>
              <w:t>Weighted-average number of common shares</w:t>
            </w: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2,391,964</w:t>
            </w:r>
          </w:p>
        </w:tc>
        <w:tc>
          <w:tcPr>
            <w:tcW w:w="1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1,850,208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160" w:type="dxa"/>
            <w:vAlign w:val="bottom"/>
          </w:tcPr>
          <w:p>
            <w:pPr>
              <w:ind w:left="100"/>
              <w:spacing w:after="0" w:line="202" w:lineRule="exact"/>
              <w:rPr>
                <w:sz w:val="20"/>
                <w:szCs w:val="20"/>
                <w:color w:val="auto"/>
              </w:rPr>
            </w:pPr>
            <w:r>
              <w:rPr>
                <w:rFonts w:ascii="Arial" w:cs="Arial" w:eastAsia="Arial" w:hAnsi="Arial"/>
                <w:sz w:val="18"/>
                <w:szCs w:val="18"/>
                <w:color w:val="auto"/>
              </w:rPr>
              <w:t>outstanding — basic and diluted</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78" w:right="1440"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 w:lineRule="exact"/>
        <w:rPr>
          <w:sz w:val="20"/>
          <w:szCs w:val="20"/>
          <w:color w:val="auto"/>
        </w:rPr>
      </w:pPr>
    </w:p>
    <w:p>
      <w:pPr>
        <w:jc w:val="center"/>
        <w:ind w:left="7780"/>
        <w:spacing w:after="0"/>
        <w:rPr>
          <w:sz w:val="20"/>
          <w:szCs w:val="20"/>
          <w:color w:val="auto"/>
        </w:rPr>
      </w:pPr>
      <w:r>
        <w:rPr>
          <w:rFonts w:ascii="Arial" w:cs="Arial" w:eastAsia="Arial" w:hAnsi="Arial"/>
          <w:sz w:val="18"/>
          <w:szCs w:val="18"/>
          <w:b w:val="1"/>
          <w:bCs w:val="1"/>
          <w:color w:val="auto"/>
        </w:rPr>
        <w:t>Three Months Ended</w:t>
      </w:r>
    </w:p>
    <w:p>
      <w:pPr>
        <w:jc w:val="center"/>
        <w:ind w:left="782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60" w:type="dxa"/>
            <w:vAlign w:val="bottom"/>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20" w:type="dxa"/>
            <w:vAlign w:val="bottom"/>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(5,340,773)</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(6,109,225)</w:t>
            </w:r>
          </w:p>
        </w:tc>
      </w:tr>
      <w:tr>
        <w:trPr>
          <w:trHeight w:val="236"/>
        </w:trPr>
        <w:tc>
          <w:tcPr>
            <w:tcW w:w="786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6"/>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w:t>
            </w: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203,345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313,903</w:t>
            </w:r>
          </w:p>
        </w:tc>
      </w:tr>
      <w:tr>
        <w:trPr>
          <w:trHeight w:val="243"/>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In-process research and development technology</w:t>
            </w: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1,987,900</w:t>
            </w: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Grants receivable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1,480,490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786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280,728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300,342</w:t>
            </w:r>
          </w:p>
        </w:tc>
      </w:tr>
      <w:tr>
        <w:trPr>
          <w:trHeight w:val="236"/>
        </w:trPr>
        <w:tc>
          <w:tcPr>
            <w:tcW w:w="7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627,576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150,302</w:t>
            </w: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(422,470)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(168,845)</w:t>
            </w:r>
          </w:p>
        </w:tc>
      </w:tr>
      <w:tr>
        <w:trPr>
          <w:trHeight w:val="23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(3,169,435)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(3,520,826)</w:t>
            </w:r>
          </w:p>
        </w:tc>
      </w:tr>
      <w:tr>
        <w:trPr>
          <w:trHeight w:val="135"/>
        </w:trPr>
        <w:tc>
          <w:tcPr>
            <w:tcW w:w="7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29"/>
        </w:trPr>
        <w:tc>
          <w:tcPr>
            <w:tcW w:w="78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Purchase in-process research and development technology</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(1,500,000)</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r>
      <w:tr>
        <w:trPr>
          <w:trHeight w:val="270"/>
        </w:trPr>
        <w:tc>
          <w:tcPr>
            <w:tcW w:w="7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auto"/>
              </w:rPr>
              <w:t>Proceeds from issuance of equity securities, net</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336,682</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336,682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08"/>
        </w:trPr>
        <w:tc>
          <w:tcPr>
            <w:tcW w:w="7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(2,832,753)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(5,020,826)</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12,106,435</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29,214,380</w:t>
            </w:r>
          </w:p>
        </w:tc>
      </w:tr>
      <w:tr>
        <w:trPr>
          <w:trHeight w:val="25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9,273,682</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24,193,554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8"/>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Common stock issued for in-process research and development technology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487,900</w:t>
            </w:r>
          </w:p>
        </w:tc>
      </w:tr>
      <w:tr>
        <w:trPr>
          <w:trHeight w:val="223"/>
        </w:trPr>
        <w:tc>
          <w:tcPr>
            <w:tcW w:w="7860" w:type="dxa"/>
            <w:vAlign w:val="bottom"/>
          </w:tcPr>
          <w:p>
            <w:pPr>
              <w:ind w:left="140"/>
              <w:spacing w:after="0"/>
              <w:rPr>
                <w:sz w:val="20"/>
                <w:szCs w:val="20"/>
                <w:color w:val="auto"/>
              </w:rPr>
            </w:pPr>
            <w:r>
              <w:rPr>
                <w:rFonts w:ascii="Arial" w:cs="Arial" w:eastAsia="Arial" w:hAnsi="Arial"/>
                <w:sz w:val="18"/>
                <w:szCs w:val="18"/>
                <w:color w:val="auto"/>
              </w:rPr>
              <w:t>Accrued issuance costs for public offering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25,000</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1300" w:right="1400"/>
        <w:spacing w:after="0" w:line="287" w:lineRule="auto"/>
        <w:rPr>
          <w:sz w:val="20"/>
          <w:szCs w:val="20"/>
          <w:color w:val="auto"/>
        </w:rPr>
      </w:pPr>
      <w:r>
        <w:rPr>
          <w:rFonts w:ascii="Arial" w:cs="Arial" w:eastAsia="Arial" w:hAnsi="Arial"/>
          <w:sz w:val="18"/>
          <w:szCs w:val="18"/>
          <w:b w:val="1"/>
          <w:bCs w:val="1"/>
          <w:color w:val="auto"/>
        </w:rPr>
        <w:t>SALARIUS PHARMACEUTICALS, INC. CONDENSED CONSOLIDATED STATEMENTS OF STOCKHOLDERS' EQUITY (Unaudited)</w:t>
      </w:r>
    </w:p>
    <w:p>
      <w:pPr>
        <w:spacing w:after="0" w:line="200" w:lineRule="exact"/>
        <w:rPr>
          <w:sz w:val="20"/>
          <w:szCs w:val="20"/>
          <w:color w:val="auto"/>
        </w:rPr>
      </w:pPr>
    </w:p>
    <w:p>
      <w:pPr>
        <w:spacing w:after="0" w:line="295" w:lineRule="exact"/>
        <w:rPr>
          <w:sz w:val="20"/>
          <w:szCs w:val="20"/>
          <w:color w:val="auto"/>
        </w:rPr>
      </w:pPr>
    </w:p>
    <w:tbl>
      <w:tblPr>
        <w:tblLayout w:type="fixed"/>
        <w:tblInd w:w="1000" w:type="dxa"/>
        <w:tblCellMar>
          <w:top w:w="0" w:type="dxa"/>
          <w:left w:w="0" w:type="dxa"/>
          <w:bottom w:w="0" w:type="dxa"/>
          <w:right w:w="0" w:type="dxa"/>
        </w:tblCellMar>
      </w:tblPr>
      <w:tr>
        <w:trPr>
          <w:trHeight w:val="221"/>
        </w:trPr>
        <w:tc>
          <w:tcPr>
            <w:tcW w:w="3080" w:type="dxa"/>
            <w:vAlign w:val="bottom"/>
          </w:tcPr>
          <w:p>
            <w:pPr>
              <w:spacing w:after="0"/>
              <w:rPr>
                <w:sz w:val="19"/>
                <w:szCs w:val="19"/>
                <w:color w:val="auto"/>
              </w:rPr>
            </w:pPr>
          </w:p>
        </w:tc>
        <w:tc>
          <w:tcPr>
            <w:tcW w:w="2020" w:type="dxa"/>
            <w:vAlign w:val="bottom"/>
            <w:gridSpan w:val="4"/>
          </w:tcPr>
          <w:p>
            <w:pPr>
              <w:jc w:val="right"/>
              <w:ind w:right="33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6"/>
                <w:szCs w:val="16"/>
                <w:b w:val="1"/>
                <w:bCs w:val="1"/>
                <w:color w:val="auto"/>
              </w:rPr>
              <w:t>Additional</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right="53"/>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54"/>
        </w:trPr>
        <w:tc>
          <w:tcPr>
            <w:tcW w:w="308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vMerge w:val="restart"/>
          </w:tcPr>
          <w:p>
            <w:pPr>
              <w:spacing w:after="0"/>
              <w:rPr>
                <w:sz w:val="4"/>
                <w:szCs w:val="4"/>
                <w:color w:val="auto"/>
              </w:rPr>
            </w:pPr>
          </w:p>
        </w:tc>
        <w:tc>
          <w:tcPr>
            <w:tcW w:w="1140" w:type="dxa"/>
            <w:vAlign w:val="bottom"/>
            <w:vMerge w:val="restart"/>
          </w:tcPr>
          <w:p>
            <w:pPr>
              <w:jc w:val="right"/>
              <w:ind w:right="215"/>
              <w:spacing w:after="0" w:line="108" w:lineRule="exact"/>
              <w:rPr>
                <w:sz w:val="20"/>
                <w:szCs w:val="20"/>
                <w:color w:val="auto"/>
              </w:rPr>
            </w:pPr>
            <w:r>
              <w:rPr>
                <w:rFonts w:ascii="Arial" w:cs="Arial" w:eastAsia="Arial" w:hAnsi="Arial"/>
                <w:sz w:val="12"/>
                <w:szCs w:val="12"/>
                <w:b w:val="1"/>
                <w:bCs w:val="1"/>
                <w:color w:val="auto"/>
              </w:rPr>
              <w:t>Paid-In</w:t>
            </w:r>
          </w:p>
        </w:tc>
        <w:tc>
          <w:tcPr>
            <w:tcW w:w="80" w:type="dxa"/>
            <w:vAlign w:val="bottom"/>
            <w:vMerge w:val="restart"/>
          </w:tcPr>
          <w:p>
            <w:pPr>
              <w:spacing w:after="0"/>
              <w:rPr>
                <w:sz w:val="4"/>
                <w:szCs w:val="4"/>
                <w:color w:val="auto"/>
              </w:rPr>
            </w:pPr>
          </w:p>
        </w:tc>
        <w:tc>
          <w:tcPr>
            <w:tcW w:w="1320" w:type="dxa"/>
            <w:vAlign w:val="bottom"/>
            <w:vMerge w:val="restart"/>
          </w:tcPr>
          <w:p>
            <w:pPr>
              <w:jc w:val="right"/>
              <w:ind w:right="54"/>
              <w:spacing w:after="0" w:line="108"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vMerge w:val="restart"/>
          </w:tcPr>
          <w:p>
            <w:pPr>
              <w:jc w:val="center"/>
              <w:ind w:right="53"/>
              <w:spacing w:after="0" w:line="108"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34"/>
        </w:trPr>
        <w:tc>
          <w:tcPr>
            <w:tcW w:w="3080" w:type="dxa"/>
            <w:vAlign w:val="bottom"/>
          </w:tcPr>
          <w:p>
            <w:pPr>
              <w:spacing w:after="0"/>
              <w:rPr>
                <w:sz w:val="2"/>
                <w:szCs w:val="2"/>
                <w:color w:val="auto"/>
              </w:rPr>
            </w:pPr>
          </w:p>
        </w:tc>
        <w:tc>
          <w:tcPr>
            <w:tcW w:w="1180" w:type="dxa"/>
            <w:vAlign w:val="bottom"/>
            <w:vMerge w:val="restart"/>
          </w:tcPr>
          <w:p>
            <w:pPr>
              <w:jc w:val="right"/>
              <w:ind w:right="232"/>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2"/>
                <w:szCs w:val="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160" w:type="dxa"/>
            <w:vAlign w:val="bottom"/>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3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Deficit</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Equity (Deficit)</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1,809,593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181</w:t>
            </w: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w w:val="99"/>
              </w:rPr>
              <w:t>$70,919,996</w:t>
            </w:r>
          </w:p>
        </w:tc>
        <w:tc>
          <w:tcPr>
            <w:tcW w:w="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 (32,197,192)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38,722,985</w:t>
            </w:r>
          </w:p>
        </w:tc>
        <w:tc>
          <w:tcPr>
            <w:tcW w:w="0" w:type="dxa"/>
            <w:vAlign w:val="bottom"/>
          </w:tcPr>
          <w:p>
            <w:pPr>
              <w:spacing w:after="0"/>
              <w:rPr>
                <w:sz w:val="1"/>
                <w:szCs w:val="1"/>
                <w:color w:val="auto"/>
              </w:rPr>
            </w:pPr>
          </w:p>
        </w:tc>
      </w:tr>
      <w:tr>
        <w:trPr>
          <w:trHeight w:val="170"/>
        </w:trPr>
        <w:tc>
          <w:tcPr>
            <w:tcW w:w="3080" w:type="dxa"/>
            <w:vAlign w:val="bottom"/>
          </w:tcPr>
          <w:p>
            <w:pPr>
              <w:spacing w:after="0" w:line="170" w:lineRule="exact"/>
              <w:rPr>
                <w:sz w:val="20"/>
                <w:szCs w:val="20"/>
                <w:color w:val="auto"/>
              </w:rPr>
            </w:pPr>
            <w:r>
              <w:rPr>
                <w:rFonts w:ascii="Arial" w:cs="Arial" w:eastAsia="Arial" w:hAnsi="Arial"/>
                <w:sz w:val="18"/>
                <w:szCs w:val="18"/>
                <w:color w:val="auto"/>
              </w:rPr>
              <w:t>Common stock issued for in-process</w:t>
            </w:r>
          </w:p>
        </w:tc>
        <w:tc>
          <w:tcPr>
            <w:tcW w:w="1180" w:type="dxa"/>
            <w:vAlign w:val="bottom"/>
            <w:vMerge w:val="restart"/>
          </w:tcPr>
          <w:p>
            <w:pPr>
              <w:jc w:val="right"/>
              <w:ind w:right="52"/>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vMerge w:val="restart"/>
          </w:tcPr>
          <w:p>
            <w:pPr>
              <w:jc w:val="right"/>
              <w:ind w:right="50"/>
              <w:spacing w:after="0"/>
              <w:rPr>
                <w:sz w:val="20"/>
                <w:szCs w:val="20"/>
                <w:color w:val="auto"/>
              </w:rPr>
            </w:pPr>
            <w:r>
              <w:rPr>
                <w:rFonts w:ascii="Arial" w:cs="Arial" w:eastAsia="Arial" w:hAnsi="Arial"/>
                <w:sz w:val="18"/>
                <w:szCs w:val="18"/>
                <w:color w:val="auto"/>
              </w:rPr>
              <w:t>4</w:t>
            </w:r>
          </w:p>
        </w:tc>
        <w:tc>
          <w:tcPr>
            <w:tcW w:w="1300" w:type="dxa"/>
            <w:vAlign w:val="bottom"/>
            <w:gridSpan w:val="2"/>
            <w:vMerge w:val="restart"/>
          </w:tcPr>
          <w:p>
            <w:pPr>
              <w:jc w:val="right"/>
              <w:ind w:right="35"/>
              <w:spacing w:after="0"/>
              <w:rPr>
                <w:sz w:val="20"/>
                <w:szCs w:val="20"/>
                <w:color w:val="auto"/>
              </w:rPr>
            </w:pPr>
            <w:r>
              <w:rPr>
                <w:rFonts w:ascii="Arial" w:cs="Arial" w:eastAsia="Arial" w:hAnsi="Arial"/>
                <w:sz w:val="18"/>
                <w:szCs w:val="18"/>
                <w:color w:val="auto"/>
              </w:rPr>
              <w:t>487,896</w:t>
            </w:r>
          </w:p>
        </w:tc>
        <w:tc>
          <w:tcPr>
            <w:tcW w:w="80" w:type="dxa"/>
            <w:vAlign w:val="bottom"/>
          </w:tcPr>
          <w:p>
            <w:pPr>
              <w:spacing w:after="0"/>
              <w:rPr>
                <w:sz w:val="14"/>
                <w:szCs w:val="14"/>
                <w:color w:val="auto"/>
              </w:rPr>
            </w:pPr>
          </w:p>
        </w:tc>
        <w:tc>
          <w:tcPr>
            <w:tcW w:w="1320" w:type="dxa"/>
            <w:vAlign w:val="bottom"/>
            <w:vMerge w:val="restart"/>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ind w:right="33"/>
              <w:spacing w:after="0"/>
              <w:rPr>
                <w:sz w:val="20"/>
                <w:szCs w:val="20"/>
                <w:color w:val="auto"/>
              </w:rPr>
            </w:pPr>
            <w:r>
              <w:rPr>
                <w:rFonts w:ascii="Arial" w:cs="Arial" w:eastAsia="Arial" w:hAnsi="Arial"/>
                <w:sz w:val="18"/>
                <w:szCs w:val="18"/>
                <w:color w:val="auto"/>
              </w:rPr>
              <w:t>487,900</w:t>
            </w: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research and development technology</w:t>
            </w: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Equity-based compensation expense</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18,215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30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313,901</w:t>
            </w: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313,903</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
              <w:spacing w:after="0"/>
              <w:rPr>
                <w:sz w:val="20"/>
                <w:szCs w:val="20"/>
                <w:color w:val="auto"/>
              </w:rPr>
            </w:pPr>
            <w:r>
              <w:rPr>
                <w:rFonts w:ascii="Arial" w:cs="Arial" w:eastAsia="Arial" w:hAnsi="Arial"/>
                <w:sz w:val="18"/>
                <w:szCs w:val="18"/>
                <w:color w:val="auto"/>
              </w:rPr>
              <w:t>(6,109,225)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(6,109,225)</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2022</w:t>
            </w:r>
          </w:p>
        </w:tc>
        <w:tc>
          <w:tcPr>
            <w:tcW w:w="11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1,867,808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w w:val="99"/>
              </w:rPr>
              <w:t>$71,721,793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 (38,306,417)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33,415,563</w:t>
            </w:r>
          </w:p>
        </w:tc>
        <w:tc>
          <w:tcPr>
            <w:tcW w:w="0" w:type="dxa"/>
            <w:vAlign w:val="bottom"/>
          </w:tcPr>
          <w:p>
            <w:pPr>
              <w:spacing w:after="0"/>
              <w:rPr>
                <w:sz w:val="1"/>
                <w:szCs w:val="1"/>
                <w:color w:val="auto"/>
              </w:rPr>
            </w:pPr>
          </w:p>
        </w:tc>
      </w:tr>
      <w:tr>
        <w:trPr>
          <w:trHeight w:val="250"/>
        </w:trPr>
        <w:tc>
          <w:tcPr>
            <w:tcW w:w="308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2022</w:t>
            </w: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2,255,899</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225</w:t>
            </w:r>
          </w:p>
        </w:tc>
        <w:tc>
          <w:tcPr>
            <w:tcW w:w="160" w:type="dxa"/>
            <w:vAlign w:val="bottom"/>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w w:val="99"/>
              </w:rPr>
              <w:t>$74,189,531</w:t>
            </w:r>
          </w:p>
        </w:tc>
        <w:tc>
          <w:tcPr>
            <w:tcW w:w="80" w:type="dxa"/>
            <w:vAlign w:val="bottom"/>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 (63,805,148)</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10,384,608</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Issuance of equity securities, net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142,499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1300" w:type="dxa"/>
            <w:vAlign w:val="bottom"/>
            <w:gridSpan w:val="2"/>
          </w:tcPr>
          <w:p>
            <w:pPr>
              <w:jc w:val="right"/>
              <w:ind w:right="35"/>
              <w:spacing w:after="0"/>
              <w:rPr>
                <w:sz w:val="20"/>
                <w:szCs w:val="20"/>
                <w:color w:val="auto"/>
              </w:rPr>
            </w:pPr>
            <w:r>
              <w:rPr>
                <w:rFonts w:ascii="Arial" w:cs="Arial" w:eastAsia="Arial" w:hAnsi="Arial"/>
                <w:sz w:val="18"/>
                <w:szCs w:val="18"/>
                <w:color w:val="auto"/>
              </w:rPr>
              <w:t>311,667</w:t>
            </w:r>
          </w:p>
        </w:tc>
        <w:tc>
          <w:tcPr>
            <w:tcW w:w="8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311,681</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Equity-based compensation expense</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69,899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130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203,338</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203,345</w:t>
            </w: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(5,340,773)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(5,340,773)</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2023</w:t>
            </w:r>
          </w:p>
        </w:tc>
        <w:tc>
          <w:tcPr>
            <w:tcW w:w="118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2,468,297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246</w:t>
            </w:r>
          </w:p>
        </w:tc>
        <w:tc>
          <w:tcPr>
            <w:tcW w:w="1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w w:val="99"/>
              </w:rPr>
              <w:t>$74,704,536</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 (69,145,921)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5,558,861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278" w:right="131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line="287" w:lineRule="auto"/>
        <w:rPr>
          <w:sz w:val="20"/>
          <w:szCs w:val="20"/>
          <w:color w:val="auto"/>
        </w:rPr>
      </w:pPr>
      <w:r>
        <w:rPr>
          <w:rFonts w:ascii="Arial" w:cs="Arial" w:eastAsia="Arial" w:hAnsi="Arial"/>
          <w:sz w:val="18"/>
          <w:szCs w:val="18"/>
          <w:b w:val="1"/>
          <w:bCs w:val="1"/>
          <w:color w:val="auto"/>
        </w:rPr>
        <w:t>SALARIUS PHARMACEUTICALS, INC. NOTES TO CONDENSED CONSOLIDATED FINANCIAL STATEMENTS (Unaudited)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Salarius Pharmaceuticals, Inc. (“Salarius” or the “Company”), together with its subsidiaries, Salarius Pharmaceuticals, LLC, Flex Innovation Group LLC, and TK Pharma, Inc., is a clinical-stage biopharmaceutical company focused on developing effective treatments for cancers with high, unmet medical need. Specifically, the Company is developing treatments for cancers caused by dysregulated gene expression, i.e., genes that are incorrectly turned on or off. The Company is developing two classes of drugs that address gene dysregulation: targeted protein inhibitors and targeted protein degraders. The Company's technologies have the potential to work in both liquid and solid tumors. The Company's current pipeline consists of two small molecule drugs: 1) SP-3164, a targeted protein degrader, and 2) seclidemstat (SP-2577), a targeted protein inhibitor. The Company is located in Houston, Texas.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3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Salarius has no products approved for commercial sale, has not generated any revenue from product sales to date and has suffered recurring losses from operations since its inception. The lack of revenue from product sales to date and recurring losses from operations since its inception raise substantial doubt as to the Company's ability to continue as a going concern. The accompanying financial statements are prepared using accounting principles generally accepted in the United States applicable to a going concern, which contemplates the realization of assets and the satisfaction of liabilities in the normal course of business. The financial statements do not include any adjustments relating to the recoverability and classification of recorded asset amounts and classification of liabilities should the Company be unable to continue as a going concern. Salarius will require substantial additional capital to fund its research and development expenses related to its pipeline including SP-3164 and seclidemstat. Based on Salarius’ expected cash requirements, Salarius believes that there is substantial doubt that its existing cash and cash equivalents, will be sufficient to fund its operations through one year from the financial statements' issuance date. The Company intends to obtain additional capital through the sale of equity securities in one or more offerings or through issuances of debt instruments, and may also consider new collaborations or selectively partnering its technology. However, the Company cannot provide any assurance that it will be successful in accomplishing any of its plans.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Partial Clinical Hold Lifted</w:t>
      </w:r>
    </w:p>
    <w:p>
      <w:pPr>
        <w:spacing w:after="0" w:line="24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October 19, 2022, the Company voluntarily paused new patient enrollment in its Phase 1/2 trial of seclidemstat as a treatment for Ewing sarcoma and FET-rearranged sarcomas per protocol design. The pause in new patient enrollment was due to a metastatic FET-rearranged sarcoma patient death that was classified as a suspected unexpected serious adverse reaction (SUSAR). Upon review of the SUSAR and available information by the Company’s independent Safety Review Committee for the clinical trial, patients currently receiving seclidemstat treatment may continue treatment after consulting with their physician. During a conference call with the U.S. Food and Drug Administration (FDA) on November 1, 2022, the FDA informed the Company that the agency agreed with the voluntary enrollment pause and, as an administrative action, the FDA provided verbal notification that the Ewing sarcoma and FET-rearranged sarcoma trial was on partial clinical hold. While on partial clinical hold, FDA informed the Company that the pause in patient enrollment shall remain in place and patients currently receiving seclidemstat treatment may continue treatment after consulting with their physician. FDA’s clinical hold procedures provide the Company with an administrative process to work with the FDA to analyze the available data, adjust clinical protocols, and make other changes that may be needed in order to restart patient enrollment. The Company adhered to this administrative process and submitted</w:t>
      </w:r>
    </w:p>
    <w:p>
      <w:pPr>
        <w:spacing w:after="0" w:line="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its findings during early April, 2023. </w:t>
      </w:r>
      <w:r>
        <w:rPr>
          <w:rFonts w:ascii="Arial" w:cs="Arial" w:eastAsia="Arial" w:hAnsi="Arial"/>
          <w:sz w:val="18"/>
          <w:szCs w:val="18"/>
          <w:i w:val="1"/>
          <w:iCs w:val="1"/>
          <w:color w:val="auto"/>
        </w:rPr>
        <w:t>On May 5, 2023, the Company was notified by FDA that they have completed the review of our</w:t>
      </w:r>
      <w:r>
        <w:rPr>
          <w:rFonts w:ascii="Arial" w:cs="Arial" w:eastAsia="Arial" w:hAnsi="Arial"/>
          <w:sz w:val="18"/>
          <w:szCs w:val="18"/>
          <w:color w:val="auto"/>
        </w:rPr>
        <w:t xml:space="preserve"> </w:t>
      </w:r>
      <w:r>
        <w:rPr>
          <w:rFonts w:ascii="Arial" w:cs="Arial" w:eastAsia="Arial" w:hAnsi="Arial"/>
          <w:sz w:val="18"/>
          <w:szCs w:val="18"/>
          <w:i w:val="1"/>
          <w:iCs w:val="1"/>
          <w:color w:val="auto"/>
        </w:rPr>
        <w:t>submission and have concluded that the clinical trial may be resumed.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 Issued Under At the Market Offering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February 5, 2021, the Company entered into an At the Market Offering Agreement (the “Sales Agreement”) with Ladenburg Thalmann &amp; Co. Inc. (“Ladenburg”). Under the Sales Agreement the Company was able to issue and sell, from time to time, shares of its common stock (the “ATM Shares”) with Ladenburg acting as an agent for sales. Sales of the ATM Shares may be made by any method permitted by law deemed to be an “at the market offering” as defined in Rule 415(a)(4) of the Securities Act of 1933, as amended, including, without limitation, sales made directly on or through the Nasdaq Capital Market. </w:t>
      </w:r>
      <w:r>
        <w:rPr>
          <w:rFonts w:ascii="Arial" w:cs="Arial" w:eastAsia="Arial" w:hAnsi="Arial"/>
          <w:sz w:val="18"/>
          <w:szCs w:val="18"/>
          <w:i w:val="1"/>
          <w:iCs w:val="1"/>
          <w:color w:val="auto"/>
        </w:rPr>
        <w:t>From April 4, 2023 to May 11, 2023, the Company sold 527,672 ATM shares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its common shares with gross proceeds of approximately $1.3 million </w:t>
      </w:r>
      <w:r>
        <w:rPr>
          <w:rFonts w:ascii="Arial" w:cs="Arial" w:eastAsia="Arial" w:hAnsi="Arial"/>
          <w:sz w:val="18"/>
          <w:szCs w:val="18"/>
          <w:color w:val="auto"/>
        </w:rPr>
        <w:t>under the Sales Agreement.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("GAAP"). Any reference in these notes to applicable guidance is meant to refer to the authoritative GAAP as found in the Accounting Standard Codification ("ASC") and Accounting Standards Update ("ASU") of the Financial Accounting Standards Board ("FASB").</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October 14, 2022, the Company filed a Certificate of Amendment to the Company’s restated certificate of incorporation with the Secretary of State of the State of Delaware to effect a 1-for-25 reverse stock split of the Company’s issued and outstanding shares of common stock, par value $0.0001 per share (the “Reverse Stock Split”), which became effective on October 14, 2022. All historical share and per share amounts reflected throughout this report have been adjusted to reflect the Reverse Stock Split.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3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significant intercompany balances and transactions have been eliminated in consolidation.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interim financial statements are unaudited. These unaudited interim financial statements have been prepared in accordance with the rules and regulations of the U.S. Securities and Exchange Commission (“SEC”) for interim financial information. Accordingly, they do not include all the information and footnotes required by GAAP for complete financial statements. These unaudited interim financial statements should be read in conjunction with the audited financial statements and accompanying notes for the year ended December 31, 2022 included elsewhere in the Company's Annual Report on Form 10-K filed with the SEC on March 27, 2023. In the opinion of management, the unaudited interim financial statements reflect all the adjustments (consisting of normal recurring adjustments) necessary to state fairly the Company’s financial position as of March 31, 2023 and the results of operations for the three months ended March 31, 2023 and 2022. The interim results of operations are not necessarily indicative of the results that may occur for the full fiscal year. The December 31, 2022 balance sheet included herein was derived from the audited financial statements, but does not include all disclosures, including notes, required by GAAP for complete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Salarius considers all highly liquid investments with original maturities of three months or less to be cash equivalents.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ectPr>
          <w:pgSz w:w="11900" w:h="16838" w:orient="portrait"/>
          <w:cols w:equalWidth="0" w:num="1">
            <w:col w:w="11240"/>
          </w:cols>
          <w:pgMar w:left="320" w:top="278"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their carrying value may not be recoverable. If the carrying amount of an asset exceeds its estimated future cash flows, an impairment charge is recognized in the amount by which the carrying amount of the asset exceeds the fair value of the asset. There were no impairment charges related to long-lived assets for the three months ended March 31, 2023 and 2022.</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Credit Risks</w:t>
      </w:r>
    </w:p>
    <w:p>
      <w:pPr>
        <w:spacing w:after="0" w:line="2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Financial instruments that potentially subject the Company to credit risk include cash and cash equivalents and restricted cash. Cash is deposited in demand accounts in federally insured domestic institutions to minimize risk. Insurance is provided through the Federal Deposit Insurance Corporation. Although the balances in these accounts exceed the federally insured limit from time to time, the Company has not incurred losses related to these deposits.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determines whether warrants should be classified as a liability or equity. For warrants classified as liabilities, the Company estimates the fair value of the warrants at each reporting period using Level 3 inputs with changes in fair value recorded in the Condensed Consolidated Statement of Operations within change in fair value 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 the fair value of the warrant liability at the end of each reporting period for changes in fair value from the prior period until the earlier of the exercise or expiration of the applicable warrant. For warrants classified as equity contracts, the Company allocates the transaction proceeds to the warrants and any other free-standing instruments issued in the transaction based on an allowable allocation method.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preclinical and clinical trials are performed by third party contract research organizations ("CROs") and/or clinical investigators, and clinical supplies are manufactured by contract manufacturing organizations ("CMOs"). Invoicing from these third parties may be monthly based upon services performed or based upon milestones achieved. The Company accrues these expenses based upon its assessment of the status of each clinical trial and the work completed, and upon information obtained from the CROs and CMOs. The Company’s estimates are dependent upon the timeliness and accuracy of data provided by the CROs and CMOs regarding the status and cost of the studies, and may not match the actual services performed by the organizations. This could result in adjustments to the Company’s research and development expenses in future periods. To date the Company has had no significant adjustments.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Receivable and Revenue</w:t>
      </w:r>
    </w:p>
    <w:p>
      <w:pPr>
        <w:spacing w:after="0" w:line="2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Salarius’ source of revenue has been from a grant received from CPRIT. Grant revenue is recognized when qualifying costs are incurred and there is reasonable assurance that conditions of the grant have been met. Cash received from grants in advance of incurring qualifying costs is recorded as deferred revenue and recognized as revenue when qualifying costs are incurred.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6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Research and development costs consist of expenses incurred in performing research and development activities, including pre-clinical studies and clinical trials.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Costs incurred in obtaining in-process research and development ("IPRD") that has no alternative future use are charged to research and development expense as acquired, and presented as investing activity cash outflows on the Statement of Cash Flow.</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4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Salarius measures equity-based compensation based on the grant date fair value of the awards and recognizes the associated expense in the financial statements over the requisite service period of the award, which is generally the vesting period.</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uses the Black-Scholes option valuation model to estimate the fair value of stock options granted to employees and directors. Assumptions utilized in these models including expected volatility calculated based on implied volatility from traded stocks of peer companies, dividend yield and risk-free interest rate. Additionally, forfeitures are accounted for in compensation cost as they occur. Restricted stock and restricted stock units granted to employees and directors are measured at fair value based upon the closing price of the Company's common stock on the grant date.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2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number of anti -dilutive shares, consisting of common shares underlying (i) common stock options, (ii) stock purchase warrants, (iii) rights entitling holders to receive warrants to purchase the Company's common shares, and (iv) restricted stock units which have been excluded from the computation of diluted loss per share, was approximately 716,840 and 431,407 shares as of March 31, 2023 and 2022,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Income taxes are recorded in accordance with FASB ASC Topic 740, Income Taxes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March 31, 2023 and December 31, 2022, the Company did not have any significant uncertain tax positions and no interest or penalties have been charged. The Company's practice is to recognize interest and/or penalties related to income tax matters in income tax expense. The Company is subject to routine audits by taxing jurisdictions.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and Strategic Collaboration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January 12, 2022, the Company entered into an Acquisition and Strategic Collaboration Agreement (the “ASCA”), with DeuteRx, LLC, a Delaware limited liability company (the “DeuteRx”), pursuant to which DeuteRx agreed to sell, and the Company agreed to purchase and assume from DeuteRx, all of DeuteRx’s rights, title, and interest in and to certain assets of DeuteRx, including SP-3164, DeuteRx’s intellectual property, information and data related to SP-3164, tangible materials or reagents related to SP-3164, goodwill, rights and claims, other than certain excluded assets (collectively, the “Purchased Assets”), all as more specifically set forth in the ASCA, and assume certain assumed liabilities, upon the terms and subject to the conditions set forth in the ASCA. The Aggregate purchase price paid under the ASCA was $2.0 million consisting of $1.5 million cash payment and the delivery of 40,000 shares of the Company's common stock, valued at $ 0.5 million. Total cost incurred in obtaining IPRD that has no alternative future use are charged to research and development expense as acquired, and presented as investing activity cash outflow on the Statement of Cash Flow. In addition, the Company agreed to pay to DeuteRx potential future milestone payments upon the occurrence of an applicable Milestone Event (as defined in the ASCA) and potential future royalty payments. A member of the Company’s Board of Directors also serves as a consultant to DeuteRx and is employed by an affiliate of DeuteRx.</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w:t>
      </w:r>
    </w:p>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which requires the measurement of all expected credit losses for financial assets including trade receivables held at the reporting date based on historical experience, current conditions, and reasonable and supportable forecasts. Subsequent to the issuance of ASU 2016-13, the FASB issued ASU 2018-19, Codification Improvements to Topic 326, Financial Instruments - Credit Losses. This ASU does not change the core principle of the guidance in ASU 2016-13, instead these amendments are intended to clarify and improve operability of certain topics included within the credit losses guidance. The FASB also subsequently issued ASU No. 2019-04, Codification Improvements to Topic 326, Financial Instruments—Credit Losses, Derivatives and Hedging (Topic 815), and Financial Instruments (Topic 825), which did not change the core principle of the guidance in ASU 2016-13 but clarified that expected recoveries of amounts previously written off and expected to be written off should be included in the valuation account and should not exceed amounts previously written off and expected to be written off. The guidance is effective for fiscal years, and interim periods within those years, beginning after December 15, 2019 for public business entities, excluding smaller reporting companies. Early adoption is permitted. As a smaller reporting company, the guidance was effective for the Company on January 1, 2023. The adoption of this standard did not have a material impact to this Company's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GRANT RECEIVABLE FROM CPRIT</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Grants receivable represents qualifying costs incurred where there is reasonable assurance that conditions of the grant have been met but the corresponding funds have not been received as of the reporting date. Grants receivable balances are $0.1 million and $1.6 million at both March 31, 2023 and December 31, 2022. During the three months ended March 31, 2023, the Company received $1.5 million from CPRIT.</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400" w:type="dxa"/>
            <w:vAlign w:val="bottom"/>
          </w:tcPr>
          <w:p>
            <w:pPr>
              <w:spacing w:after="0"/>
              <w:rPr>
                <w:sz w:val="20"/>
                <w:szCs w:val="20"/>
                <w:color w:val="auto"/>
              </w:rPr>
            </w:pPr>
            <w:r>
              <w:rPr>
                <w:rFonts w:ascii="Arial" w:cs="Arial" w:eastAsia="Arial" w:hAnsi="Arial"/>
                <w:sz w:val="18"/>
                <w:szCs w:val="18"/>
                <w:b w:val="1"/>
                <w:bCs w:val="1"/>
                <w:color w:val="auto"/>
              </w:rPr>
              <w:t>NOTE 4. PREPAID EXPENSES AND OTHER CURRENT ASSETS</w:t>
            </w: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339"/>
        </w:trPr>
        <w:tc>
          <w:tcPr>
            <w:tcW w:w="9240" w:type="dxa"/>
            <w:vAlign w:val="bottom"/>
            <w:gridSpan w:val="3"/>
          </w:tcPr>
          <w:p>
            <w:pPr>
              <w:spacing w:after="0"/>
              <w:rPr>
                <w:sz w:val="20"/>
                <w:szCs w:val="20"/>
                <w:color w:val="auto"/>
              </w:rPr>
            </w:pPr>
            <w:r>
              <w:rPr>
                <w:rFonts w:ascii="Arial" w:cs="Arial" w:eastAsia="Arial" w:hAnsi="Arial"/>
                <w:sz w:val="18"/>
                <w:szCs w:val="18"/>
                <w:color w:val="auto"/>
              </w:rPr>
              <w:t>Prepaid expenses and other current assets at March 31, 2023 and December 31, 2022 consisted of the following: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69"/>
        </w:trPr>
        <w:tc>
          <w:tcPr>
            <w:tcW w:w="74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March 31, 2023</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December 31, 2022</w:t>
            </w:r>
          </w:p>
        </w:tc>
      </w:tr>
      <w:tr>
        <w:trPr>
          <w:trHeight w:val="224"/>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clinical trial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11,185</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368,931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624,612</w:t>
            </w:r>
          </w:p>
        </w:tc>
      </w:tr>
      <w:tr>
        <w:trPr>
          <w:trHeight w:val="24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prepaid and current assets</w:t>
            </w:r>
          </w:p>
        </w:tc>
        <w:tc>
          <w:tcPr>
            <w:tcW w:w="2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156,509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167,576</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536,625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803,373</w:t>
            </w:r>
          </w:p>
        </w:tc>
      </w:tr>
      <w:tr>
        <w:trPr>
          <w:trHeight w:val="20"/>
        </w:trPr>
        <w:tc>
          <w:tcPr>
            <w:tcW w:w="7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Prepaid insurance is mainly comprised of prepaid directors' and officers' insurance.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the University of Utah Research Foundation</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2011, the Company entered into a license agreement with the University of Utah, under which, the Company acquired an exclusive license to an epigenetic enzyme lysine specific demethylase 1 ("LSD1"). In exchange for the license, the Company issued 2% equity ownership in the Company based on a fully diluted basis at the effective date of the agreement subject to certain adjustments specified in the agreement, such as granted revenue sharing rights on any resulting products or processes to commence on first commercial sale, and milestone payments based upon regulatory approval of any resulting product or process as well as on the second anniversary of first commercial sale.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Prevention and Research Institute of Texas</w:t>
      </w:r>
    </w:p>
    <w:p>
      <w:pPr>
        <w:spacing w:after="0" w:line="2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2016, the Company entered into a Cancer Research Grant Contract with CPRIT. Pursuant to the contract, CPRIT awarded the Company a grant up to $18.7 million further modified to $16.1 million to fund development of LSD 1 inhibitor. This is a 3-year grant award originally expired on May 31, 2019. The Company applied for a no cost extension through November 30, 2023.</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will retain ownership over any intellectual property developed under the contract ("Project Result"). With respect to non-commercial use of any Project Result, 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obligated to make revenue-sharing payments to CPRIT with respect to net sales of any product covered by the contract, up to a maximum repayment of certain percentage of the aggregate amount paid to the Company by CPRIT under the CPRIT contract. The payments are determined as a percentage of net sales, which may be reduced if the Company is required to obtain a license from a third party to sell any such product. In addition, upon meeting the foregoing limitation on revenue-sharing payments, the Company agreed to make continued revenue-sharing payments to CPRIT of less than 1% of net sales.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Company presently leases office space under operating lease agreements on a month-to-month basis.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OF FINANCIAL INSTRUMENTS</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63" w:lineRule="exact"/>
        <w:rPr>
          <w:sz w:val="20"/>
          <w:szCs w:val="20"/>
          <w:color w:val="auto"/>
        </w:rPr>
      </w:pPr>
    </w:p>
    <w:p>
      <w:pPr>
        <w:jc w:val="both"/>
        <w:ind w:left="1380" w:hanging="728"/>
        <w:spacing w:after="0" w:line="263"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Significant unobservable inputs including Salarius’ own assumptions in determining fair value.</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Company believes the recorded values of its financial instruments, including cash and cash equivalents, accounts payable and note payable approximate their fair values due to the short-term nature of these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ectPr>
          <w:pgSz w:w="11900" w:h="16838" w:orient="portrait"/>
          <w:cols w:equalWidth="0" w:num="1">
            <w:col w:w="11240"/>
          </w:cols>
          <w:pgMar w:left="320" w:top="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Issuances</w:t>
      </w:r>
    </w:p>
    <w:p>
      <w:pPr>
        <w:spacing w:after="0" w:line="23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the three months ended March 31, 2023, the Company sold 142,499 ATM shares under the Sales Agreement, with gross proceeds of $0.3 million.</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January 12, 2022, the Company issued 40,000 shares of the Company's common stock, valued at $0.5 million to purchase in-process research and development technology SP-3164, please refer to NOTE 2 for further discussion.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Exercised for Cash</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five-year warrants outstanding that were issued in February 2020 and subsequently modified in December 2020 in connection with the issuance of additional inducement warrants. The warrants are exercisable at a price per share of $28.75. The inducement warrants expire on June 11, 2026, and are exercisable at a price per share of $29.55. The Company has 5.5 year warrants outstanding that were issued in April 2022, with an exercise price of $8.4975 per share. The warrants will be exercisable six months following the issuance date and will expire five and one-half years from the issuance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and 2022, approximately 597,512 and 317,329 warrants remain outstanding.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EQUITY-BASED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granted options to employees, directors, and consultants under the 2015 Equity Incentive Plan (the "2015 Plan").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March 31, 2023, there were approximately 55,365 shares remaining available for the grant of option awards under the 2015 Plan.</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three months ended March 31, 2023, the Company awarded 12,220 restricted stock units to its employees and 36,640 restricted stock awards to its officers and directors, pursuant to the plan described above. Both the restricted stock units and restricted stock awards are valued at the closing price $1.57 of the Company's common stock on the grant date, and generally vest over one to four years. Total fair value of the restricted stock awards and restricted stock units awarded during the three months periods ended March 31, 2023 is $76,679.</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three-month periods ended March 31, 2023 and 2022, the Company awarded 0 and 50,160 stock options, to its employees and directors, pursuant to the plan described above. Stock options generally vest over one to four years and have a contractual term of ten years. Stock options are valued using the Black-Scholes option pricing model and compensation cost is recognized based on the resulting value over the service period. Expected volatilities utilized in the model are based on implied volatilities from traded stocks of peer companies. Similarly, the dividend yield is based on historical experience and the estimate of future dividend yields. The risk-free interest rate is derived from the U.S. Treasury yield curve in effect at the time of grant. The expected term of the options is based on the average period the stock options are expected to remain outstanding. The fair value of the option grants awarded during the three months periods ended March 31, 2022 was $0.5 million, which has been estimated with the following assumptions on the grant date.</w:t>
      </w:r>
    </w:p>
    <w:p>
      <w:pPr>
        <w:spacing w:after="0" w:line="123" w:lineRule="exact"/>
        <w:rPr>
          <w:sz w:val="20"/>
          <w:szCs w:val="20"/>
          <w:color w:val="auto"/>
        </w:rPr>
      </w:pPr>
    </w:p>
    <w:tbl>
      <w:tblPr>
        <w:tblLayout w:type="fixed"/>
        <w:tblInd w:w="3200" w:type="dxa"/>
        <w:tblCellMar>
          <w:top w:w="0" w:type="dxa"/>
          <w:left w:w="0" w:type="dxa"/>
          <w:bottom w:w="0" w:type="dxa"/>
          <w:right w:w="0" w:type="dxa"/>
        </w:tblCellMar>
      </w:tblPr>
      <w:tr>
        <w:trPr>
          <w:trHeight w:val="207"/>
        </w:trPr>
        <w:tc>
          <w:tcPr>
            <w:tcW w:w="29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b w:val="1"/>
                <w:bCs w:val="1"/>
                <w:color w:val="auto"/>
                <w:w w:val="99"/>
              </w:rPr>
              <w:t>Three Months Ended</w:t>
            </w:r>
          </w:p>
        </w:tc>
      </w:tr>
      <w:tr>
        <w:trPr>
          <w:trHeight w:val="239"/>
        </w:trPr>
        <w:tc>
          <w:tcPr>
            <w:tcW w:w="29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b w:val="1"/>
                <w:bCs w:val="1"/>
                <w:color w:val="auto"/>
                <w:w w:val="99"/>
              </w:rPr>
              <w:t>March 31</w:t>
            </w:r>
          </w:p>
        </w:tc>
      </w:tr>
      <w:tr>
        <w:trPr>
          <w:trHeight w:val="230"/>
        </w:trPr>
        <w:tc>
          <w:tcPr>
            <w:tcW w:w="292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2022</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1.62%-1.70%</w:t>
            </w:r>
          </w:p>
        </w:tc>
        <w:tc>
          <w:tcPr>
            <w:tcW w:w="160" w:type="dxa"/>
            <w:vAlign w:val="bottom"/>
          </w:tcPr>
          <w:p>
            <w:pPr>
              <w:spacing w:after="0"/>
              <w:rPr>
                <w:sz w:val="19"/>
                <w:szCs w:val="19"/>
                <w:color w:val="auto"/>
              </w:rPr>
            </w:pPr>
          </w:p>
        </w:tc>
      </w:tr>
      <w:tr>
        <w:trPr>
          <w:trHeight w:val="236"/>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125.19% 126.42%</w:t>
            </w:r>
          </w:p>
        </w:tc>
        <w:tc>
          <w:tcPr>
            <w:tcW w:w="160" w:type="dxa"/>
            <w:vAlign w:val="bottom"/>
            <w:shd w:val="clear" w:color="auto" w:fill="CCEEFF"/>
          </w:tcPr>
          <w:p>
            <w:pPr>
              <w:spacing w:after="0"/>
              <w:rPr>
                <w:sz w:val="20"/>
                <w:szCs w:val="20"/>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5.00-6.00</w:t>
            </w:r>
          </w:p>
        </w:tc>
        <w:tc>
          <w:tcPr>
            <w:tcW w:w="160" w:type="dxa"/>
            <w:vAlign w:val="bottom"/>
          </w:tcPr>
          <w:p>
            <w:pPr>
              <w:spacing w:after="0"/>
              <w:rPr>
                <w:sz w:val="19"/>
                <w:szCs w:val="19"/>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following table summarizes stock option activity for employees and non-employees for the three months ended March 31, 2023 and 2022:</w:t>
      </w:r>
    </w:p>
    <w:p>
      <w:pPr>
        <w:jc w:val="center"/>
        <w:ind w:left="6380"/>
        <w:spacing w:after="0" w:line="229" w:lineRule="auto"/>
        <w:rPr>
          <w:sz w:val="20"/>
          <w:szCs w:val="20"/>
          <w:color w:val="auto"/>
        </w:rPr>
      </w:pPr>
      <w:r>
        <w:rPr>
          <w:rFonts w:ascii="Arial" w:cs="Arial" w:eastAsia="Arial" w:hAnsi="Arial"/>
          <w:sz w:val="18"/>
          <w:szCs w:val="18"/>
          <w:b w:val="1"/>
          <w:bCs w:val="1"/>
          <w:color w:val="auto"/>
        </w:rPr>
        <w:t>Weighted-</w:t>
      </w:r>
    </w:p>
    <w:p>
      <w:pPr>
        <w:jc w:val="center"/>
        <w:ind w:left="6380"/>
        <w:spacing w:after="0" w:line="219" w:lineRule="auto"/>
        <w:rPr>
          <w:sz w:val="20"/>
          <w:szCs w:val="20"/>
          <w:color w:val="auto"/>
        </w:rPr>
      </w:pPr>
      <w:r>
        <w:rPr>
          <w:rFonts w:ascii="Arial" w:cs="Arial" w:eastAsia="Arial" w:hAnsi="Arial"/>
          <w:sz w:val="18"/>
          <w:szCs w:val="18"/>
          <w:b w:val="1"/>
          <w:bCs w:val="1"/>
          <w:color w:val="auto"/>
        </w:rPr>
        <w:t>Average</w:t>
      </w:r>
    </w:p>
    <w:tbl>
      <w:tblPr>
        <w:tblLayout w:type="fixed"/>
        <w:tblInd w:w="0" w:type="dxa"/>
        <w:tblCellMar>
          <w:top w:w="0" w:type="dxa"/>
          <w:left w:w="0" w:type="dxa"/>
          <w:bottom w:w="0" w:type="dxa"/>
          <w:right w:w="0" w:type="dxa"/>
        </w:tblCellMar>
      </w:tblPr>
      <w:tr>
        <w:trPr>
          <w:trHeight w:val="163"/>
        </w:trPr>
        <w:tc>
          <w:tcPr>
            <w:tcW w:w="4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30"/>
              <w:spacing w:after="0" w:line="164" w:lineRule="exact"/>
              <w:rPr>
                <w:sz w:val="20"/>
                <w:szCs w:val="20"/>
                <w:color w:val="auto"/>
              </w:rPr>
            </w:pPr>
            <w:r>
              <w:rPr>
                <w:rFonts w:ascii="Arial" w:cs="Arial" w:eastAsia="Arial" w:hAnsi="Arial"/>
                <w:sz w:val="18"/>
                <w:szCs w:val="18"/>
                <w:b w:val="1"/>
                <w:bCs w:val="1"/>
                <w:color w:val="auto"/>
              </w:rPr>
              <w:t>Weighted-</w:t>
            </w:r>
          </w:p>
        </w:tc>
        <w:tc>
          <w:tcPr>
            <w:tcW w:w="120" w:type="dxa"/>
            <w:vAlign w:val="bottom"/>
          </w:tcPr>
          <w:p>
            <w:pPr>
              <w:spacing w:after="0"/>
              <w:rPr>
                <w:sz w:val="14"/>
                <w:szCs w:val="14"/>
                <w:color w:val="auto"/>
              </w:rPr>
            </w:pPr>
          </w:p>
        </w:tc>
        <w:tc>
          <w:tcPr>
            <w:tcW w:w="144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99"/>
              </w:rPr>
              <w:t>Remaining</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10"/>
              <w:spacing w:after="0" w:line="164" w:lineRule="exact"/>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76"/>
        </w:trPr>
        <w:tc>
          <w:tcPr>
            <w:tcW w:w="4920" w:type="dxa"/>
            <w:vAlign w:val="bottom"/>
          </w:tcPr>
          <w:p>
            <w:pPr>
              <w:spacing w:after="0"/>
              <w:rPr>
                <w:sz w:val="15"/>
                <w:szCs w:val="15"/>
                <w:color w:val="auto"/>
              </w:rPr>
            </w:pPr>
          </w:p>
        </w:tc>
        <w:tc>
          <w:tcPr>
            <w:tcW w:w="14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Contractual</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243"/>
        </w:trPr>
        <w:tc>
          <w:tcPr>
            <w:tcW w:w="492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Exercise Price</w:t>
            </w:r>
          </w:p>
        </w:tc>
        <w:tc>
          <w:tcPr>
            <w:tcW w:w="12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Term (in years)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December 31, 2021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50,160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Outstanding at March 31, 2022</w:t>
            </w:r>
          </w:p>
        </w:tc>
        <w:tc>
          <w:tcPr>
            <w:tcW w:w="1420" w:type="dxa"/>
            <w:vAlign w:val="bottom"/>
          </w:tcPr>
          <w:p>
            <w:pPr>
              <w:jc w:val="right"/>
              <w:spacing w:after="0"/>
              <w:rPr>
                <w:sz w:val="20"/>
                <w:szCs w:val="20"/>
                <w:color w:val="auto"/>
              </w:rPr>
            </w:pPr>
            <w:r>
              <w:rPr>
                <w:rFonts w:ascii="Arial" w:cs="Arial" w:eastAsia="Arial" w:hAnsi="Arial"/>
                <w:sz w:val="18"/>
                <w:szCs w:val="18"/>
                <w:color w:val="auto"/>
              </w:rPr>
              <w:t>114,079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43.75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8.94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March 31,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December 31,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107,128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9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Outstanding at March 31, 2023</w:t>
            </w:r>
          </w:p>
        </w:tc>
        <w:tc>
          <w:tcPr>
            <w:tcW w:w="1420" w:type="dxa"/>
            <w:vAlign w:val="bottom"/>
          </w:tcPr>
          <w:p>
            <w:pPr>
              <w:jc w:val="right"/>
              <w:spacing w:after="0"/>
              <w:rPr>
                <w:sz w:val="20"/>
                <w:szCs w:val="20"/>
                <w:color w:val="auto"/>
              </w:rPr>
            </w:pPr>
            <w:r>
              <w:rPr>
                <w:rFonts w:ascii="Arial" w:cs="Arial" w:eastAsia="Arial" w:hAnsi="Arial"/>
                <w:sz w:val="18"/>
                <w:szCs w:val="18"/>
                <w:color w:val="auto"/>
              </w:rPr>
              <w:t>107,128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23.67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8.04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March 31, 2023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59,870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both March 31, 2023 and 2022, there was approximately $ 0.7 and $1.0 million of total unrecognized compensation cost related to unvested stock options,. Total unrecognized compensation cost will be adjusted for future changes in employee and non-employee forfeitures, if any. The Company expects to recognize that cost over a remaining weighted-average period of 1.9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On May 5, 2023, the Company was notified by FDA that they have completed the review of the Company's submission and have concluded that the clinical trial may be resumed. See Recent Developments for further discussion</w:t>
      </w:r>
      <w:r>
        <w:rPr>
          <w:rFonts w:ascii="Arial" w:cs="Arial" w:eastAsia="Arial" w:hAnsi="Arial"/>
          <w:sz w:val="21"/>
          <w:szCs w:val="21"/>
          <w:i w:val="1"/>
          <w:iCs w:val="1"/>
          <w:color w:val="auto"/>
        </w:rPr>
        <w:t>.</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From April 4, 2023 to May 11, 2023, the Company sold 527,672 ATM shares of its common shares with gross proceeds of approximately $1.3 million </w:t>
      </w:r>
      <w:r>
        <w:rPr>
          <w:rFonts w:ascii="Arial" w:cs="Arial" w:eastAsia="Arial" w:hAnsi="Arial"/>
          <w:sz w:val="18"/>
          <w:szCs w:val="18"/>
          <w:color w:val="auto"/>
        </w:rPr>
        <w:t>under the Sales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2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The following discussion and analysis should be read in conjunction with the unaudited financial information and the notes thereto included herein, as well as our audited financial statements and notes thereto contained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2022, filed with the SEC on March 27, 2023.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"Part I - Item 1A - Risk Factors" discussed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2022,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We are a clinical-stage biopharmaceutical company focused on developing treatments for cancers with high, unmet medical need</w:t>
      </w:r>
      <w:r>
        <w:rPr>
          <w:rFonts w:ascii="Arial" w:cs="Arial" w:eastAsia="Arial" w:hAnsi="Arial"/>
          <w:sz w:val="21"/>
          <w:szCs w:val="21"/>
          <w:color w:val="auto"/>
        </w:rPr>
        <w:t>.</w:t>
      </w:r>
    </w:p>
    <w:p>
      <w:pPr>
        <w:spacing w:after="0" w:line="3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Specifically, we are developing treatments for cancers caused by dysregulated gene expression, i.e., genes which are incorrectly turned on or off. We are developing two classes of drugs that address gene dysregulation: protein inhibitors and targeted protein degraders. Our technologies have the potential to work in both liquid and solid tumors. Our current pipeline consists of: 1) SP-3164, a targeted protein degrader, and 2) seclidemstat (SP-2577), a targeted protein inhibitor.</w:t>
      </w:r>
    </w:p>
    <w:p>
      <w:pPr>
        <w:spacing w:after="0" w:line="18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have never been profitable and have incurred operating losses in each year since inception. We had an accumulated deficit of $69.1 million as of March 31, 2023. Substantially all of our operating losses resulted from expenses incurred in connection with our research and development programs and from general and administrative costs associated with our operations. As of March 31, 2023, we had cash and cash equivalents of $9.3 million.</w:t>
      </w:r>
    </w:p>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financial statements are prepared using Generally Accepted Accounting Principles in the United States of America (“GAAP”) applicable to a going concern, which contemplates the realization of assets and the satisfaction of liabilities in the normal course of business. Our financial statements do not include any adjustments relating to the recoverability and classification of recorded asset amounts and classification of liabilities should we be unable to continue as a going concern.</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expect to continue to incur significant expenses and increasing operating losses for at least the next several years as we initiate and continue the clinical development of, and seek regulatory approval for, our product candidate, add personnel necessary to continue to operate as a public company, and work to develop an advanced clinical pipeline of product candidates. We expect that our operating losses will fluctuate significantly from quarter-to-quarter and year-to-year due to timing of clinical development programs and efforts to achieve regulatory approval.</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lack of revenue from product sales to date and recurring losses from operations since our inception raise substantial doubt as to our ability to continue as a going concern. We will continue to require substantial additional capital to continue our clinical development activities will likely need such additional capital sooner than 12 months and will need to raise substantial additional capital in the future to continue to fund our operations. The amount and timing of our future funding requirements will depend on many factors, including the pace and results of our development, regulatory approvals and authorizations, commercialization efforts and market conditions. Failure to raise capital as and when needed, on favorable terms or at all, would have a negative impact on our financial condition and our ability to develop and commercialize our product candidates.</w:t>
      </w:r>
    </w:p>
    <w:p>
      <w:pPr>
        <w:spacing w:after="0" w:line="18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intend to obtain additional capital through the sale of equity securities in one or more offerings or through issuances of debt instruments, which will likely cause significant dilution to our existing shareholders. We may also consider new collaborations or selectively partnering our technology. However, we cannot provide any assurance that we will be successful in accomplishing any of our plans to obtain additional capital or be able to do so on terms acceptable to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Development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goal is to develop SP-3164 and SP-2577 for treatment of cancers while attempting to maximize return for investors. To achieve this goal, our strategy consists of a two-pronged approach: 1) speed-to-market by developing SP-3164 and SP-2577 in high unmet need indications and 2) expand the market by developing SP-3164 and SP-2577 in larger market indications.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SP-3164 – Targeted Protein Degradation</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SP-3164 is a next-generation cereblon-binding molecular glue. Molecular glues are small molecules that commandeer the body’s normal protein degradation processes by causing proteins to stick to one another thereby inducing selective degradation of cancer-causing proteins. Derived from avadomide, SP-3164 is engineered using DECS (deuterium-enabled chiral switching), a process that replaces hydrogen atoms with deuterium to stabilize the molecule’s active enantiomer, resulting in a novel molecular entity with the potential for increased efficacy and improved safety compared to the 1st generation compound. SP-3164 degrades transcription factors Ikaros (IKZF1) and Aiolos (IKZF3),</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resulting in both direct anti-cancer activity and immune-modulating properties. SP-3164 has potential to treat both hematologic and solid</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tumors and is currently in IND-enabling studies. We have presented preclinical data of SP-3164 in hematological cancers at several scientific conferences. Last year, we completed the pre-IND meeting process with the FDA and plan to submit an IND application in the first half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Seclidemstat - Targeted Protein Inhibition</w:t>
      </w:r>
    </w:p>
    <w:p>
      <w:pPr>
        <w:spacing w:after="0" w:line="23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lead compound, seclidemstat (SP-2577), is a small molecule that inhibits the epigenetic enzyme lysine specific demethylase 1 (LSD1). LSD1 is an enzyme that removes mono- and di-methyl marks on histones (core protein of chromatin) to alter gene expression. LSD1’s enzymatic activity can cause genes to turn on or off and thereby affect the cell’s gene expression and overall activity. In addition, LSD1 can act via its scaffolding properties, independently of its enzymatic function, to alter gene expression and modulate cell fate. In healthy cells, LSD1 is necessary for stem cell maintenance and cell development processes. However, in several cancers LSD1 is highly expressed and acts aberrantly to incorrectly silence or activate genes leading to disease progression. High levels of LSD1 expression are often associated with aggressive cancer phenotypes and poor patient prognosis. Hence, development of targeted LSD1 inhibitors is of interest for the treatment of various cancers. SP-2577 uses a novel, reversible mechanism to effectively inhibit LSD1’s enzymatic and scaffolding properties and thereby treat and prevent cancer progression.</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SP-2577 is being developed for both solid and liquid tumors. Our lead indication for SP-2577 is a devastating bone and soft-tissue cancer called Ewing sarcoma, which has a median age of diagnosis of 15. We are currently in a Phase 1/2 trial to treat relapsed/refractory Ewing sarcoma patients in combination with topotecan and cyclophosphamide. In addition, as part of our market expansion strategy, in 2021 an Investigator Initiated Trial with the MD Anderson Cancer Center was initiated to study SP-2577 in combination with azacitidine for the treatment of patients with myelodysplastic syndromes (MDS) or chronic myelomonocytic leukemia (CMML). MDS and CMML can progress into Acute Myeloid Leukemia (AML), which the American Cancer Society estimates there were almost 20,000 new cases of AML in the US alone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2023 Compared to the Three months ended March 31, 2022</w:t>
      </w:r>
    </w:p>
    <w:p>
      <w:pPr>
        <w:spacing w:after="0" w:line="235"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The following table sets forth the condensed consolidated results of our operations for the three months ended March 31, 2023 compared to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920" w:type="dxa"/>
        <w:tblCellMar>
          <w:top w:w="0" w:type="dxa"/>
          <w:left w:w="0" w:type="dxa"/>
          <w:bottom w:w="0" w:type="dxa"/>
          <w:right w:w="0" w:type="dxa"/>
        </w:tblCellMar>
      </w:tblPr>
      <w:tr>
        <w:trPr>
          <w:trHeight w:val="251"/>
        </w:trPr>
        <w:tc>
          <w:tcPr>
            <w:tcW w:w="3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Three months ended March 31,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59"/>
        </w:trPr>
        <w:tc>
          <w:tcPr>
            <w:tcW w:w="3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3,725,588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4,439,475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(713,887)</w:t>
            </w:r>
          </w:p>
        </w:tc>
      </w:tr>
      <w:tr>
        <w:trPr>
          <w:trHeight w:val="243"/>
        </w:trPr>
        <w:tc>
          <w:tcPr>
            <w:tcW w:w="37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1,695,075</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1,677,754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17,321</w:t>
            </w: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Interest income, net and other</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79,890</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8,004</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71,886</w:t>
            </w:r>
          </w:p>
        </w:tc>
      </w:tr>
      <w:tr>
        <w:trPr>
          <w:trHeight w:val="237"/>
        </w:trPr>
        <w:tc>
          <w:tcPr>
            <w:tcW w:w="376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(5,340,773)</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(6,109,225)</w:t>
            </w:r>
          </w:p>
        </w:tc>
        <w:tc>
          <w:tcPr>
            <w:tcW w:w="2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768,452</w:t>
            </w:r>
          </w:p>
        </w:tc>
      </w:tr>
      <w:tr>
        <w:trPr>
          <w:trHeight w:val="20"/>
        </w:trPr>
        <w:tc>
          <w:tcPr>
            <w:tcW w:w="3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Research and development expenses decreased during the three months ended March 31, 2023 compared to the same period in 2022 primarily due to lower spending on SP-2577.</w:t>
      </w:r>
    </w:p>
    <w:p>
      <w:pPr>
        <w:spacing w:after="0" w:line="221"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SP-2577</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SP-3164</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4380" w:type="dxa"/>
            <w:vAlign w:val="bottom"/>
            <w:vMerge w:val="restart"/>
          </w:tcPr>
          <w:p>
            <w:pPr>
              <w:spacing w:after="0"/>
              <w:rPr>
                <w:sz w:val="20"/>
                <w:szCs w:val="20"/>
                <w:color w:val="auto"/>
              </w:rPr>
            </w:pPr>
            <w:r>
              <w:rPr>
                <w:rFonts w:ascii="Arial" w:cs="Arial" w:eastAsia="Arial" w:hAnsi="Arial"/>
                <w:sz w:val="18"/>
                <w:szCs w:val="18"/>
                <w:b w:val="1"/>
                <w:bCs w:val="1"/>
                <w:color w:val="auto"/>
              </w:rPr>
              <w:t>Research and development costs by candidates</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w w:val="99"/>
              </w:rPr>
              <w:t>Three months ended March 31,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438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line="20" w:lineRule="exact"/>
              <w:rPr>
                <w:sz w:val="1"/>
                <w:szCs w:val="1"/>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b w:val="1"/>
                <w:bCs w:val="1"/>
                <w:color w:val="auto"/>
              </w:rPr>
              <w:t>and by categories:</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Outsourced research and development costs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712,825</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1,270,309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1,770,124</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117,603</w:t>
            </w: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0"/>
                <w:szCs w:val="20"/>
                <w:color w:val="auto"/>
              </w:rPr>
            </w:pPr>
            <w:r>
              <w:rPr>
                <w:rFonts w:ascii="Arial" w:cs="Arial" w:eastAsia="Arial" w:hAnsi="Arial"/>
                <w:sz w:val="18"/>
                <w:szCs w:val="18"/>
                <w:color w:val="auto"/>
              </w:rPr>
              <w:t>Employee-related costs</w:t>
            </w:r>
          </w:p>
        </w:tc>
        <w:tc>
          <w:tcPr>
            <w:tcW w:w="2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540,376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605,818</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50,974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44,059</w:t>
            </w: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Manufacturing and laboratory costs</w:t>
            </w:r>
          </w:p>
        </w:tc>
        <w:tc>
          <w:tcPr>
            <w:tcW w:w="2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90,822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390,419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560,467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22,367</w:t>
            </w: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0"/>
                <w:szCs w:val="20"/>
                <w:color w:val="auto"/>
              </w:rPr>
            </w:pPr>
            <w:r>
              <w:rPr>
                <w:rFonts w:ascii="Arial" w:cs="Arial" w:eastAsia="Arial" w:hAnsi="Arial"/>
                <w:sz w:val="18"/>
                <w:szCs w:val="18"/>
                <w:color w:val="auto"/>
              </w:rPr>
              <w:t>In process research and development costs</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1,987,900</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b w:val="1"/>
                <w:bCs w:val="1"/>
                <w:color w:val="auto"/>
              </w:rPr>
              <w:t>Total research and development costs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1,344,023</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2,266,546</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2,381,565</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2,171,929</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expenses is $1.7 million during the three months ended March 31, 2023, consistent with the three months ended March 31, 2022, resulting from higher legal and business development cost offsetting by lower proxy service expense and overall compensation and benefit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incurred operating losses and we anticipate that we will continue to incur losses for the foreseeable future.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2023, we had $5.4 million of working capital and our cash and cash equivalents totaled $9.3 million, which were held in bank deposit accounts and a money market account. Our cash and cash equivalents balance decreased during the three months ended March 31, 2023, primarily due to cash used in operating activities, partially offset by the cash received from financing activities. We believe that our $9.3 million in cash and cash equivalents on hand as of March 31, 2023, is sufficient to fund our anticipated operations through the third quarter of 2023.</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expect to generate any revenue from product sales unless and until we obtain regulatory approval for and commercialize our product candidate. At the same time, we expect to continue to incur significant expenses and increasing operating losses for at least the next several years as we initiate and continue the clinical development of, and seek regulatory approval for, our product candidate, add personnel necessary to continue to operate as a public company, and work to develop an advanced clinical pipeline of product candidates. We expect that our operating losses will fluctuate significantly from quarter-to-quarter and year-to-year due to timing of clinical development programs and efforts to achieve regulatory approval.</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date, we have secured capital from the sale of equity and grant revenue. Until we can generate a sufficient amount of revenue from our products, if ever, we intend, when required, to obtain additional capital through the sale of equity securities in one or more offerings or through issuances of debt instruments. We may also consider new</w:t>
      </w:r>
    </w:p>
    <w:p>
      <w:pPr>
        <w:sectPr>
          <w:pgSz w:w="11900" w:h="16838" w:orient="portrait"/>
          <w:cols w:equalWidth="0" w:num="1">
            <w:col w:w="11240"/>
          </w:cols>
          <w:pgMar w:left="320" w:top="278"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collaborations or selectively partnering our technology. However, we cannot provide any assurance that we will be successful in accomplishing any of our plans to obtain additional capital or be able to do so on favorable terms acceptable to us. If we are unable to obtain additional financing, we may be required to significantly delay, scale back or discontinue the development or commercialization of our product</w:t>
      </w:r>
    </w:p>
    <w:p>
      <w:pPr>
        <w:spacing w:after="0" w:line="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candidate. Furthermore, we may be unable to complete a collaboration, or if we do, we may be forced to relinquish valuable future product rights.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50"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Three months ended March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20" w:type="dxa"/>
            <w:vAlign w:val="bottom"/>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72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2023</w:t>
            </w:r>
          </w:p>
        </w:tc>
        <w:tc>
          <w:tcPr>
            <w:tcW w:w="200" w:type="dxa"/>
            <w:vAlign w:val="bottom"/>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180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b w:val="1"/>
                <w:bCs w:val="1"/>
                <w:color w:val="auto"/>
              </w:rPr>
              <w:t>2022</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Net cash (used in) provided by in:</w:t>
            </w: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6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(3,169,435)</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(3,520,826)</w:t>
            </w:r>
          </w:p>
        </w:tc>
      </w:tr>
      <w:tr>
        <w:trPr>
          <w:trHeight w:val="229"/>
        </w:trPr>
        <w:tc>
          <w:tcPr>
            <w:tcW w:w="642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(1,500,000)</w:t>
            </w:r>
          </w:p>
        </w:tc>
      </w:tr>
      <w:tr>
        <w:trPr>
          <w:trHeight w:val="243"/>
        </w:trPr>
        <w:tc>
          <w:tcPr>
            <w:tcW w:w="6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5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336,682</w:t>
            </w:r>
          </w:p>
        </w:tc>
        <w:tc>
          <w:tcPr>
            <w:tcW w:w="2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(2,832,753)</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(5,020,826)</w:t>
            </w:r>
          </w:p>
        </w:tc>
      </w:tr>
      <w:tr>
        <w:trPr>
          <w:trHeight w:val="21"/>
        </w:trPr>
        <w:tc>
          <w:tcPr>
            <w:tcW w:w="6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Net cash used in operating activities was $3.2 million in the current period, a decrease of approximately $0.4 million from the same period a year ago. The decrease is primarily due to lower research and development cost incurred in current year and $1.5 million cash received from CPRIT.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Net cash used in investing activities was $1.5 million in the prior period, for the cash portion of the purchase price for the acquisition of in-process research and development technology SP-3164. There was no such transaction during the same period in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by financing activities for the three months ended March 31, 2023 was $0.3 million, compared to $0.0 million for the same period of the year 2022. This is due to the Company's sale of 142,499 common shares under is ATM offering during the three months ended March 31,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4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condensed consolidated financial statements prospectively from the date of the change in estimate.</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There have been no material changes to our critical accounting policies from those described in "Management's Discussion and Analysis of Financial Condition and Results of Operations" included in our Annual Report on Form 10-K filed with SEC on March 27, 2023.</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Readers should refer to our Annual Report on Form10-K filed with SEC on March 27, 2023, Note 2, Basis of Presentation and Significant Accounting Policies to the accompanying financial statements for descriptions of these policies and estimates.</w:t>
      </w:r>
    </w:p>
    <w:p>
      <w:pPr>
        <w:spacing w:after="0" w:line="1"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as amended, and are not required to provide the information under this item.</w:t>
      </w:r>
    </w:p>
    <w:p>
      <w:pPr>
        <w:spacing w:after="0" w:line="231"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0" w:lineRule="exact"/>
        <w:rPr>
          <w:sz w:val="20"/>
          <w:szCs w:val="20"/>
          <w:color w:val="auto"/>
        </w:rPr>
      </w:pPr>
    </w:p>
    <w:p>
      <w:pPr>
        <w:spacing w:after="0" w:line="2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March 31, 2023.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2023, our principal executive officer and principal financial officer concluded that, as of such date, our disclosure controls and procedures were effective at the reasonable assurance level.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the three months ended March 31, 2023, there was no significant change in our internal control over financial reporting that has materially affected, or is reasonably likely to materially affect, our internal control over financial reporting.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50"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35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212529"/>
        </w:rPr>
        <w:t>We are not a party to any material legal proceedings on the date of this report. We may from time to time become involved in legal proceedings arising in the ordinary course of business, and the resolution of any such claims could be material.</w:t>
      </w:r>
    </w:p>
    <w:p>
      <w:pPr>
        <w:spacing w:after="0" w:line="230"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4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a discussion of certain factors that could materially affect our business, financial condition, and operating results, you should carefully review and consider the information under “Part I, Item 1A- Risk Factors” in our Annual Report on Form 10-K for the year ended December 31, 2022, filed with the SEC on March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Item 6.</w:t>
            </w:r>
          </w:p>
        </w:tc>
        <w:tc>
          <w:tcPr>
            <w:tcW w:w="10120" w:type="dxa"/>
            <w:vAlign w:val="bottom"/>
            <w:gridSpan w:val="12"/>
          </w:tcPr>
          <w:p>
            <w:pPr>
              <w:ind w:left="1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33"/>
        </w:trPr>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Exhibit</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160" w:type="dxa"/>
            <w:vAlign w:val="bottom"/>
            <w:gridSpan w:val="7"/>
            <w:vMerge w:val="restart"/>
          </w:tcPr>
          <w:p>
            <w:pPr>
              <w:ind w:left="280"/>
              <w:spacing w:after="0"/>
              <w:rPr>
                <w:sz w:val="20"/>
                <w:szCs w:val="20"/>
                <w:color w:val="auto"/>
              </w:rPr>
            </w:pPr>
            <w:r>
              <w:rPr>
                <w:rFonts w:ascii="Arial" w:cs="Arial" w:eastAsia="Arial" w:hAnsi="Arial"/>
                <w:sz w:val="18"/>
                <w:szCs w:val="18"/>
                <w:b w:val="1"/>
                <w:bCs w:val="1"/>
                <w:color w:val="auto"/>
              </w:rPr>
              <w:t>Description of Document</w:t>
            </w:r>
          </w:p>
        </w:tc>
        <w:tc>
          <w:tcPr>
            <w:tcW w:w="0" w:type="dxa"/>
            <w:vAlign w:val="bottom"/>
          </w:tcPr>
          <w:p>
            <w:pPr>
              <w:spacing w:after="0"/>
              <w:rPr>
                <w:sz w:val="1"/>
                <w:szCs w:val="1"/>
                <w:color w:val="auto"/>
              </w:rPr>
            </w:pPr>
          </w:p>
        </w:tc>
      </w:tr>
      <w:tr>
        <w:trPr>
          <w:trHeight w:val="243"/>
        </w:trPr>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number</w:t>
            </w:r>
          </w:p>
        </w:tc>
        <w:tc>
          <w:tcPr>
            <w:tcW w:w="5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tcPr>
          <w:p>
            <w:pPr>
              <w:spacing w:after="0"/>
              <w:rPr>
                <w:sz w:val="21"/>
                <w:szCs w:val="21"/>
                <w:color w:val="auto"/>
              </w:rPr>
            </w:pPr>
          </w:p>
        </w:tc>
        <w:tc>
          <w:tcPr>
            <w:tcW w:w="6160" w:type="dxa"/>
            <w:vAlign w:val="bottom"/>
            <w:tcBorders>
              <w:bottom w:val="single" w:sz="8" w:color="auto"/>
            </w:tcBorders>
            <w:gridSpan w:val="7"/>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40" w:type="dxa"/>
            <w:vAlign w:val="bottom"/>
            <w:tcBorders>
              <w:bottom w:val="single" w:sz="8" w:color="0000FF"/>
            </w:tcBorders>
            <w:gridSpan w:val="5"/>
          </w:tcPr>
          <w:p>
            <w:pPr>
              <w:spacing w:after="0"/>
              <w:rPr>
                <w:rFonts w:ascii="Arial" w:cs="Arial" w:eastAsia="Arial" w:hAnsi="Arial"/>
                <w:sz w:val="18"/>
                <w:szCs w:val="18"/>
                <w:color w:val="0000FF"/>
                <w:w w:val="99"/>
              </w:rPr>
            </w:pPr>
            <w:hyperlink r:id="rId32">
              <w:r>
                <w:rPr>
                  <w:rFonts w:ascii="Arial" w:cs="Arial" w:eastAsia="Arial" w:hAnsi="Arial"/>
                  <w:sz w:val="18"/>
                  <w:szCs w:val="18"/>
                  <w:color w:val="0000FF"/>
                  <w:w w:val="99"/>
                </w:rPr>
                <w:t>Amended and Restated Certificate Amended and Restated Certificate of Incorporation</w:t>
              </w:r>
            </w:hyperlink>
          </w:p>
        </w:tc>
        <w:tc>
          <w:tcPr>
            <w:tcW w:w="274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300" w:type="dxa"/>
            <w:vAlign w:val="bottom"/>
            <w:tcBorders>
              <w:bottom w:val="single" w:sz="8" w:color="0000FF"/>
            </w:tcBorders>
            <w:gridSpan w:val="7"/>
          </w:tcPr>
          <w:p>
            <w:pPr>
              <w:spacing w:after="0"/>
              <w:rPr>
                <w:rFonts w:ascii="Arial" w:cs="Arial" w:eastAsia="Arial" w:hAnsi="Arial"/>
                <w:sz w:val="18"/>
                <w:szCs w:val="18"/>
                <w:color w:val="0000FF"/>
                <w:w w:val="99"/>
              </w:rPr>
            </w:pPr>
            <w:hyperlink r:id="rId33">
              <w:r>
                <w:rPr>
                  <w:rFonts w:ascii="Arial" w:cs="Arial" w:eastAsia="Arial" w:hAnsi="Arial"/>
                  <w:sz w:val="18"/>
                  <w:szCs w:val="18"/>
                  <w:color w:val="0000FF"/>
                  <w:w w:val="99"/>
                </w:rPr>
                <w:t>Certificate of Amendment to Certificate of Incorporation filed with the Secretary of State of Delaware on July 18, 2019</w:t>
              </w:r>
            </w:hyperlink>
          </w:p>
        </w:tc>
        <w:tc>
          <w:tcPr>
            <w:tcW w:w="2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580" w:type="dxa"/>
            <w:vAlign w:val="bottom"/>
            <w:gridSpan w:val="10"/>
          </w:tcPr>
          <w:p>
            <w:pPr>
              <w:spacing w:after="0"/>
              <w:rPr>
                <w:rFonts w:ascii="Arial" w:cs="Arial" w:eastAsia="Arial" w:hAnsi="Arial"/>
                <w:sz w:val="18"/>
                <w:szCs w:val="18"/>
                <w:color w:val="0000FF"/>
              </w:rPr>
            </w:pPr>
            <w:hyperlink r:id="rId34">
              <w:r>
                <w:rPr>
                  <w:rFonts w:ascii="Arial" w:cs="Arial" w:eastAsia="Arial" w:hAnsi="Arial"/>
                  <w:sz w:val="18"/>
                  <w:szCs w:val="18"/>
                  <w:color w:val="0000FF"/>
                </w:rPr>
                <w:t>Certificate of Amendment to Certificate of Incorporation filed with the Secretary of State of Delaware on October 14,</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r:id="rId34">
              <w:r>
                <w:rPr>
                  <w:rFonts w:ascii="Arial" w:cs="Arial" w:eastAsia="Arial" w:hAnsi="Arial"/>
                  <w:sz w:val="18"/>
                  <w:szCs w:val="18"/>
                  <w:color w:val="0000FF"/>
                  <w:w w:val="94"/>
                </w:rPr>
                <w:t>2022</w:t>
              </w:r>
            </w:hyperlink>
          </w:p>
        </w:tc>
        <w:tc>
          <w:tcPr>
            <w:tcW w:w="40" w:type="dxa"/>
            <w:vAlign w:val="bottom"/>
            <w:tcBorders>
              <w:top w:val="single" w:sz="8" w:color="0000FF"/>
            </w:tcBorders>
          </w:tcPr>
          <w:p>
            <w:pPr>
              <w:spacing w:after="0"/>
              <w:rPr>
                <w:sz w:val="13"/>
                <w:szCs w:val="13"/>
                <w:color w:val="auto"/>
              </w:rPr>
            </w:pPr>
          </w:p>
        </w:tc>
        <w:tc>
          <w:tcPr>
            <w:tcW w:w="298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2460" w:type="dxa"/>
            <w:vAlign w:val="bottom"/>
            <w:tcBorders>
              <w:top w:val="single" w:sz="8" w:color="0000FF"/>
            </w:tcBorders>
          </w:tcPr>
          <w:p>
            <w:pPr>
              <w:spacing w:after="0"/>
              <w:rPr>
                <w:sz w:val="13"/>
                <w:szCs w:val="13"/>
                <w:color w:val="auto"/>
              </w:rPr>
            </w:pPr>
          </w:p>
        </w:tc>
        <w:tc>
          <w:tcPr>
            <w:tcW w:w="232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2"/>
        </w:trPr>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80" w:type="dxa"/>
            <w:vAlign w:val="bottom"/>
            <w:gridSpan w:val="10"/>
          </w:tcPr>
          <w:p>
            <w:pPr>
              <w:spacing w:after="0"/>
              <w:rPr>
                <w:rFonts w:ascii="Arial" w:cs="Arial" w:eastAsia="Arial" w:hAnsi="Arial"/>
                <w:sz w:val="18"/>
                <w:szCs w:val="18"/>
                <w:color w:val="0000FF"/>
              </w:rPr>
            </w:pPr>
            <w:hyperlink r:id="rId35">
              <w:r>
                <w:rPr>
                  <w:rFonts w:ascii="Arial" w:cs="Arial" w:eastAsia="Arial" w:hAnsi="Arial"/>
                  <w:sz w:val="18"/>
                  <w:szCs w:val="18"/>
                  <w:color w:val="0000FF"/>
                </w:rPr>
                <w:t>Amended and Restated Bylaws, effective July 19, 2019</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580" w:type="dxa"/>
            <w:vAlign w:val="bottom"/>
            <w:gridSpan w:val="10"/>
          </w:tcPr>
          <w:p>
            <w:pPr>
              <w:spacing w:after="0"/>
              <w:rPr>
                <w:sz w:val="20"/>
                <w:szCs w:val="20"/>
                <w:color w:val="auto"/>
              </w:rPr>
            </w:pPr>
            <w:r>
              <w:rPr>
                <w:rFonts w:ascii="Arial" w:cs="Arial" w:eastAsia="Arial" w:hAnsi="Arial"/>
                <w:sz w:val="18"/>
                <w:szCs w:val="18"/>
                <w:color w:val="0000FF"/>
              </w:rPr>
              <w:t>Certification of the Principal Executive Officer pursuant to Rule 13a-14(a) or 15d-14(a) of the Securities Exchange Act of</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44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3"/>
              </w:rPr>
              <w:t>1934.</w:t>
            </w:r>
          </w:p>
        </w:tc>
        <w:tc>
          <w:tcPr>
            <w:tcW w:w="298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2460" w:type="dxa"/>
            <w:vAlign w:val="bottom"/>
            <w:tcBorders>
              <w:top w:val="single" w:sz="8" w:color="0000FF"/>
            </w:tcBorders>
          </w:tcPr>
          <w:p>
            <w:pPr>
              <w:spacing w:after="0"/>
              <w:rPr>
                <w:sz w:val="13"/>
                <w:szCs w:val="13"/>
                <w:color w:val="auto"/>
              </w:rPr>
            </w:pPr>
          </w:p>
        </w:tc>
        <w:tc>
          <w:tcPr>
            <w:tcW w:w="23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tcPr>
          <w:p>
            <w:pPr>
              <w:jc w:val="right"/>
              <w:spacing w:after="0"/>
              <w:rPr>
                <w:sz w:val="20"/>
                <w:szCs w:val="20"/>
                <w:color w:val="auto"/>
              </w:rPr>
            </w:pPr>
            <w:r>
              <w:rPr>
                <w:rFonts w:ascii="Arial" w:cs="Arial" w:eastAsia="Arial" w:hAnsi="Arial"/>
                <w:sz w:val="18"/>
                <w:szCs w:val="18"/>
                <w:color w:val="auto"/>
              </w:rPr>
              <w:t>31.2</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580" w:type="dxa"/>
            <w:vAlign w:val="bottom"/>
            <w:gridSpan w:val="10"/>
          </w:tcPr>
          <w:p>
            <w:pPr>
              <w:spacing w:after="0"/>
              <w:rPr>
                <w:sz w:val="20"/>
                <w:szCs w:val="20"/>
                <w:color w:val="auto"/>
              </w:rPr>
            </w:pPr>
            <w:r>
              <w:rPr>
                <w:rFonts w:ascii="Arial" w:cs="Arial" w:eastAsia="Arial" w:hAnsi="Arial"/>
                <w:sz w:val="18"/>
                <w:szCs w:val="18"/>
                <w:color w:val="0000FF"/>
              </w:rPr>
              <w:t>Certification of the Principal Financial Officer pursuant to Rule 13a-14(a) or 15d-14(a) of the Securities Exchange Act of</w:t>
            </w: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540" w:type="dxa"/>
            <w:vAlign w:val="bottom"/>
            <w:gridSpan w:val="2"/>
          </w:tcPr>
          <w:p>
            <w:pPr>
              <w:spacing w:after="0"/>
              <w:rPr>
                <w:sz w:val="14"/>
                <w:szCs w:val="14"/>
                <w:color w:val="auto"/>
              </w:rPr>
            </w:pPr>
          </w:p>
        </w:tc>
        <w:tc>
          <w:tcPr>
            <w:tcW w:w="44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3"/>
              </w:rPr>
              <w:t>1934.</w:t>
            </w:r>
          </w:p>
        </w:tc>
        <w:tc>
          <w:tcPr>
            <w:tcW w:w="298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2460" w:type="dxa"/>
            <w:vAlign w:val="bottom"/>
            <w:tcBorders>
              <w:top w:val="single" w:sz="8" w:color="0000FF"/>
            </w:tcBorders>
          </w:tcPr>
          <w:p>
            <w:pPr>
              <w:spacing w:after="0"/>
              <w:rPr>
                <w:sz w:val="14"/>
                <w:szCs w:val="14"/>
                <w:color w:val="auto"/>
              </w:rPr>
            </w:pPr>
          </w:p>
        </w:tc>
        <w:tc>
          <w:tcPr>
            <w:tcW w:w="23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20" w:type="dxa"/>
            <w:vAlign w:val="bottom"/>
          </w:tcPr>
          <w:p>
            <w:pPr>
              <w:jc w:val="right"/>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580" w:type="dxa"/>
            <w:vAlign w:val="bottom"/>
            <w:gridSpan w:val="10"/>
          </w:tcPr>
          <w:p>
            <w:pPr>
              <w:spacing w:after="0"/>
              <w:rPr>
                <w:sz w:val="20"/>
                <w:szCs w:val="20"/>
                <w:color w:val="auto"/>
              </w:rPr>
            </w:pPr>
            <w:r>
              <w:rPr>
                <w:rFonts w:ascii="Arial" w:cs="Arial" w:eastAsia="Arial" w:hAnsi="Arial"/>
                <w:sz w:val="18"/>
                <w:szCs w:val="18"/>
                <w:color w:val="0000FF"/>
              </w:rPr>
              <w:t>Certification of Principal Executive Officer and Principal Financial Officer pursuant to Rule 13a-14(b) or 15d-14(b) of the</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6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rPr>
              <w:t>Exchange Act and 18 U.S.C. Section 1350.</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61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jc w:val="right"/>
              <w:spacing w:after="0"/>
              <w:rPr>
                <w:sz w:val="20"/>
                <w:szCs w:val="20"/>
                <w:color w:val="auto"/>
              </w:rPr>
            </w:pPr>
            <w:r>
              <w:rPr>
                <w:rFonts w:ascii="Arial" w:cs="Arial" w:eastAsia="Arial" w:hAnsi="Arial"/>
                <w:sz w:val="18"/>
                <w:szCs w:val="18"/>
                <w:color w:val="auto"/>
              </w:rPr>
              <w:t>101.0</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580" w:type="dxa"/>
            <w:vAlign w:val="bottom"/>
            <w:gridSpan w:val="10"/>
          </w:tcPr>
          <w:p>
            <w:pPr>
              <w:spacing w:after="0"/>
              <w:rPr>
                <w:sz w:val="20"/>
                <w:szCs w:val="20"/>
                <w:color w:val="auto"/>
              </w:rPr>
            </w:pPr>
            <w:r>
              <w:rPr>
                <w:rFonts w:ascii="Arial" w:cs="Arial" w:eastAsia="Arial" w:hAnsi="Arial"/>
                <w:sz w:val="18"/>
                <w:szCs w:val="18"/>
                <w:color w:val="auto"/>
              </w:rPr>
              <w:t>The following materials from Salarius Pharmaceuticals, Inc.'s Quarterly Report on Form 10-Q for the quarter ended</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580" w:type="dxa"/>
            <w:vAlign w:val="bottom"/>
            <w:gridSpan w:val="10"/>
          </w:tcPr>
          <w:p>
            <w:pPr>
              <w:spacing w:after="0" w:line="176" w:lineRule="exact"/>
              <w:rPr>
                <w:sz w:val="20"/>
                <w:szCs w:val="20"/>
                <w:color w:val="auto"/>
              </w:rPr>
            </w:pPr>
            <w:r>
              <w:rPr>
                <w:rFonts w:ascii="Arial" w:cs="Arial" w:eastAsia="Arial" w:hAnsi="Arial"/>
                <w:sz w:val="18"/>
                <w:szCs w:val="18"/>
                <w:color w:val="auto"/>
              </w:rPr>
              <w:t>March 31, 2023, formatted in XBRL (eXtensible Business Reporting Language):(i) Unaudited Condensed Consolidated</w:t>
            </w: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80" w:type="dxa"/>
            <w:vAlign w:val="bottom"/>
            <w:gridSpan w:val="10"/>
          </w:tcPr>
          <w:p>
            <w:pPr>
              <w:spacing w:after="0" w:line="201" w:lineRule="exact"/>
              <w:rPr>
                <w:sz w:val="20"/>
                <w:szCs w:val="20"/>
                <w:color w:val="auto"/>
              </w:rPr>
            </w:pPr>
            <w:r>
              <w:rPr>
                <w:rFonts w:ascii="Arial" w:cs="Arial" w:eastAsia="Arial" w:hAnsi="Arial"/>
                <w:sz w:val="18"/>
                <w:szCs w:val="18"/>
                <w:color w:val="auto"/>
              </w:rPr>
              <w:t>Balance Sheets, (ii) Unaudited Condensed Consolidated Statements of Operations (iii) Unaudited Condensed</w:t>
            </w:r>
          </w:p>
        </w:tc>
        <w:tc>
          <w:tcPr>
            <w:tcW w:w="0" w:type="dxa"/>
            <w:vAlign w:val="bottom"/>
          </w:tcPr>
          <w:p>
            <w:pPr>
              <w:spacing w:after="0"/>
              <w:rPr>
                <w:sz w:val="1"/>
                <w:szCs w:val="1"/>
                <w:color w:val="auto"/>
              </w:rPr>
            </w:pPr>
          </w:p>
        </w:tc>
      </w:tr>
    </w:tbl>
    <w:p>
      <w:pPr>
        <w:ind w:left="1660" w:right="120"/>
        <w:spacing w:after="0" w:line="227" w:lineRule="auto"/>
        <w:rPr>
          <w:sz w:val="20"/>
          <w:szCs w:val="20"/>
          <w:color w:val="auto"/>
        </w:rPr>
      </w:pPr>
      <w:r>
        <w:rPr>
          <w:rFonts w:ascii="Arial" w:cs="Arial" w:eastAsia="Arial" w:hAnsi="Arial"/>
          <w:sz w:val="18"/>
          <w:szCs w:val="18"/>
          <w:color w:val="auto"/>
        </w:rPr>
        <w:t>Consolidated Statements of Stockholders' Equity (Deficit), (iv) Unaudited Condensed Consolidated Statements of Cash Flows, and (v) Notes to Condensed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27343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 w:right="140" w:hanging="172"/>
        <w:spacing w:after="0" w:line="267" w:lineRule="auto"/>
        <w:tabs>
          <w:tab w:leader="none" w:pos="111"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material contained in Exhibit 32.1 is not deemed “filed” with the SEC and is not to be incorporated by reference into any filing of the Company under the Securities Act of 1933 or the Exchange Act, whether made before or after the date hereof and irrespective of any general incorporation language contained in such filing, except to the extent that the registrant specifically incorporates it by reference.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68"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72"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SALARIUS PHARMACEUTICALS, INC.</w:t>
      </w:r>
    </w:p>
    <w:p>
      <w:pPr>
        <w:spacing w:after="0" w:line="87" w:lineRule="exact"/>
        <w:rPr>
          <w:sz w:val="20"/>
          <w:szCs w:val="20"/>
          <w:color w:val="auto"/>
        </w:rPr>
      </w:pPr>
    </w:p>
    <w:p>
      <w:pPr>
        <w:ind w:left="534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22225</wp:posOffset>
            </wp:positionV>
            <wp:extent cx="32918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David J. Arthur</w:t>
      </w:r>
    </w:p>
    <w:p>
      <w:pPr>
        <w:ind w:left="5940"/>
        <w:spacing w:after="0" w:line="203" w:lineRule="auto"/>
        <w:rPr>
          <w:sz w:val="20"/>
          <w:szCs w:val="20"/>
          <w:color w:val="auto"/>
        </w:rPr>
      </w:pPr>
      <w:r>
        <w:rPr>
          <w:rFonts w:ascii="Arial" w:cs="Arial" w:eastAsia="Arial" w:hAnsi="Arial"/>
          <w:sz w:val="18"/>
          <w:szCs w:val="18"/>
          <w:i w:val="1"/>
          <w:iCs w:val="1"/>
          <w:color w:val="auto"/>
        </w:rPr>
        <w:t>President and Chief Executive Officer (Principal Executive</w:t>
      </w:r>
    </w:p>
    <w:p>
      <w:pPr>
        <w:ind w:left="5940"/>
        <w:spacing w:after="0"/>
        <w:rPr>
          <w:sz w:val="20"/>
          <w:szCs w:val="20"/>
          <w:color w:val="auto"/>
        </w:rPr>
      </w:pPr>
      <w:r>
        <w:rPr>
          <w:rFonts w:ascii="Arial" w:cs="Arial" w:eastAsia="Arial" w:hAnsi="Arial"/>
          <w:sz w:val="18"/>
          <w:szCs w:val="18"/>
          <w:i w:val="1"/>
          <w:iCs w:val="1"/>
          <w:color w:val="auto"/>
        </w:rPr>
        <w:t>Officer)</w:t>
      </w:r>
    </w:p>
    <w:p>
      <w:pPr>
        <w:spacing w:after="0" w:line="132" w:lineRule="exact"/>
        <w:rPr>
          <w:sz w:val="20"/>
          <w:szCs w:val="20"/>
          <w:color w:val="auto"/>
        </w:rPr>
      </w:pPr>
    </w:p>
    <w:p>
      <w:pPr>
        <w:ind w:left="534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J.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13970</wp:posOffset>
            </wp:positionV>
            <wp:extent cx="32918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Mark J. Rosenblum</w:t>
      </w:r>
    </w:p>
    <w:p>
      <w:pPr>
        <w:ind w:left="5940"/>
        <w:spacing w:after="0"/>
        <w:rPr>
          <w:sz w:val="20"/>
          <w:szCs w:val="20"/>
          <w:color w:val="auto"/>
        </w:rPr>
      </w:pPr>
      <w:r>
        <w:rPr>
          <w:rFonts w:ascii="Arial" w:cs="Arial" w:eastAsia="Arial" w:hAnsi="Arial"/>
          <w:sz w:val="18"/>
          <w:szCs w:val="18"/>
          <w:i w:val="1"/>
          <w:iCs w:val="1"/>
          <w:color w:val="auto"/>
        </w:rPr>
        <w:t>Chief Financial Officer and Executive Vice President of Finance</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132"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tab/>
        <w:t>May 11,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278" w:right="47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Certification Pursuant to Securities Exchange Act Rules 13a-14(a) and 15d-14(a) as adopted Pursuant to Section 302 of the</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Sarbanes-Oxley Act of 2002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 David J. Arthur, President and Chief Executive Officer, certify that:</w:t>
      </w:r>
    </w:p>
    <w:p>
      <w:pPr>
        <w:spacing w:after="0" w:line="252" w:lineRule="exact"/>
        <w:rPr>
          <w:sz w:val="20"/>
          <w:szCs w:val="20"/>
          <w:color w:val="auto"/>
        </w:rPr>
      </w:pPr>
    </w:p>
    <w:p>
      <w:pPr>
        <w:ind w:left="860" w:hanging="204"/>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jc w:val="both"/>
        <w:ind w:left="660" w:hanging="4"/>
        <w:spacing w:after="0" w:line="263" w:lineRule="auto"/>
        <w:tabs>
          <w:tab w:leader="none" w:pos="887"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jc w:val="both"/>
        <w:ind w:left="660" w:hanging="4"/>
        <w:spacing w:after="0" w:line="263" w:lineRule="auto"/>
        <w:tabs>
          <w:tab w:leader="none" w:pos="892"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left="660" w:hanging="4"/>
        <w:spacing w:after="0" w:line="263" w:lineRule="auto"/>
        <w:tabs>
          <w:tab w:leader="none" w:pos="87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300" w:firstLine="4"/>
        <w:spacing w:after="0" w:line="263" w:lineRule="auto"/>
        <w:tabs>
          <w:tab w:leader="none" w:pos="152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firstLine="4"/>
        <w:spacing w:after="0" w:line="263" w:lineRule="auto"/>
        <w:tabs>
          <w:tab w:leader="none" w:pos="1543"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firstLine="4"/>
        <w:spacing w:after="0" w:line="263" w:lineRule="auto"/>
        <w:tabs>
          <w:tab w:leader="none" w:pos="1545"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left="1300" w:firstLine="4"/>
        <w:spacing w:after="0" w:line="263" w:lineRule="auto"/>
        <w:tabs>
          <w:tab w:leader="none" w:pos="1536"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jc w:val="both"/>
        <w:ind w:left="660" w:hanging="4"/>
        <w:spacing w:after="0" w:line="263" w:lineRule="auto"/>
        <w:tabs>
          <w:tab w:leader="none" w:pos="86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jc w:val="both"/>
        <w:ind w:left="1300" w:firstLine="4"/>
        <w:spacing w:after="0" w:line="263" w:lineRule="auto"/>
        <w:tabs>
          <w:tab w:leader="none" w:pos="1514"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0" w:lineRule="exact"/>
        <w:rPr>
          <w:rFonts w:ascii="Arial" w:cs="Arial" w:eastAsia="Arial" w:hAnsi="Arial"/>
          <w:sz w:val="18"/>
          <w:szCs w:val="18"/>
          <w:color w:val="auto"/>
        </w:rPr>
      </w:pPr>
    </w:p>
    <w:p>
      <w:pPr>
        <w:ind w:left="1300" w:right="580" w:firstLine="4"/>
        <w:spacing w:after="0" w:line="273" w:lineRule="auto"/>
        <w:tabs>
          <w:tab w:leader="none" w:pos="1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6"/>
        </w:trPr>
        <w:tc>
          <w:tcPr>
            <w:tcW w:w="4820" w:type="dxa"/>
            <w:vAlign w:val="bottom"/>
          </w:tcPr>
          <w:p>
            <w:pPr>
              <w:spacing w:after="0"/>
              <w:rPr>
                <w:sz w:val="20"/>
                <w:szCs w:val="20"/>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J. Arthur</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David J. Arthur</w:t>
            </w:r>
          </w:p>
        </w:tc>
        <w:tc>
          <w:tcPr>
            <w:tcW w:w="0" w:type="dxa"/>
            <w:vAlign w:val="bottom"/>
          </w:tcPr>
          <w:p>
            <w:pPr>
              <w:spacing w:after="0"/>
              <w:rPr>
                <w:sz w:val="1"/>
                <w:szCs w:val="1"/>
                <w:color w:val="auto"/>
              </w:rPr>
            </w:pPr>
          </w:p>
        </w:tc>
      </w:tr>
      <w:tr>
        <w:trPr>
          <w:trHeight w:val="176"/>
        </w:trPr>
        <w:tc>
          <w:tcPr>
            <w:tcW w:w="4820" w:type="dxa"/>
            <w:vAlign w:val="bottom"/>
            <w:vMerge w:val="restart"/>
          </w:tcPr>
          <w:p>
            <w:pPr>
              <w:spacing w:after="0"/>
              <w:rPr>
                <w:sz w:val="20"/>
                <w:szCs w:val="20"/>
                <w:color w:val="auto"/>
              </w:rPr>
            </w:pPr>
            <w:r>
              <w:rPr>
                <w:rFonts w:ascii="Arial" w:cs="Arial" w:eastAsia="Arial" w:hAnsi="Arial"/>
                <w:sz w:val="18"/>
                <w:szCs w:val="18"/>
                <w:color w:val="auto"/>
              </w:rPr>
              <w:t>May 11, 2023</w:t>
            </w: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29"/>
        </w:trPr>
        <w:tc>
          <w:tcPr>
            <w:tcW w:w="4820" w:type="dxa"/>
            <w:vAlign w:val="bottom"/>
            <w:vMerge w:val="continue"/>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35"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Certification Pursuant to Securities Exchange Act Rules 13a-14(a) and 15d-14(a) as adopted Pursuant to Section 302 of the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 Mark J. Rosenblum, Executive Vice President and Interim Chief Financial Officer, certify that:</w:t>
      </w:r>
    </w:p>
    <w:p>
      <w:pPr>
        <w:spacing w:after="0" w:line="252" w:lineRule="exact"/>
        <w:rPr>
          <w:sz w:val="20"/>
          <w:szCs w:val="20"/>
          <w:color w:val="auto"/>
        </w:rPr>
      </w:pPr>
    </w:p>
    <w:p>
      <w:pPr>
        <w:ind w:left="860" w:hanging="204"/>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jc w:val="both"/>
        <w:ind w:left="660" w:hanging="4"/>
        <w:spacing w:after="0" w:line="263" w:lineRule="auto"/>
        <w:tabs>
          <w:tab w:leader="none" w:pos="887"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jc w:val="both"/>
        <w:ind w:left="660" w:hanging="4"/>
        <w:spacing w:after="0" w:line="263" w:lineRule="auto"/>
        <w:tabs>
          <w:tab w:leader="none" w:pos="892"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left="660" w:hanging="4"/>
        <w:spacing w:after="0" w:line="263" w:lineRule="auto"/>
        <w:tabs>
          <w:tab w:leader="none" w:pos="87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520" w:hanging="216"/>
        <w:spacing w:after="0"/>
        <w:tabs>
          <w:tab w:leader="none" w:pos="1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w:t>
      </w:r>
    </w:p>
    <w:p>
      <w:pPr>
        <w:spacing w:after="0" w:line="21" w:lineRule="exact"/>
        <w:rPr>
          <w:rFonts w:ascii="Arial" w:cs="Arial" w:eastAsia="Arial" w:hAnsi="Arial"/>
          <w:sz w:val="18"/>
          <w:szCs w:val="18"/>
          <w:color w:val="auto"/>
        </w:rPr>
      </w:pPr>
    </w:p>
    <w:p>
      <w:pPr>
        <w:ind w:left="1300" w:right="100"/>
        <w:spacing w:after="0" w:line="261" w:lineRule="auto"/>
        <w:rPr>
          <w:rFonts w:ascii="Arial" w:cs="Arial" w:eastAsia="Arial" w:hAnsi="Arial"/>
          <w:sz w:val="18"/>
          <w:szCs w:val="18"/>
          <w:color w:val="auto"/>
        </w:rPr>
      </w:pPr>
      <w:r>
        <w:rPr>
          <w:rFonts w:ascii="Arial" w:cs="Arial" w:eastAsia="Arial" w:hAnsi="Arial"/>
          <w:sz w:val="18"/>
          <w:szCs w:val="18"/>
          <w:color w:val="auto"/>
        </w:rPr>
        <w:t>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Arial" w:cs="Arial" w:eastAsia="Arial" w:hAnsi="Arial"/>
          <w:sz w:val="18"/>
          <w:szCs w:val="18"/>
          <w:color w:val="auto"/>
        </w:rPr>
      </w:pPr>
    </w:p>
    <w:p>
      <w:pPr>
        <w:jc w:val="both"/>
        <w:ind w:left="1300" w:right="540" w:firstLine="4"/>
        <w:spacing w:after="0" w:line="285" w:lineRule="auto"/>
        <w:tabs>
          <w:tab w:leader="none" w:pos="151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7"/>
          <w:szCs w:val="17"/>
          <w:color w:val="auto"/>
        </w:rPr>
      </w:pPr>
    </w:p>
    <w:p>
      <w:pPr>
        <w:ind w:left="1300" w:right="360" w:firstLine="4"/>
        <w:spacing w:after="0" w:line="263" w:lineRule="auto"/>
        <w:tabs>
          <w:tab w:leader="none" w:pos="15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ind w:left="1300" w:right="200" w:firstLine="4"/>
        <w:spacing w:after="0" w:line="263" w:lineRule="auto"/>
        <w:tabs>
          <w:tab w:leader="none" w:pos="151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40" w:hanging="4"/>
        <w:spacing w:after="0" w:line="263" w:lineRule="auto"/>
        <w:tabs>
          <w:tab w:leader="none" w:pos="85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ind w:left="1300" w:right="240" w:firstLine="4"/>
        <w:spacing w:after="0" w:line="263" w:lineRule="auto"/>
        <w:tabs>
          <w:tab w:leader="none" w:pos="15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0" w:lineRule="exact"/>
        <w:rPr>
          <w:rFonts w:ascii="Arial" w:cs="Arial" w:eastAsia="Arial" w:hAnsi="Arial"/>
          <w:sz w:val="18"/>
          <w:szCs w:val="18"/>
          <w:color w:val="auto"/>
        </w:rPr>
      </w:pPr>
    </w:p>
    <w:p>
      <w:pPr>
        <w:ind w:left="1300" w:right="580" w:firstLine="4"/>
        <w:spacing w:after="0" w:line="273" w:lineRule="auto"/>
        <w:tabs>
          <w:tab w:leader="none" w:pos="15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6"/>
        </w:trPr>
        <w:tc>
          <w:tcPr>
            <w:tcW w:w="3260" w:type="dxa"/>
            <w:vAlign w:val="bottom"/>
          </w:tcPr>
          <w:p>
            <w:pPr>
              <w:spacing w:after="0"/>
              <w:rPr>
                <w:sz w:val="20"/>
                <w:szCs w:val="20"/>
                <w:color w:val="auto"/>
              </w:rPr>
            </w:pP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J. Rosenblum</w:t>
            </w:r>
          </w:p>
        </w:tc>
        <w:tc>
          <w:tcPr>
            <w:tcW w:w="0" w:type="dxa"/>
            <w:vAlign w:val="bottom"/>
          </w:tcPr>
          <w:p>
            <w:pPr>
              <w:spacing w:after="0"/>
              <w:rPr>
                <w:sz w:val="1"/>
                <w:szCs w:val="1"/>
                <w:color w:val="auto"/>
              </w:rPr>
            </w:pPr>
          </w:p>
        </w:tc>
      </w:tr>
      <w:tr>
        <w:trPr>
          <w:trHeight w:val="229"/>
        </w:trPr>
        <w:tc>
          <w:tcPr>
            <w:tcW w:w="32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Mark J. Rosenblum</w:t>
            </w:r>
          </w:p>
        </w:tc>
        <w:tc>
          <w:tcPr>
            <w:tcW w:w="0" w:type="dxa"/>
            <w:vAlign w:val="bottom"/>
          </w:tcPr>
          <w:p>
            <w:pPr>
              <w:spacing w:after="0"/>
              <w:rPr>
                <w:sz w:val="1"/>
                <w:szCs w:val="1"/>
                <w:color w:val="auto"/>
              </w:rPr>
            </w:pPr>
          </w:p>
        </w:tc>
      </w:tr>
      <w:tr>
        <w:trPr>
          <w:trHeight w:val="176"/>
        </w:trPr>
        <w:tc>
          <w:tcPr>
            <w:tcW w:w="3260" w:type="dxa"/>
            <w:vAlign w:val="bottom"/>
            <w:vMerge w:val="restart"/>
          </w:tcPr>
          <w:p>
            <w:pPr>
              <w:spacing w:after="0"/>
              <w:rPr>
                <w:sz w:val="20"/>
                <w:szCs w:val="20"/>
                <w:color w:val="auto"/>
              </w:rPr>
            </w:pPr>
            <w:r>
              <w:rPr>
                <w:rFonts w:ascii="Arial" w:cs="Arial" w:eastAsia="Arial" w:hAnsi="Arial"/>
                <w:sz w:val="18"/>
                <w:szCs w:val="18"/>
                <w:color w:val="auto"/>
              </w:rPr>
              <w:t>May 11, 2023</w:t>
            </w:r>
          </w:p>
        </w:tc>
        <w:tc>
          <w:tcPr>
            <w:tcW w:w="5060" w:type="dxa"/>
            <w:vAlign w:val="bottom"/>
          </w:tcPr>
          <w:p>
            <w:pPr>
              <w:spacing w:after="0" w:line="176" w:lineRule="exact"/>
              <w:rPr>
                <w:sz w:val="20"/>
                <w:szCs w:val="20"/>
                <w:color w:val="auto"/>
              </w:rPr>
            </w:pPr>
            <w:r>
              <w:rPr>
                <w:rFonts w:ascii="Arial" w:cs="Arial" w:eastAsia="Arial" w:hAnsi="Arial"/>
                <w:sz w:val="18"/>
                <w:szCs w:val="18"/>
                <w:color w:val="auto"/>
              </w:rPr>
              <w:t>Executive Vice President and Interim Chief Financial Officer</w:t>
            </w:r>
          </w:p>
        </w:tc>
        <w:tc>
          <w:tcPr>
            <w:tcW w:w="0" w:type="dxa"/>
            <w:vAlign w:val="bottom"/>
          </w:tcPr>
          <w:p>
            <w:pPr>
              <w:spacing w:after="0"/>
              <w:rPr>
                <w:sz w:val="1"/>
                <w:szCs w:val="1"/>
                <w:color w:val="auto"/>
              </w:rPr>
            </w:pPr>
          </w:p>
        </w:tc>
      </w:tr>
      <w:tr>
        <w:trPr>
          <w:trHeight w:val="229"/>
        </w:trPr>
        <w:tc>
          <w:tcPr>
            <w:tcW w:w="3260" w:type="dxa"/>
            <w:vAlign w:val="bottom"/>
            <w:vMerge w:val="continue"/>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35"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connection with the Quarterly Report on Form 10-Q of Salarius Pharmaceuticals, Inc. (the "Company") for the fiscal period ended March 31, 2023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200" w:lineRule="exact"/>
        <w:rPr>
          <w:sz w:val="20"/>
          <w:szCs w:val="20"/>
          <w:color w:val="auto"/>
        </w:rPr>
      </w:pPr>
    </w:p>
    <w:p>
      <w:pPr>
        <w:spacing w:after="0" w:line="232" w:lineRule="exact"/>
        <w:rPr>
          <w:sz w:val="20"/>
          <w:szCs w:val="20"/>
          <w:color w:val="auto"/>
        </w:rPr>
      </w:pPr>
    </w:p>
    <w:p>
      <w:pPr>
        <w:ind w:left="660" w:right="240" w:hanging="4"/>
        <w:spacing w:after="0" w:line="275" w:lineRule="auto"/>
        <w:tabs>
          <w:tab w:leader="none" w:pos="92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00" w:lineRule="exact"/>
        <w:rPr>
          <w:rFonts w:ascii="Arial" w:cs="Arial" w:eastAsia="Arial" w:hAnsi="Arial"/>
          <w:sz w:val="18"/>
          <w:szCs w:val="18"/>
          <w:color w:val="auto"/>
        </w:rPr>
      </w:pPr>
    </w:p>
    <w:p>
      <w:pPr>
        <w:ind w:left="660" w:right="40" w:hanging="4"/>
        <w:spacing w:after="0" w:line="275" w:lineRule="auto"/>
        <w:tabs>
          <w:tab w:leader="none" w:pos="92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460" w:type="dxa"/>
            <w:vAlign w:val="bottom"/>
          </w:tcPr>
          <w:p>
            <w:pPr>
              <w:spacing w:after="0"/>
              <w:rPr>
                <w:sz w:val="19"/>
                <w:szCs w:val="19"/>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J. Arthur</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David J. Arthur</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May 11, 2023</w:t>
            </w:r>
          </w:p>
        </w:tc>
        <w:tc>
          <w:tcPr>
            <w:tcW w:w="5740" w:type="dxa"/>
            <w:vAlign w:val="bottom"/>
          </w:tcPr>
          <w:p>
            <w:pPr>
              <w:ind w:left="20"/>
              <w:spacing w:after="0"/>
              <w:rPr>
                <w:sz w:val="20"/>
                <w:szCs w:val="20"/>
                <w:color w:val="auto"/>
              </w:rPr>
            </w:pPr>
            <w:r>
              <w:rPr>
                <w:rFonts w:ascii="Arial" w:cs="Arial" w:eastAsia="Arial" w:hAnsi="Arial"/>
                <w:sz w:val="18"/>
                <w:szCs w:val="18"/>
                <w:color w:val="auto"/>
              </w:rPr>
              <w:t>President and Chief Executive Officer (Principal Executive Officer)</w:t>
            </w:r>
          </w:p>
        </w:tc>
        <w:tc>
          <w:tcPr>
            <w:tcW w:w="0" w:type="dxa"/>
            <w:vAlign w:val="bottom"/>
          </w:tcPr>
          <w:p>
            <w:pPr>
              <w:spacing w:after="0"/>
              <w:rPr>
                <w:sz w:val="1"/>
                <w:szCs w:val="1"/>
                <w:color w:val="auto"/>
              </w:rPr>
            </w:pPr>
          </w:p>
        </w:tc>
      </w:tr>
      <w:tr>
        <w:trPr>
          <w:trHeight w:val="358"/>
        </w:trPr>
        <w:tc>
          <w:tcPr>
            <w:tcW w:w="5460" w:type="dxa"/>
            <w:vAlign w:val="bottom"/>
          </w:tcPr>
          <w:p>
            <w:pPr>
              <w:spacing w:after="0"/>
              <w:rPr>
                <w:sz w:val="24"/>
                <w:szCs w:val="24"/>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Mark J. Rosenblum</w:t>
            </w:r>
          </w:p>
        </w:tc>
        <w:tc>
          <w:tcPr>
            <w:tcW w:w="0" w:type="dxa"/>
            <w:vAlign w:val="bottom"/>
          </w:tcPr>
          <w:p>
            <w:pPr>
              <w:spacing w:after="0"/>
              <w:rPr>
                <w:sz w:val="1"/>
                <w:szCs w:val="1"/>
                <w:color w:val="auto"/>
              </w:rPr>
            </w:pPr>
          </w:p>
        </w:tc>
      </w:tr>
      <w:tr>
        <w:trPr>
          <w:trHeight w:val="176"/>
        </w:trPr>
        <w:tc>
          <w:tcPr>
            <w:tcW w:w="5460" w:type="dxa"/>
            <w:vAlign w:val="bottom"/>
            <w:vMerge w:val="restart"/>
          </w:tcPr>
          <w:p>
            <w:pPr>
              <w:spacing w:after="0"/>
              <w:rPr>
                <w:sz w:val="20"/>
                <w:szCs w:val="20"/>
                <w:color w:val="auto"/>
              </w:rPr>
            </w:pPr>
            <w:r>
              <w:rPr>
                <w:rFonts w:ascii="Arial" w:cs="Arial" w:eastAsia="Arial" w:hAnsi="Arial"/>
                <w:sz w:val="18"/>
                <w:szCs w:val="18"/>
                <w:color w:val="auto"/>
              </w:rPr>
              <w:t>May 11, 2023</w:t>
            </w:r>
          </w:p>
        </w:tc>
        <w:tc>
          <w:tcPr>
            <w:tcW w:w="574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and Interim Chief Financial Officer</w:t>
            </w:r>
          </w:p>
        </w:tc>
        <w:tc>
          <w:tcPr>
            <w:tcW w:w="0" w:type="dxa"/>
            <w:vAlign w:val="bottom"/>
          </w:tcPr>
          <w:p>
            <w:pPr>
              <w:spacing w:after="0"/>
              <w:rPr>
                <w:sz w:val="1"/>
                <w:szCs w:val="1"/>
                <w:color w:val="auto"/>
              </w:rPr>
            </w:pPr>
          </w:p>
        </w:tc>
      </w:tr>
      <w:tr>
        <w:trPr>
          <w:trHeight w:val="229"/>
        </w:trPr>
        <w:tc>
          <w:tcPr>
            <w:tcW w:w="5460" w:type="dxa"/>
            <w:vAlign w:val="bottom"/>
            <w:vMerge w:val="continue"/>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32" Type="http://schemas.openxmlformats.org/officeDocument/2006/relationships/hyperlink" Target="https://www.sec.gov/Archives/edgar/data/1615219/000110465915007801/a15-4061_1ex3d1.htm" TargetMode="External"/><Relationship Id="rId33" Type="http://schemas.openxmlformats.org/officeDocument/2006/relationships/hyperlink" Target="https://www.sec.gov/Archives/edgar/data/1615219/000119312519199074/d754556dex31.htm" TargetMode="External"/><Relationship Id="rId34" Type="http://schemas.openxmlformats.org/officeDocument/2006/relationships/hyperlink" Target="https://www.sec.gov/Archives/edgar/data/1615219/000161521922000135/exhibit31.htm" TargetMode="External"/><Relationship Id="rId35" Type="http://schemas.openxmlformats.org/officeDocument/2006/relationships/hyperlink" Target="https://www.sec.gov/Archives/edgar/data/1615219/000119312519199074/d75455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2023-05-11T08:02:45Z</dcterms:created>
  <dcterms:modified xsi:type="dcterms:W3CDTF">2023-05-11T08:02:45Z</dcterms:modified>
</cp:coreProperties>
</file>