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354965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39" w:lineRule="exact"/>
        <w:rPr>
          <w:sz w:val="24"/>
          <w:szCs w:val="24"/>
          <w:color w:val="auto"/>
        </w:rPr>
      </w:pPr>
    </w:p>
    <w:p>
      <w:pPr>
        <w:ind w:left="3900" w:right="1060" w:hanging="3784"/>
        <w:spacing w:after="0" w:line="273" w:lineRule="auto"/>
        <w:tabs>
          <w:tab w:leader="none" w:pos="1405"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jc w:val="center"/>
        <w:ind w:left="4360" w:right="1060" w:hanging="4244"/>
        <w:spacing w:after="0" w:line="306" w:lineRule="auto"/>
        <w:tabs>
          <w:tab w:leader="none" w:pos="1402"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 Period from to</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2600" w:type="dxa"/>
        <w:tblCellMar>
          <w:top w:w="0" w:type="dxa"/>
          <w:left w:w="0" w:type="dxa"/>
          <w:bottom w:w="0" w:type="dxa"/>
          <w:right w:w="0" w:type="dxa"/>
        </w:tblCellMar>
      </w:tblPr>
      <w:tr>
        <w:trPr>
          <w:trHeight w:val="196"/>
        </w:trPr>
        <w:tc>
          <w:tcPr>
            <w:tcW w:w="312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660" w:type="dxa"/>
            <w:vAlign w:val="bottom"/>
          </w:tcPr>
          <w:p>
            <w:pPr>
              <w:jc w:val="center"/>
              <w:ind w:left="1188"/>
              <w:spacing w:after="0"/>
              <w:rPr>
                <w:sz w:val="20"/>
                <w:szCs w:val="20"/>
                <w:color w:val="auto"/>
              </w:rPr>
            </w:pPr>
            <w:r>
              <w:rPr>
                <w:rFonts w:ascii="Arial" w:cs="Arial" w:eastAsia="Arial" w:hAnsi="Arial"/>
                <w:sz w:val="14"/>
                <w:szCs w:val="14"/>
                <w:b w:val="1"/>
                <w:bCs w:val="1"/>
                <w:color w:val="auto"/>
              </w:rPr>
              <w:t>46-5087339</w:t>
            </w:r>
          </w:p>
        </w:tc>
      </w:tr>
      <w:tr>
        <w:trPr>
          <w:trHeight w:val="151"/>
        </w:trPr>
        <w:tc>
          <w:tcPr>
            <w:tcW w:w="3120" w:type="dxa"/>
            <w:vAlign w:val="bottom"/>
          </w:tcPr>
          <w:p>
            <w:pPr>
              <w:jc w:val="center"/>
              <w:ind w:right="1168"/>
              <w:spacing w:after="0" w:line="151" w:lineRule="exact"/>
              <w:rPr>
                <w:sz w:val="20"/>
                <w:szCs w:val="20"/>
                <w:color w:val="auto"/>
              </w:rPr>
            </w:pPr>
            <w:r>
              <w:rPr>
                <w:rFonts w:ascii="Arial" w:cs="Arial" w:eastAsia="Arial" w:hAnsi="Arial"/>
                <w:sz w:val="14"/>
                <w:szCs w:val="14"/>
                <w:color w:val="auto"/>
              </w:rPr>
              <w:t>(State or other jurisdiction of</w:t>
            </w:r>
          </w:p>
        </w:tc>
        <w:tc>
          <w:tcPr>
            <w:tcW w:w="2660" w:type="dxa"/>
            <w:vAlign w:val="bottom"/>
          </w:tcPr>
          <w:p>
            <w:pPr>
              <w:jc w:val="center"/>
              <w:ind w:left="1208"/>
              <w:spacing w:after="0" w:line="151" w:lineRule="exact"/>
              <w:rPr>
                <w:sz w:val="20"/>
                <w:szCs w:val="20"/>
                <w:color w:val="auto"/>
              </w:rPr>
            </w:pPr>
            <w:r>
              <w:rPr>
                <w:rFonts w:ascii="Arial" w:cs="Arial" w:eastAsia="Arial" w:hAnsi="Arial"/>
                <w:sz w:val="14"/>
                <w:szCs w:val="14"/>
                <w:color w:val="auto"/>
              </w:rPr>
              <w:t>(I.R.S. Employer</w:t>
            </w:r>
          </w:p>
        </w:tc>
      </w:tr>
      <w:tr>
        <w:trPr>
          <w:trHeight w:val="190"/>
        </w:trPr>
        <w:tc>
          <w:tcPr>
            <w:tcW w:w="3120" w:type="dxa"/>
            <w:vAlign w:val="bottom"/>
          </w:tcPr>
          <w:p>
            <w:pPr>
              <w:jc w:val="center"/>
              <w:ind w:right="1168"/>
              <w:spacing w:after="0"/>
              <w:rPr>
                <w:sz w:val="20"/>
                <w:szCs w:val="20"/>
                <w:color w:val="auto"/>
              </w:rPr>
            </w:pPr>
            <w:r>
              <w:rPr>
                <w:rFonts w:ascii="Arial" w:cs="Arial" w:eastAsia="Arial" w:hAnsi="Arial"/>
                <w:sz w:val="14"/>
                <w:szCs w:val="14"/>
                <w:color w:val="auto"/>
              </w:rPr>
              <w:t>incorporation or organization)</w:t>
            </w:r>
          </w:p>
        </w:tc>
        <w:tc>
          <w:tcPr>
            <w:tcW w:w="2660" w:type="dxa"/>
            <w:vAlign w:val="bottom"/>
          </w:tcPr>
          <w:p>
            <w:pPr>
              <w:jc w:val="center"/>
              <w:ind w:left="1188"/>
              <w:spacing w:after="0"/>
              <w:rPr>
                <w:sz w:val="20"/>
                <w:szCs w:val="20"/>
                <w:color w:val="auto"/>
              </w:rPr>
            </w:pPr>
            <w:r>
              <w:rPr>
                <w:rFonts w:ascii="Arial" w:cs="Arial" w:eastAsia="Arial" w:hAnsi="Arial"/>
                <w:sz w:val="14"/>
                <w:szCs w:val="14"/>
                <w:color w:val="auto"/>
              </w:rPr>
              <w:t>Identification Number)</w:t>
            </w:r>
          </w:p>
        </w:tc>
      </w:tr>
    </w:tbl>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2450 Holcombe Blvd., Suite X, Houston, TX 77021</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(713)913-5608</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59" w:lineRule="exact"/>
        <w:rPr>
          <w:sz w:val="24"/>
          <w:szCs w:val="24"/>
          <w:color w:val="auto"/>
        </w:rPr>
      </w:pPr>
    </w:p>
    <w:p>
      <w:pPr>
        <w:ind w:left="6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-48895</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Securities registered pursuant to Section 12(b) of the Act</w:t>
            </w: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10"/>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374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$0.0001 par value</w:t>
            </w: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SLRX</w:t>
            </w:r>
          </w:p>
        </w:tc>
        <w:tc>
          <w:tcPr>
            <w:tcW w:w="402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9" w:lineRule="exact"/>
        <w:rPr>
          <w:sz w:val="24"/>
          <w:szCs w:val="24"/>
          <w:color w:val="auto"/>
        </w:rPr>
      </w:pPr>
    </w:p>
    <w:p>
      <w:pPr>
        <w:spacing w:after="0" w:line="161" w:lineRule="exact"/>
        <w:tabs>
          <w:tab w:leader="none" w:pos="10860" w:val="left"/>
        </w:tabs>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w:t>
      </w:r>
    </w:p>
    <w:p>
      <w:pPr>
        <w:spacing w:after="0" w:line="29" w:lineRule="exact"/>
        <w:rPr>
          <w:sz w:val="24"/>
          <w:szCs w:val="24"/>
          <w:color w:val="auto"/>
        </w:rPr>
      </w:pPr>
    </w:p>
    <w:p>
      <w:pPr>
        <w:spacing w:after="0" w:line="161" w:lineRule="exact"/>
        <w:tabs>
          <w:tab w:leader="none" w:pos="9400" w:val="left"/>
        </w:tabs>
        <w:rPr>
          <w:sz w:val="20"/>
          <w:szCs w:val="20"/>
          <w:color w:val="auto"/>
        </w:rPr>
      </w:pPr>
      <w:r>
        <w:rPr>
          <w:rFonts w:ascii="Arial" w:cs="Arial" w:eastAsia="Arial" w:hAnsi="Arial"/>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company. See the definitions of large accelerated filer, accelerated filer, smaller reporting company, and emerging growth company in Rule 12b-2 of the Exchange Act.</w:t>
      </w:r>
    </w:p>
    <w:p>
      <w:pPr>
        <w:spacing w:after="0" w:line="15" w:lineRule="exact"/>
        <w:rPr>
          <w:sz w:val="24"/>
          <w:szCs w:val="24"/>
          <w:color w:val="auto"/>
        </w:rPr>
      </w:pPr>
    </w:p>
    <w:p>
      <w:pPr>
        <w:ind w:left="200"/>
        <w:spacing w:after="0" w:line="161" w:lineRule="exact"/>
        <w:tabs>
          <w:tab w:leader="none" w:pos="1900" w:val="left"/>
          <w:tab w:leader="none" w:pos="2300" w:val="left"/>
          <w:tab w:leader="none" w:pos="3580" w:val="left"/>
          <w:tab w:leader="none" w:pos="4140" w:val="left"/>
          <w:tab w:leader="none" w:pos="5860" w:val="left"/>
          <w:tab w:leader="none" w:pos="6300" w:val="left"/>
          <w:tab w:leader="none" w:pos="8280" w:val="left"/>
          <w:tab w:leader="none" w:pos="8800" w:val="left"/>
          <w:tab w:leader="none" w:pos="10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99" w:lineRule="exact"/>
        <w:rPr>
          <w:sz w:val="24"/>
          <w:szCs w:val="24"/>
          <w:color w:val="auto"/>
        </w:rPr>
      </w:pPr>
    </w:p>
    <w:p>
      <w:pPr>
        <w:ind w:right="280"/>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line="184" w:lineRule="exact"/>
        <w:tabs>
          <w:tab w:leader="none" w:pos="77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As of August 11, 2025, there were 7,645,594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40" w:type="dxa"/>
            <w:vAlign w:val="bottom"/>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482"/>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5"/>
              </w:rPr>
              <w:t>PART I.</w:t>
            </w:r>
          </w:p>
        </w:tc>
        <w:tc>
          <w:tcPr>
            <w:tcW w:w="740" w:type="dxa"/>
            <w:vAlign w:val="bottom"/>
            <w:gridSpan w:val="4"/>
          </w:tcPr>
          <w:p>
            <w:pPr>
              <w:spacing w:after="0"/>
              <w:rPr>
                <w:sz w:val="24"/>
                <w:szCs w:val="24"/>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Financial Information</w:t>
            </w: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1.</w:t>
            </w:r>
          </w:p>
        </w:tc>
        <w:tc>
          <w:tcPr>
            <w:tcW w:w="120" w:type="dxa"/>
            <w:vAlign w:val="bottom"/>
          </w:tcPr>
          <w:p>
            <w:pPr>
              <w:spacing w:after="0"/>
              <w:rPr>
                <w:sz w:val="18"/>
                <w:szCs w:val="18"/>
                <w:color w:val="auto"/>
              </w:rPr>
            </w:pPr>
          </w:p>
        </w:tc>
        <w:tc>
          <w:tcPr>
            <w:tcW w:w="740" w:type="dxa"/>
            <w:vAlign w:val="bottom"/>
            <w:gridSpan w:val="4"/>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Financial Statements (Unaudited)</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Arial" w:cs="Arial" w:eastAsia="Arial" w:hAnsi="Arial"/>
                <w:sz w:val="18"/>
                <w:szCs w:val="18"/>
                <w:color w:val="0000FF"/>
                <w:w w:val="99"/>
              </w:rPr>
              <w:t>Condensed Consolidated Balance Sheets</w:t>
            </w:r>
          </w:p>
        </w:tc>
        <w:tc>
          <w:tcPr>
            <w:tcW w:w="5380" w:type="dxa"/>
            <w:vAlign w:val="bottom"/>
            <w:gridSpan w:val="6"/>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4600" w:type="dxa"/>
            <w:vAlign w:val="bottom"/>
            <w:gridSpan w:val="5"/>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0000FF"/>
                <w:w w:val="97"/>
              </w:rPr>
              <w:t>Condensed Consolidated Statements of Cash Flows</w:t>
            </w:r>
          </w:p>
        </w:tc>
        <w:tc>
          <w:tcPr>
            <w:tcW w:w="4600" w:type="dxa"/>
            <w:vAlign w:val="bottom"/>
            <w:gridSpan w:val="5"/>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Stockholders' Equity (Deficit)</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11"/>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1040" w:type="dxa"/>
            <w:vAlign w:val="bottom"/>
            <w:gridSpan w:val="2"/>
          </w:tcPr>
          <w:p>
            <w:pPr>
              <w:spacing w:after="0"/>
              <w:rPr>
                <w:sz w:val="18"/>
                <w:szCs w:val="18"/>
                <w:color w:val="auto"/>
              </w:rPr>
            </w:pPr>
          </w:p>
        </w:tc>
        <w:tc>
          <w:tcPr>
            <w:tcW w:w="3200" w:type="dxa"/>
            <w:vAlign w:val="bottom"/>
            <w:gridSpan w:val="2"/>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2.</w:t>
            </w:r>
          </w:p>
        </w:tc>
        <w:tc>
          <w:tcPr>
            <w:tcW w:w="860" w:type="dxa"/>
            <w:vAlign w:val="bottom"/>
            <w:gridSpan w:val="5"/>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80" w:type="dxa"/>
            <w:vAlign w:val="bottom"/>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18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3.</w:t>
            </w:r>
          </w:p>
        </w:tc>
        <w:tc>
          <w:tcPr>
            <w:tcW w:w="860" w:type="dxa"/>
            <w:vAlign w:val="bottom"/>
            <w:gridSpan w:val="5"/>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Quantitative and Qualitative Disclosures about Market Risk</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4.</w:t>
            </w:r>
          </w:p>
        </w:tc>
        <w:tc>
          <w:tcPr>
            <w:tcW w:w="860" w:type="dxa"/>
            <w:vAlign w:val="bottom"/>
            <w:gridSpan w:val="5"/>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Controls and Procedures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PART II.</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1.</w:t>
            </w:r>
          </w:p>
        </w:tc>
        <w:tc>
          <w:tcPr>
            <w:tcW w:w="16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Legal Proceedings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8"/>
              </w:rPr>
              <w:t>Item 1A.</w:t>
            </w:r>
          </w:p>
        </w:tc>
        <w:tc>
          <w:tcPr>
            <w:tcW w:w="680" w:type="dxa"/>
            <w:vAlign w:val="bottom"/>
            <w:gridSpan w:val="2"/>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Risk Factors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680" w:type="dxa"/>
            <w:vAlign w:val="bottom"/>
            <w:gridSpan w:val="2"/>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Unregistered Sales of Equity Securities and Use of Proceeds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3</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Defaults Upon Senior Securities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4</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Mine Safety Disclosures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5</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Other Information</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6.</w:t>
            </w:r>
          </w:p>
        </w:tc>
        <w:tc>
          <w:tcPr>
            <w:tcW w:w="860" w:type="dxa"/>
            <w:vAlign w:val="bottom"/>
            <w:gridSpan w:val="5"/>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Exhibits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34</w:t>
            </w:r>
          </w:p>
        </w:tc>
        <w:tc>
          <w:tcPr>
            <w:tcW w:w="2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spacing w:after="0" w:line="20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ability to continue as a going concern and support our operations beyond the second quarter of 2026;</w:t>
      </w:r>
    </w:p>
    <w:p>
      <w:pPr>
        <w:spacing w:after="0" w:line="19"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expectations regarding the timing, likelihood, expected benefits of, and potential value created by, the proposed merger (the “Merger”) between us and Decoy Therapeutics Inc. (“Decoy”);</w:t>
      </w:r>
    </w:p>
    <w:p>
      <w:pPr>
        <w:spacing w:after="0" w:line="20" w:lineRule="exact"/>
        <w:rPr>
          <w:rFonts w:ascii="Arial" w:cs="Arial" w:eastAsia="Arial" w:hAnsi="Arial"/>
          <w:sz w:val="22"/>
          <w:szCs w:val="22"/>
          <w:color w:val="auto"/>
        </w:rPr>
      </w:pPr>
    </w:p>
    <w:p>
      <w:pPr>
        <w:jc w:val="both"/>
        <w:ind w:left="660" w:hanging="328"/>
        <w:spacing w:after="0"/>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our expectations regarding the satisfaction of certain conditions to the completion of the Merger, including the conditions related to consummation of financing transactions with aggregate minimum proceeds of at least $6.0 million (the “Qualified Financing”), whether and when the Merger will be consummated and that our common stock remains listed on Nasdaq;</w:t>
      </w:r>
    </w:p>
    <w:p>
      <w:pPr>
        <w:spacing w:after="0" w:line="21" w:lineRule="exact"/>
        <w:rPr>
          <w:rFonts w:ascii="Times New Roman" w:cs="Times New Roman" w:eastAsia="Times New Roman" w:hAnsi="Times New Roman"/>
          <w:sz w:val="22"/>
          <w:szCs w:val="22"/>
          <w:color w:val="auto"/>
        </w:rPr>
      </w:pPr>
    </w:p>
    <w:p>
      <w:pPr>
        <w:ind w:left="660" w:hanging="328"/>
        <w:spacing w:after="0" w:line="243"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potential effects of the Merger on the ownership percentages of Decoy’s stockholders and Salarius’ stockholders in the combined company;</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our expectations regarding our clinical trials and any investigator-initiated clinical trials;</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our expectations as to revenue, cash flow, and expenses;</w:t>
      </w:r>
    </w:p>
    <w:p>
      <w:pPr>
        <w:spacing w:after="0" w:line="8"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our liquidity position, the expected sufficiency of such position for anticipated operating and capital requirements; and</w:t>
      </w: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our ability to regain compliance and remain listed on Nasdaq.</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Forward-looking statements also include statements other than statements of current or historical fact, including, without limitation, all statements related to any expectations of revenues, expenses, cash flows, earnings or losses from operations, cash required to maintain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“will,” “estimate,” “continue,” “anticipate,” “intend,” “expect,” “indicate,” “seek,” “should,” “would,” “target”, “potential,” “evaluate,” “proceeding.”</w:t>
      </w:r>
    </w:p>
    <w:p>
      <w:pPr>
        <w:spacing w:after="0" w:line="22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are some of the factors that could cause actual results to differ materially from the anticipated results or other expectations expressed, anticipated or implied in our forward-looking statements:</w:t>
      </w:r>
    </w:p>
    <w:p>
      <w:pPr>
        <w:spacing w:after="0" w:line="196" w:lineRule="exact"/>
        <w:rPr>
          <w:sz w:val="20"/>
          <w:szCs w:val="20"/>
          <w:color w:val="auto"/>
        </w:rPr>
      </w:pPr>
    </w:p>
    <w:p>
      <w:pPr>
        <w:ind w:left="660" w:hanging="328"/>
        <w:spacing w:after="0" w:line="236"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risk that if we do not regain compliance with the Nasdaq continued listing standards and successfully complete the Merger or obtain additional financing in the near term, the company will need to pursue a dissolution and liquidation of our company;</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risk that we are delisted from Nasdaq;</w:t>
      </w:r>
    </w:p>
    <w:p>
      <w:pPr>
        <w:spacing w:after="0" w:line="33"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risk that our stockholders may not realize a benefit from the Merger commensurate with the ownership dilution they will experience in connection with the Merger and the Qualified Financing;</w:t>
      </w:r>
    </w:p>
    <w:p>
      <w:pPr>
        <w:spacing w:after="0" w:line="20"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Merger consideration may have greater or lesser value at the closing of the Merger than at the time the merger agreement was signed;</w:t>
      </w:r>
    </w:p>
    <w:p>
      <w:pPr>
        <w:spacing w:after="0" w:line="20"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if the conditions to the Merger are not met, including failure to consummate a Qualified Financing, or failure to comply with the continued listing standards of Nasdaq, the Merger may not occur;</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timing of the consummation of the Merger is uncertain as is the ability of each of Salarius and Decoy to consummate the Merger;</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Merger may be completed even though material adverse changes may occur;</w:t>
      </w:r>
    </w:p>
    <w:p>
      <w:pPr>
        <w:spacing w:after="0" w:line="20" w:lineRule="exact"/>
        <w:rPr>
          <w:rFonts w:ascii="Times New Roman" w:cs="Times New Roman" w:eastAsia="Times New Roman" w:hAnsi="Times New Roman"/>
          <w:sz w:val="22"/>
          <w:szCs w:val="22"/>
          <w:color w:val="auto"/>
        </w:rPr>
      </w:pPr>
    </w:p>
    <w:p>
      <w:pPr>
        <w:ind w:left="660" w:hanging="328"/>
        <w:spacing w:after="0" w:line="243"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as a result of any adjustments in the exchange ratio and Qualified Financing, Salarius’ stockholders may own less of the combined company than is currently anticipated;</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market price of Salarius’ common stock may decline following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right="20" w:hanging="328"/>
        <w:spacing w:after="0" w:line="243"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restrictions in the Merger Agreement may prevent Salarius from entering into a business combination with another party at a favorable price;</w:t>
      </w:r>
    </w:p>
    <w:p>
      <w:pPr>
        <w:spacing w:after="0" w:line="20"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20"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risk that the Merger, even if it is consummated, may not enhance stockholder value and may create a distraction or uncertainty that may adversely affect our operating results, business or investor perceptions;</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combined company may not be able to raise additional funds when necessary, and/or on acceptable terms;</w:t>
      </w:r>
    </w:p>
    <w:p>
      <w:pPr>
        <w:spacing w:after="0" w:line="19"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potential adverse impacts regarding our continued implementation of cost-savings measures designed to extend our expected cash runway;</w:t>
      </w:r>
    </w:p>
    <w:p>
      <w:pPr>
        <w:spacing w:after="0" w:line="20"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risk that the Company’s cost saving initiatives and exploration of strategic alternatives are not successful and do not increase stockholder value;</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unanticipated difficulties with preserving capital;</w:t>
      </w:r>
    </w:p>
    <w:p>
      <w:pPr>
        <w:spacing w:after="0" w:line="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unanticipated charges not currently contemplated that may occur as a result of the Company’s cost savings plan;</w:t>
      </w:r>
    </w:p>
    <w:p>
      <w:pPr>
        <w:spacing w:after="0" w:line="19" w:lineRule="exact"/>
        <w:rPr>
          <w:rFonts w:ascii="Times New Roman" w:cs="Times New Roman" w:eastAsia="Times New Roman" w:hAnsi="Times New Roman"/>
          <w:sz w:val="22"/>
          <w:szCs w:val="22"/>
          <w:color w:val="auto"/>
        </w:rPr>
      </w:pPr>
    </w:p>
    <w:p>
      <w:pPr>
        <w:ind w:left="660" w:hanging="328"/>
        <w:spacing w:after="0" w:line="236"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uncertainties about the paths of our programs and our ability to evaluate and identify a path forward for those programs, particularly given the constraints we have as a small company with limited financial, personnel and other operating resources;</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adequacy of our capital to support our future operations;</w:t>
      </w:r>
    </w:p>
    <w:p>
      <w:pPr>
        <w:spacing w:after="0" w:line="7"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fluctuations in our operating results; and</w:t>
      </w: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described in our filings with the SEC.</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2024, as supplemented by Part II, Item 1A of this Quarterly Report on Form 10-Q,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93"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2025</w:t>
            </w: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794,886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2,434,528</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564,692</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553,034</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1,359,578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2,987,562</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33,200</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35,412</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1,392,778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3,022,974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1,481,949</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936,994</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740,553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352,419</w:t>
            </w: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221,866</w:t>
            </w:r>
          </w:p>
        </w:tc>
        <w:tc>
          <w:tcPr>
            <w:tcW w:w="0" w:type="dxa"/>
            <w:vAlign w:val="bottom"/>
          </w:tcPr>
          <w:p>
            <w:pPr>
              <w:spacing w:after="0"/>
              <w:rPr>
                <w:sz w:val="1"/>
                <w:szCs w:val="1"/>
                <w:color w:val="auto"/>
              </w:rPr>
            </w:pPr>
          </w:p>
        </w:tc>
      </w:tr>
      <w:tr>
        <w:trPr>
          <w:trHeight w:val="223"/>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2,222,502</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1,511,279</w:t>
            </w:r>
          </w:p>
        </w:tc>
        <w:tc>
          <w:tcPr>
            <w:tcW w:w="0" w:type="dxa"/>
            <w:vAlign w:val="bottom"/>
          </w:tcPr>
          <w:p>
            <w:pPr>
              <w:spacing w:after="0"/>
              <w:rPr>
                <w:sz w:val="1"/>
                <w:szCs w:val="1"/>
                <w:color w:val="auto"/>
              </w:rPr>
            </w:pPr>
          </w:p>
        </w:tc>
      </w:tr>
      <w:tr>
        <w:trPr>
          <w:trHeight w:val="196"/>
        </w:trPr>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4)</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10,000,000 shares authorized; 0 issued and outstanding</w:t>
            </w:r>
          </w:p>
        </w:tc>
        <w:tc>
          <w:tcPr>
            <w:tcW w:w="20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 $0.0001 par value; 100,000,000 shares authorized; 2,127,286 and</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1,441,157 shares issued and outstanding at June 30, 2025 and December 31, 2024,</w:t>
            </w:r>
          </w:p>
        </w:tc>
        <w:tc>
          <w:tcPr>
            <w:tcW w:w="2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83,761,039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83,435,169</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(84,590,976)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(81,923,618)</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(829,724)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1,511,695</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 holders'equity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1,392,778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3,022,974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74" w:right="4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880" w:right="2360"/>
        <w:spacing w:after="0" w:line="284" w:lineRule="auto"/>
        <w:rPr>
          <w:sz w:val="20"/>
          <w:szCs w:val="20"/>
          <w:color w:val="auto"/>
        </w:rPr>
      </w:pPr>
      <w:r>
        <w:rPr>
          <w:rFonts w:ascii="Arial" w:cs="Arial" w:eastAsia="Arial" w:hAnsi="Arial"/>
          <w:sz w:val="18"/>
          <w:szCs w:val="18"/>
          <w:b w:val="1"/>
          <w:bCs w:val="1"/>
          <w:color w:val="auto"/>
        </w:rPr>
        <w:t>SALARIUS PHARMACEUTICALS, INC. CONDENSED CONSOLIDATED STATEMENTS OF OPERATIONS (Unaudited)</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80" w:type="dxa"/>
            <w:vAlign w:val="bottom"/>
            <w:gridSpan w:val="5"/>
          </w:tcPr>
          <w:p>
            <w:pPr>
              <w:ind w:left="380"/>
              <w:spacing w:after="0"/>
              <w:rPr>
                <w:sz w:val="20"/>
                <w:szCs w:val="20"/>
                <w:color w:val="auto"/>
              </w:rPr>
            </w:pPr>
            <w:r>
              <w:rPr>
                <w:rFonts w:ascii="Arial" w:cs="Arial" w:eastAsia="Arial" w:hAnsi="Arial"/>
                <w:sz w:val="20"/>
                <w:szCs w:val="20"/>
                <w:b w:val="1"/>
                <w:bCs w:val="1"/>
                <w:color w:val="auto"/>
              </w:rPr>
              <w:t>Three Months Ended</w:t>
            </w:r>
          </w:p>
        </w:tc>
        <w:tc>
          <w:tcPr>
            <w:tcW w:w="380" w:type="dxa"/>
            <w:vAlign w:val="bottom"/>
          </w:tcPr>
          <w:p>
            <w:pPr>
              <w:spacing w:after="0"/>
              <w:rPr>
                <w:sz w:val="19"/>
                <w:szCs w:val="19"/>
                <w:color w:val="auto"/>
              </w:rPr>
            </w:pPr>
          </w:p>
        </w:tc>
        <w:tc>
          <w:tcPr>
            <w:tcW w:w="3100" w:type="dxa"/>
            <w:vAlign w:val="bottom"/>
            <w:gridSpan w:val="4"/>
          </w:tcPr>
          <w:p>
            <w:pPr>
              <w:jc w:val="right"/>
              <w:ind w:right="830"/>
              <w:spacing w:after="0"/>
              <w:rPr>
                <w:sz w:val="20"/>
                <w:szCs w:val="20"/>
                <w:color w:val="auto"/>
              </w:rPr>
            </w:pPr>
            <w:r>
              <w:rPr>
                <w:rFonts w:ascii="Arial" w:cs="Arial" w:eastAsia="Arial" w:hAnsi="Arial"/>
                <w:sz w:val="20"/>
                <w:szCs w:val="20"/>
                <w:b w:val="1"/>
                <w:bCs w:val="1"/>
                <w:color w:val="auto"/>
              </w:rPr>
              <w:t>Six Months Ended</w:t>
            </w:r>
          </w:p>
        </w:tc>
      </w:tr>
      <w:tr>
        <w:trPr>
          <w:trHeight w:val="253"/>
        </w:trPr>
        <w:tc>
          <w:tcPr>
            <w:tcW w:w="2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20" w:type="dxa"/>
            <w:vAlign w:val="bottom"/>
            <w:gridSpan w:val="3"/>
          </w:tcPr>
          <w:p>
            <w:pPr>
              <w:jc w:val="right"/>
              <w:ind w:right="70"/>
              <w:spacing w:after="0"/>
              <w:rPr>
                <w:sz w:val="20"/>
                <w:szCs w:val="20"/>
                <w:color w:val="auto"/>
              </w:rPr>
            </w:pPr>
            <w:r>
              <w:rPr>
                <w:rFonts w:ascii="Arial" w:cs="Arial" w:eastAsia="Arial" w:hAnsi="Arial"/>
                <w:sz w:val="20"/>
                <w:szCs w:val="20"/>
                <w:b w:val="1"/>
                <w:bCs w:val="1"/>
                <w:color w:val="auto"/>
              </w:rPr>
              <w:t>June 30,</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20" w:type="dxa"/>
            <w:vAlign w:val="bottom"/>
            <w:gridSpan w:val="3"/>
          </w:tcPr>
          <w:p>
            <w:pPr>
              <w:jc w:val="right"/>
              <w:ind w:right="70"/>
              <w:spacing w:after="0"/>
              <w:rPr>
                <w:sz w:val="20"/>
                <w:szCs w:val="20"/>
                <w:color w:val="auto"/>
              </w:rPr>
            </w:pPr>
            <w:r>
              <w:rPr>
                <w:rFonts w:ascii="Arial" w:cs="Arial" w:eastAsia="Arial" w:hAnsi="Arial"/>
                <w:sz w:val="20"/>
                <w:szCs w:val="20"/>
                <w:b w:val="1"/>
                <w:bCs w:val="1"/>
                <w:color w:val="auto"/>
              </w:rPr>
              <w:t>June 30,</w:t>
            </w:r>
          </w:p>
        </w:tc>
        <w:tc>
          <w:tcPr>
            <w:tcW w:w="1180" w:type="dxa"/>
            <w:vAlign w:val="bottom"/>
          </w:tcPr>
          <w:p>
            <w:pPr>
              <w:spacing w:after="0"/>
              <w:rPr>
                <w:sz w:val="22"/>
                <w:szCs w:val="22"/>
                <w:color w:val="auto"/>
              </w:rPr>
            </w:pPr>
          </w:p>
        </w:tc>
      </w:tr>
      <w:tr>
        <w:trPr>
          <w:trHeight w:val="230"/>
        </w:trPr>
        <w:tc>
          <w:tcPr>
            <w:tcW w:w="2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2025</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2025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2024</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214,447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191,915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457,449</w:t>
            </w:r>
          </w:p>
        </w:tc>
      </w:tr>
      <w:tr>
        <w:trPr>
          <w:trHeight w:val="229"/>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849,182</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1,253,070</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2,492,345</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2,781,683</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965,565</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1,467,517</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2,684,260</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3,239,132</w:t>
            </w: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(965,565)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(1,467,517)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(2,684,260)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(3,239,132)</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43,084</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16,902</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99,409</w:t>
            </w:r>
          </w:p>
        </w:tc>
      </w:tr>
      <w:tr>
        <w:trPr>
          <w:trHeight w:val="22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continuing operations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(957,825)</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(1,424,433)</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(2,667,358)</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(3,139,723)</w:t>
            </w: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(957,825)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(1,424,433)</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(2,667,358)</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(3,139,723)</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80"/>
          </w:cols>
          <w:pgMar w:left="320" w:top="274" w:right="899" w:bottom="1440" w:gutter="0" w:footer="0" w:header="0"/>
        </w:sectPr>
      </w:pPr>
    </w:p>
    <w:p>
      <w:pPr>
        <w:spacing w:after="0" w:line="20"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880" w:type="dxa"/>
            <w:vAlign w:val="bottom"/>
          </w:tcPr>
          <w:p>
            <w:pPr>
              <w:spacing w:after="0"/>
              <w:rPr>
                <w:sz w:val="20"/>
                <w:szCs w:val="20"/>
                <w:color w:val="auto"/>
              </w:rPr>
            </w:pPr>
            <w:r>
              <w:rPr>
                <w:rFonts w:ascii="Arial" w:cs="Arial" w:eastAsia="Arial" w:hAnsi="Arial"/>
                <w:sz w:val="18"/>
                <w:szCs w:val="18"/>
                <w:b w:val="1"/>
                <w:bCs w:val="1"/>
                <w:color w:val="auto"/>
              </w:rPr>
              <w:t>Loss per common share — basic</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7"/>
        </w:trPr>
        <w:tc>
          <w:tcPr>
            <w:tcW w:w="2880" w:type="dxa"/>
            <w:vAlign w:val="bottom"/>
          </w:tcPr>
          <w:p>
            <w:pPr>
              <w:spacing w:after="0"/>
              <w:rPr>
                <w:sz w:val="20"/>
                <w:szCs w:val="20"/>
                <w:color w:val="auto"/>
              </w:rPr>
            </w:pPr>
            <w:r>
              <w:rPr>
                <w:rFonts w:ascii="Arial" w:cs="Arial" w:eastAsia="Arial" w:hAnsi="Arial"/>
                <w:sz w:val="18"/>
                <w:szCs w:val="18"/>
                <w:b w:val="1"/>
                <w:bCs w:val="1"/>
                <w:color w:val="auto"/>
              </w:rPr>
              <w:t>and diluted</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left="600"/>
        <w:spacing w:after="0" w:line="219" w:lineRule="auto"/>
        <w:rPr>
          <w:sz w:val="20"/>
          <w:szCs w:val="20"/>
          <w:color w:val="auto"/>
        </w:rPr>
      </w:pPr>
      <w:r>
        <w:rPr>
          <w:rFonts w:ascii="Arial" w:cs="Arial" w:eastAsia="Arial" w:hAnsi="Arial"/>
          <w:sz w:val="18"/>
          <w:szCs w:val="18"/>
          <w:color w:val="auto"/>
        </w:rPr>
        <w:t>Weighted-average number of</w:t>
      </w:r>
    </w:p>
    <w:p>
      <w:pPr>
        <w:spacing w:after="0" w:line="1" w:lineRule="exact"/>
        <w:rPr>
          <w:sz w:val="20"/>
          <w:szCs w:val="20"/>
          <w:color w:val="auto"/>
        </w:rPr>
      </w:pPr>
    </w:p>
    <w:p>
      <w:pPr>
        <w:ind w:left="680" w:right="500"/>
        <w:spacing w:after="0" w:line="229" w:lineRule="auto"/>
        <w:rPr>
          <w:sz w:val="20"/>
          <w:szCs w:val="20"/>
          <w:color w:val="auto"/>
        </w:rPr>
      </w:pPr>
      <w:r>
        <w:rPr>
          <w:rFonts w:ascii="Arial" w:cs="Arial" w:eastAsia="Arial" w:hAnsi="Arial"/>
          <w:sz w:val="18"/>
          <w:szCs w:val="18"/>
          <w:color w:val="auto"/>
        </w:rPr>
        <w:t>common shares outstanding — basic and diluted</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(0.45)</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18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16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w:t>
            </w:r>
          </w:p>
        </w:tc>
      </w:tr>
      <w:tr>
        <w:trPr>
          <w:trHeight w:val="547"/>
        </w:trPr>
        <w:tc>
          <w:tcPr>
            <w:tcW w:w="1080" w:type="dxa"/>
            <w:vAlign w:val="bottom"/>
          </w:tcPr>
          <w:p>
            <w:pPr>
              <w:jc w:val="right"/>
              <w:ind w:right="190"/>
              <w:spacing w:after="0"/>
              <w:rPr>
                <w:sz w:val="20"/>
                <w:szCs w:val="20"/>
                <w:color w:val="auto"/>
              </w:rPr>
            </w:pPr>
            <w:r>
              <w:rPr>
                <w:rFonts w:ascii="Arial" w:cs="Arial" w:eastAsia="Arial" w:hAnsi="Arial"/>
                <w:sz w:val="18"/>
                <w:szCs w:val="18"/>
                <w:color w:val="auto"/>
                <w:w w:val="97"/>
              </w:rPr>
              <w:t>2,122,872</w:t>
            </w: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600,417</w:t>
            </w: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1,892,399</w:t>
            </w:r>
          </w:p>
        </w:tc>
        <w:tc>
          <w:tcPr>
            <w:tcW w:w="1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558,518</w:t>
            </w:r>
          </w:p>
        </w:tc>
      </w:tr>
      <w:tr>
        <w:trPr>
          <w:trHeight w:val="20"/>
        </w:trPr>
        <w:tc>
          <w:tcPr>
            <w:tcW w:w="1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-659130</wp:posOffset>
            </wp:positionV>
            <wp:extent cx="6412230" cy="659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659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660"/>
            <w:col w:w="6360"/>
          </w:cols>
          <w:pgMar w:left="320" w:top="274" w:right="899" w:bottom="1440" w:gutter="0" w:footer="0" w:header="0"/>
          <w:type w:val="continuous"/>
        </w:sectPr>
      </w:pPr>
    </w:p>
    <w:p>
      <w:pPr>
        <w:spacing w:after="0" w:line="335"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274" w:right="8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7820"/>
        <w:spacing w:after="0"/>
        <w:rPr>
          <w:sz w:val="20"/>
          <w:szCs w:val="20"/>
          <w:color w:val="auto"/>
        </w:rPr>
      </w:pPr>
      <w:r>
        <w:rPr>
          <w:rFonts w:ascii="Arial" w:cs="Arial" w:eastAsia="Arial" w:hAnsi="Arial"/>
          <w:sz w:val="18"/>
          <w:szCs w:val="18"/>
          <w:b w:val="1"/>
          <w:bCs w:val="1"/>
          <w:color w:val="auto"/>
        </w:rPr>
        <w:t>Six Months Ended</w:t>
      </w:r>
    </w:p>
    <w:p>
      <w:pPr>
        <w:jc w:val="center"/>
        <w:ind w:left="782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2024</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(2,667,358)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(3,139,723)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56,689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162,676</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403,401</w:t>
            </w:r>
          </w:p>
        </w:tc>
      </w:tr>
      <w:tr>
        <w:trPr>
          <w:trHeight w:val="230"/>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16,613</w:t>
            </w:r>
          </w:p>
        </w:tc>
      </w:tr>
      <w:tr>
        <w:trPr>
          <w:trHeight w:val="229"/>
        </w:trPr>
        <w:tc>
          <w:tcPr>
            <w:tcW w:w="7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128,673</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(2,044,011)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(2,426,147)</w:t>
            </w:r>
          </w:p>
        </w:tc>
      </w:tr>
      <w:tr>
        <w:trPr>
          <w:trHeight w:val="270"/>
        </w:trPr>
        <w:tc>
          <w:tcPr>
            <w:tcW w:w="7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626,235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88,703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(221,866)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(289,643)</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cash provided by (used in) provided by financing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404,369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(200,940)</w:t>
            </w:r>
          </w:p>
        </w:tc>
      </w:tr>
      <w:tr>
        <w:trPr>
          <w:trHeight w:val="270"/>
        </w:trPr>
        <w:tc>
          <w:tcPr>
            <w:tcW w:w="7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bl>
    <w:p>
      <w:pPr>
        <w:spacing w:after="0" w:line="1" w:lineRule="exact"/>
        <w:rPr>
          <w:sz w:val="20"/>
          <w:szCs w:val="20"/>
          <w:color w:val="auto"/>
        </w:rPr>
      </w:pPr>
    </w:p>
    <w:p>
      <w:pPr>
        <w:sectPr>
          <w:pgSz w:w="11900" w:h="16838" w:orient="portrait"/>
          <w:cols w:equalWidth="0" w:num="1">
            <w:col w:w="11240"/>
          </w:cols>
          <w:pgMar w:left="320" w:top="274" w:right="339" w:bottom="1440" w:gutter="0" w:footer="0" w:header="0"/>
        </w:sectPr>
      </w:pPr>
    </w:p>
    <w:p>
      <w:pPr>
        <w:ind w:left="20" w:right="3160"/>
        <w:spacing w:after="0" w:line="286" w:lineRule="auto"/>
        <w:rPr>
          <w:sz w:val="20"/>
          <w:szCs w:val="20"/>
          <w:color w:val="auto"/>
        </w:rPr>
      </w:pPr>
      <w:r>
        <w:rPr>
          <w:rFonts w:ascii="Arial" w:cs="Arial" w:eastAsia="Arial" w:hAnsi="Arial"/>
          <w:sz w:val="18"/>
          <w:szCs w:val="18"/>
          <w:color w:val="auto"/>
        </w:rPr>
        <w:t>Net decrease in cash and cash equivalents 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(1,639,642)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(2,627,087)</w:t>
            </w:r>
          </w:p>
        </w:tc>
      </w:tr>
      <w:tr>
        <w:trPr>
          <w:trHeight w:val="235"/>
        </w:trPr>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2,434,528</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9"/>
              </w:rPr>
              <w:t>5,899,910</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794,886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9"/>
              </w:rPr>
              <w:t>3,272,823</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120" w:space="720"/>
            <w:col w:w="3400"/>
          </w:cols>
          <w:pgMar w:left="320" w:top="27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2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22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5,800</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4,816</w:t>
            </w:r>
          </w:p>
        </w:tc>
      </w:tr>
      <w:tr>
        <w:trPr>
          <w:trHeight w:val="230"/>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issuance costs for issuance of equity securities</w:t>
            </w:r>
          </w:p>
        </w:tc>
        <w:tc>
          <w:tcPr>
            <w:tcW w:w="2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356,984</w:t>
            </w: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23,585</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2200" w:type="dxa"/>
            <w:vAlign w:val="bottom"/>
            <w:gridSpan w:val="5"/>
          </w:tcPr>
          <w:p>
            <w:pPr>
              <w:ind w:left="300"/>
              <w:spacing w:after="0"/>
              <w:rPr>
                <w:sz w:val="20"/>
                <w:szCs w:val="20"/>
                <w:color w:val="auto"/>
              </w:rPr>
            </w:pPr>
            <w:r>
              <w:rPr>
                <w:rFonts w:ascii="Arial" w:cs="Arial" w:eastAsia="Arial" w:hAnsi="Arial"/>
                <w:sz w:val="16"/>
                <w:szCs w:val="16"/>
                <w:b w:val="1"/>
                <w:bCs w:val="1"/>
                <w:color w:val="auto"/>
              </w:rPr>
              <w:t>Common Stock (1)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2"/>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4"/>
                <w:szCs w:val="4"/>
                <w:color w:val="auto"/>
              </w:rPr>
            </w:pPr>
          </w:p>
        </w:tc>
        <w:tc>
          <w:tcPr>
            <w:tcW w:w="1240" w:type="dxa"/>
            <w:vAlign w:val="bottom"/>
            <w:gridSpan w:val="2"/>
            <w:vMerge w:val="restart"/>
          </w:tcPr>
          <w:p>
            <w:pPr>
              <w:spacing w:after="0" w:line="108"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4"/>
                <w:szCs w:val="4"/>
                <w:color w:val="auto"/>
              </w:rPr>
            </w:pPr>
          </w:p>
        </w:tc>
        <w:tc>
          <w:tcPr>
            <w:tcW w:w="1200" w:type="dxa"/>
            <w:vAlign w:val="bottom"/>
            <w:vMerge w:val="restart"/>
          </w:tcPr>
          <w:p>
            <w:pPr>
              <w:jc w:val="center"/>
              <w:ind w:right="12"/>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3080" w:type="dxa"/>
            <w:vAlign w:val="bottom"/>
          </w:tcPr>
          <w:p>
            <w:pPr>
              <w:spacing w:after="0"/>
              <w:rPr>
                <w:sz w:val="2"/>
                <w:szCs w:val="2"/>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Shares</w:t>
            </w:r>
          </w:p>
        </w:tc>
        <w:tc>
          <w:tcPr>
            <w:tcW w:w="9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2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Paid-In Capital</w:t>
            </w:r>
          </w:p>
        </w:tc>
        <w:tc>
          <w:tcPr>
            <w:tcW w:w="14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Deficit</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492,304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81,635,074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(76,347,841)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5,287,282</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Issuance of equity securities, net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47,000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77,508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77,508</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(1,715,290)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(1,715,290)</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539,304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81,712,615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(78,063,131)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3,649,538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line="170" w:lineRule="exact"/>
              <w:rPr>
                <w:sz w:val="20"/>
                <w:szCs w:val="20"/>
                <w:color w:val="auto"/>
              </w:rPr>
            </w:pPr>
            <w:r>
              <w:rPr>
                <w:rFonts w:ascii="Arial" w:cs="Arial" w:eastAsia="Arial" w:hAnsi="Arial"/>
                <w:sz w:val="18"/>
                <w:szCs w:val="18"/>
                <w:color w:val="auto"/>
              </w:rPr>
              <w:t>Issuance of equity securities and</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080" w:type="dxa"/>
            <w:vAlign w:val="bottom"/>
            <w:vMerge w:val="continue"/>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101,873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65,070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65,080</w:t>
            </w:r>
          </w:p>
        </w:tc>
        <w:tc>
          <w:tcPr>
            <w:tcW w:w="0" w:type="dxa"/>
            <w:vAlign w:val="bottom"/>
          </w:tcPr>
          <w:p>
            <w:pPr>
              <w:spacing w:after="0"/>
              <w:rPr>
                <w:sz w:val="1"/>
                <w:szCs w:val="1"/>
                <w:color w:val="auto"/>
              </w:rPr>
            </w:pPr>
          </w:p>
        </w:tc>
      </w:tr>
      <w:tr>
        <w:trPr>
          <w:trHeight w:val="235"/>
        </w:trPr>
        <w:tc>
          <w:tcPr>
            <w:tcW w:w="30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85,168</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(1,424,433)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(1,424,433)</w:t>
            </w:r>
          </w:p>
        </w:tc>
        <w:tc>
          <w:tcPr>
            <w:tcW w:w="0" w:type="dxa"/>
            <w:vAlign w:val="bottom"/>
          </w:tcPr>
          <w:p>
            <w:pPr>
              <w:spacing w:after="0"/>
              <w:rPr>
                <w:sz w:val="1"/>
                <w:szCs w:val="1"/>
                <w:color w:val="auto"/>
              </w:rPr>
            </w:pPr>
          </w:p>
        </w:tc>
      </w:tr>
      <w:tr>
        <w:trPr>
          <w:trHeight w:val="275"/>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641,177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20"/>
                <w:szCs w:val="20"/>
                <w:b w:val="1"/>
                <w:bCs w:val="1"/>
                <w:color w:val="auto"/>
              </w:rPr>
              <w:t>64</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20"/>
                <w:szCs w:val="20"/>
                <w:b w:val="1"/>
                <w:bCs w:val="1"/>
                <w:u w:val="single" w:color="auto"/>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w w:val="97"/>
              </w:rPr>
              <w:t>81,862,853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20"/>
                <w:szCs w:val="20"/>
                <w:b w:val="1"/>
                <w:bCs w:val="1"/>
                <w:u w:val="single" w:color="auto"/>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w w:val="98"/>
              </w:rPr>
              <w:t>(79,487,564)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2,375,353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1,441,157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144</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83,435,169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(81,923,618)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1,511,695</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equity securities, net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640,682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226,106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226,170</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33,534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33,534</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(1,709,533)</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2,081,839</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208</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83,694,809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(83,633,151)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61,866</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equity securities, net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43,080</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(957,825)</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2,127,286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83,761,039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(84,590,976)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(829,724)</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and per share amounts have been restated to reflect the 1-for-8 reverse stock split effected in June 14, 2024 on retroactive basis for all periods presented.</w:t>
      </w:r>
    </w:p>
    <w:p>
      <w:pPr>
        <w:spacing w:after="0" w:line="16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74" w:right="67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340" w:right="2680"/>
        <w:spacing w:after="0" w:line="284"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biopharmaceutical company that has been focused on developing effective treatments for patients with cancer with high, unmet medical need. Specifically, Salarius has been concentrated on developing treatments for cancers caused by dysregulated gene expression (i.e., genes which are incorrectly turned on or off). Salarius has two classes of drugs that address gene dysregulation: targeted protein inhibitors and targeted protein degraders. Salarius’ technologies have the potential to work in both liquid and solid tumors. Salarius’ current pipeline consists of two small molecule drugs: (1) SP-3164, a targeted protein degrader, and (2) seclidemstat (“SP-2577”), a targeted protein inhibitor. The Company is located in Houston, Texas. On August 8, 2023, the Company announced that it retained Canaccord Genuity, LLC to lead a comprehensive review of strategic alternatives focusing on maximizing stockholder value, including but not limited to, an acquisition, merger, reverse merger, divestiture of assets, licensing, or other strategic transactions involving the Company.</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January 10, 2025, Salarius entered into an Agreement and Plan of Merger (the “Merger Agreement”) with Decoy Therapeutics MergerSub I, Inc., a Delaware corporation and a wholly owned subsidiary of Salarius (“First Merger Sub”), Decoy Therapeutics MergerSub II,</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LLC, a Delaware limited liability company and wholly owned subsidiary of Salarius (“Second Merger Sub”), and Decoy. Pursuant to the Merger Agreement, and subject to the satisfaction and waiver of certain conditions set forth in the Merger Agreement, Salarius will combine with Decoy (the “Merger”) by causing First Merger Sub to be merged with and into Decoy, with Decoy surviving the merger as a wholly owned subsidiary of Salarius (the “First Merger”). Immediately following the First Merger, Decoy will merge with and into Second Merger Sub, with Second Merger Sub being the surviving entity and continuing under the name “Decoy Therapeutics, LLC” as a wholly owned subsidiary of Salarius.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Based on Salarius’ expected cash requirements, Salarius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If the Company is unable to consummate the Merger or obtain additional capital in the very near term, it will be forced to cease operations, liquidate its assets and pursue the winding down and dissolution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14, 2024, the Company filed a Certificate of Amendment to the Company’s restated certificate of incorporation, as amended, with the Secretary of State of the State of Delaware to effect a 1-for-8 reverse stock split of the Company’s issued and outstanding shares of common stock, par value $0.0001 per share (the “Reverse Stock Split”) which became effective as of June 14, 2024. All historical share and per share amounts reflected throughout this report have been adjusted to reflect the Reverse Stock Split.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All historical share and per share amounts reflected throughout this report have been adjusted to reflect the Reverse Stock Split.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2024 included elsewhere in the Company's Annual Report on Form 10-K filed with the SEC on March 21, 2025. In the opinion of management, the unaudited interim financial statements reflect all the adjustments (consisting of normal recurring adjustments) necessary to state fairly the Company’s financial position as of June 30, 2025 and the results of operations for the three and six months ended June 30, 2025 and 2024. The interim results of operations are not necessarily indicative of the results that may occur for the full fiscal year. The December 31, 2024 balance sheet included herein was derived from the audited financial statements, but does not include all disclosures, including notes, required by GAAP for complete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 liquid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Cash is deposited in demand accounts in federally insured domestic institutions to minimize risk. Insurance is provided through the Federal Deposit Insurance Corporation. Although the balances in these accounts exceed the federally insured limit from time to time, the Company has not incurred losses related to these deposits.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stock options granted to employees and directors. Assumptions utilized in these models include expected volatility calculated based on implied volatility from traded stocks of peer companies, dividend yield and risk-free interest rate. Additionally, forfeitures are accounted for in compensation cost as they occur. Restricted stock and restricted stock units granted to employees and directors are measured at fair value based upon the closing price of the Company's common stock on the grant date.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number of anti-dilutive shares, consisting of common shares underlying (i) common stock options, (ii) stock purchase warrants, (iii) rights entitling holders to receive warrants to purchase the Company's common shares, and (iv) restricted stock units which have been excluded from the computation of diluted loss per share, was approximately 118,280 and 1,282,535 shares as of June 30, 2025 and 2024,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2025 and December 31, 2024,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360" w:type="dxa"/>
            <w:vAlign w:val="bottom"/>
          </w:tcPr>
          <w:p>
            <w:pPr>
              <w:spacing w:after="0"/>
              <w:rPr>
                <w:sz w:val="20"/>
                <w:szCs w:val="20"/>
                <w:color w:val="auto"/>
              </w:rPr>
            </w:pPr>
            <w:r>
              <w:rPr>
                <w:rFonts w:ascii="Arial" w:cs="Arial" w:eastAsia="Arial" w:hAnsi="Arial"/>
                <w:sz w:val="18"/>
                <w:szCs w:val="18"/>
                <w:b w:val="1"/>
                <w:bCs w:val="1"/>
                <w:color w:val="auto"/>
              </w:rPr>
              <w:t>NOTE 3. PREPAID EXPENSES AND OTHER CURRENT ASSETS</w:t>
            </w: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357"/>
        </w:trPr>
        <w:tc>
          <w:tcPr>
            <w:tcW w:w="9340" w:type="dxa"/>
            <w:vAlign w:val="bottom"/>
            <w:gridSpan w:val="4"/>
          </w:tcPr>
          <w:p>
            <w:pPr>
              <w:spacing w:after="0"/>
              <w:rPr>
                <w:sz w:val="20"/>
                <w:szCs w:val="20"/>
                <w:color w:val="auto"/>
              </w:rPr>
            </w:pPr>
            <w:r>
              <w:rPr>
                <w:rFonts w:ascii="Arial" w:cs="Arial" w:eastAsia="Arial" w:hAnsi="Arial"/>
                <w:sz w:val="18"/>
                <w:szCs w:val="18"/>
                <w:color w:val="auto"/>
              </w:rPr>
              <w:t>Prepaid expenses and other current assets at June 30, 2025 and December 31, 2024 consisted of the following:</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2"/>
        </w:trPr>
        <w:tc>
          <w:tcPr>
            <w:tcW w:w="7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2025</w:t>
            </w:r>
          </w:p>
        </w:tc>
        <w:tc>
          <w:tcPr>
            <w:tcW w:w="1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31, 2024</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287,785</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Deferred offering cost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509,931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221,580</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and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43,669</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564,692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553,034</w:t>
            </w:r>
          </w:p>
        </w:tc>
      </w:tr>
      <w:tr>
        <w:trPr>
          <w:trHeight w:val="21"/>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Insurance is mainly comprised of prepaid directors' and officers' insurance. In July 2024, the Company financed its directors and officers' insurance premium with a short term note, the principal amount of which is approximately $0.4 million bearing interest at a rate of 9.74%. The note payable balance, which was included within Current Liabilities on the Condensed Consolidated Balance Sheet was $0 million and $0.2 million at June 30, 2025 and December 31, 2024,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 ("CPRIT")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up to $18.7 million, further modified to $16.1 million to fund development of LSD 1 inhibitor. The grant expired in 2023.</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68"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February 5, 2021, the Company entered into an At the Market Offering Agreement ("ATM") with Ladenburg Thalmann &amp; Co. Inc. Under this agreement the Company is able to issue and sell, from time to time, shares of its common stock. During the six months ended June 30, 2025 and 2024, the Company sold 399,291 and 44,219 shares of common stock in an "at the market offering" with gross proceeds of $0.4 and 0.1 million, respectively.</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December 12, 2024, the Company entered into a securities purchase agreement (the “ELOC Agreement”) with C/M Capital Master Fund, LP (the “Purchaser”), pursuant to which the Company, subject to the restrictions and satisfaction of the conditions in the ELOC Agreement,</w:t>
      </w:r>
    </w:p>
    <w:p>
      <w:pPr>
        <w:jc w:val="both"/>
        <w:spacing w:after="0" w:line="226" w:lineRule="auto"/>
        <w:rPr>
          <w:sz w:val="20"/>
          <w:szCs w:val="20"/>
          <w:color w:val="auto"/>
        </w:rPr>
      </w:pPr>
      <w:r>
        <w:rPr>
          <w:rFonts w:ascii="Arial" w:cs="Arial" w:eastAsia="Arial" w:hAnsi="Arial"/>
          <w:sz w:val="18"/>
          <w:szCs w:val="18"/>
          <w:color w:val="auto"/>
        </w:rPr>
        <w:t>has the right, but not the obligation, to sell to the Purchaser, and the Purchaser is obligated to purchase, up to the lesser of (i) $10 million of newly issued shares (the “Purchase Shares”) of the Company’s common stock, $0.0001 par value per share (the “Common Stock”) and (ii) a</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specified cap dictated by the rules of the Nasdaq Stock Market. As consideration for the Purchaser’s execution and delivery of the ELOC Agreement, the Company has agreed to issue to the Purchaser, simultaneously with the delivery of any and all Purchase Shares purchased under the ELOC Agreement, a number of shares of Common Stock equal to one percent (1%) of the number of Purchase Shares actually sold in each sale under the ELOC Agreement (the “Commitment Shares” and, together with the Purchase Shares, the “Securities”).The Company issued 286,772 shares of common stock with proceeds of $ 0.7 million during the six-months ended June 30, 2025 pursuant to the ELOC Agreement. Please see also Note 9 for ELOC sales during July, 2025.</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11, 2023, the Company entered into a Securities Purchase Agreement (the “Purchase Agreement”) with an accredited investor (the “Investor”), pursuant to which the Company agreed to issue and sell to the Investor in a private placement (the “Offering”) (i) 41,250 shares (the “Shares”) of the Company’s common stock, par value $0.0001 per share (the “Common Stock”), (ii) pre-funded warrants (the “Pre-Funded Warrants”) to purchase up to 413,296 shares of Common Stock, (iii) Series A-1 warrants (the “Series A-1 Warrants”) to purchase up to 454,546 shares of Common Stock and (iv) Series A-2 warrants (the “Series A-2 Warrants”) and together with the Series A-1 Warrants, the “Common Stock Warrants,” and together with the Pre-Funded Warrants, the “Warrants”) to purchase up to 454,546 shares of Common Stock, at a purchase price of (a) $13.20 per Share and accompanying Common Stock Warrants and (b) $13.1992 per Pre-Funded Warrant and accompanying Common Stock Warrants. The aggregate gross proceeds from the Offering were approximately $6.0 million, exclusive of placement agent fees and expenses and other offering expenses. The Offering closed on May 16, 2023. All of the Series A-2 Warrants expired during the fiscal year ended December 31, 2024.</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six months ended June 30, 2024, the Company issued 104,750 shares of its Common Stock upon the exercise of Pre-Funded Warrants. All of the Pre-Funded Warrants were fully exercised as of December 31, 2024.</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Exercisable for Cash</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five-year (5) warrants outstanding that were issued in February 2020 and subsequently modified in December 2020 in connection with the issuance of additional inducement warrants. The initial warrants were exercisable at a price per share of $230 and expired during the first quarter of 2025. The inducement warrants expire on June 11, 2026, and are exercisable at a price per share of $236.40. The Company has five-and-one-half-year (5.5) year warrants outstanding that were issued in April 2022, with an exercise price of $67.98 per share. The warrants became exercisable six months following the issuance date and will expire five and one-half years from the issuance date.</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Series A-1 Warrants are exercisable for a period of five and one-half (5.5) years from the issuance date at an exercise price of $11.20 per share, expiring on November 16, 2028. Series A-2 Warrants expired on November 18, 2024. Each Pre-Funded Warrant was sold in lieu of shares of Common Stock, is exercisable immediately upon issuance, has an exercise price of $0.0008 per share and expires when exercised in full. On January 10, 2025, the Company entered into a Warrant Cancellation Agreement. Pursuant to the agreement, a Series A-1 Common Stock Purchase Warrant exercisable for 454,546 shares of the Company's common stock was canceled in exchange for cash of $0.35 million. As of June 30, 2025, there were zero A-1 and A-2 warrants outstanding.</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above mentioned Offering, the Company issued warrants to representatives to purchase up to 31,818 shares of common stock at an exercise price per share of $16.50 and a term of five and one-half (5.5)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and 2024, approximately 86,661 and 1,250,850 warrants remain outstanding, respectively.</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terms of the outstanding warrants require the Company, upon the consummation of any fundamental transaction to, among other obligations, cause any successor entity resulting from the fundamental transaction to assume the Company's obligations under the warrants and the associated transaction documents. In addition, holders of warrants are entitled to participate in any fundamental transaction on an as-converted or as-exercised basis, which could result in the holders of the Company's common stock receiving a lesser portion of the consideration from a fundamental transaction. In addition, certain of our outstanding warrants provide that, in the event of a fundamental transaction that is approved by our board of directors, the holders of such warrants have the option to require us to pay to such holders an amount of cash equal to the Black-Scholes value of the warrants. Such amount could be significantly more than the warrant holders would otherwise receive if they were to exercise their warrants and receive the same consideration as the other holders of common stock, which in turn could reduce the consideration that holders of common stock would be concurrently entitled to receive in such fundamental transaction. The terms of the warrants could also impede the Company's ability to enter into certain transactions or obtain additional financing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EQUITY-BASED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The 2015 Plan expired in accordance with its terms in January 2025 and there are no shares remaining available for the grant of future awards under the 2015 Plan.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six-month periods ended June 30, 2025 and 2024, the Company awarded 0 and 21,125 stock options, respectively,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awarded during the six-months ended June 30, 2024 was $0.1 million, which has been estimated with the following assumptions on the grant date.</w:t>
      </w:r>
    </w:p>
    <w:p>
      <w:pPr>
        <w:spacing w:after="0" w:line="200" w:lineRule="exact"/>
        <w:rPr>
          <w:sz w:val="20"/>
          <w:szCs w:val="20"/>
          <w:color w:val="auto"/>
        </w:rPr>
      </w:pPr>
    </w:p>
    <w:p>
      <w:pPr>
        <w:spacing w:after="0" w:line="317" w:lineRule="exact"/>
        <w:rPr>
          <w:sz w:val="20"/>
          <w:szCs w:val="20"/>
          <w:color w:val="auto"/>
        </w:rPr>
      </w:pPr>
    </w:p>
    <w:tbl>
      <w:tblPr>
        <w:tblLayout w:type="fixed"/>
        <w:tblInd w:w="2960" w:type="dxa"/>
        <w:tblCellMar>
          <w:top w:w="0" w:type="dxa"/>
          <w:left w:w="0" w:type="dxa"/>
          <w:bottom w:w="0" w:type="dxa"/>
          <w:right w:w="0" w:type="dxa"/>
        </w:tblCellMar>
      </w:tblPr>
      <w:tr>
        <w:trPr>
          <w:trHeight w:val="235"/>
        </w:trPr>
        <w:tc>
          <w:tcPr>
            <w:tcW w:w="2940" w:type="dxa"/>
            <w:vAlign w:val="bottom"/>
          </w:tcPr>
          <w:p>
            <w:pPr>
              <w:spacing w:after="0"/>
              <w:rPr>
                <w:sz w:val="20"/>
                <w:szCs w:val="20"/>
                <w:color w:val="auto"/>
              </w:rPr>
            </w:pPr>
          </w:p>
        </w:tc>
        <w:tc>
          <w:tcPr>
            <w:tcW w:w="2380" w:type="dxa"/>
            <w:vAlign w:val="bottom"/>
          </w:tcPr>
          <w:p>
            <w:pPr>
              <w:ind w:left="60"/>
              <w:spacing w:after="0"/>
              <w:rPr>
                <w:sz w:val="20"/>
                <w:szCs w:val="20"/>
                <w:color w:val="auto"/>
              </w:rPr>
            </w:pPr>
            <w:r>
              <w:rPr>
                <w:rFonts w:ascii="Arial" w:cs="Arial" w:eastAsia="Arial" w:hAnsi="Arial"/>
                <w:sz w:val="18"/>
                <w:szCs w:val="18"/>
                <w:b w:val="1"/>
                <w:bCs w:val="1"/>
                <w:color w:val="auto"/>
              </w:rPr>
              <w:t>Six Months Ended June 30</w:t>
            </w:r>
          </w:p>
        </w:tc>
      </w:tr>
      <w:tr>
        <w:trPr>
          <w:trHeight w:val="229"/>
        </w:trPr>
        <w:tc>
          <w:tcPr>
            <w:tcW w:w="294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2024</w:t>
            </w: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4.25%-4.61%</w:t>
            </w: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106.07% -123.31%</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5.00-6.00</w:t>
            </w: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six months ended June 30, 2025 and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81"/>
        </w:trPr>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8"/>
              </w:rPr>
              <w:t>Weighted-</w:t>
            </w:r>
          </w:p>
        </w:tc>
        <w:tc>
          <w:tcPr>
            <w:tcW w:w="14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Remaining</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4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16"/>
                <w:szCs w:val="16"/>
                <w:color w:val="auto"/>
              </w:rPr>
            </w:pPr>
          </w:p>
        </w:tc>
        <w:tc>
          <w:tcPr>
            <w:tcW w:w="148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8"/>
              </w:rPr>
              <w:t>Average</w:t>
            </w:r>
          </w:p>
        </w:tc>
        <w:tc>
          <w:tcPr>
            <w:tcW w:w="14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Contractual</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rPr>
              <w:t>Exercise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Term (in years)</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190.24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21,125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June 30, 2024</w:t>
            </w:r>
          </w:p>
        </w:tc>
        <w:tc>
          <w:tcPr>
            <w:tcW w:w="1420" w:type="dxa"/>
            <w:vAlign w:val="bottom"/>
          </w:tcPr>
          <w:p>
            <w:pPr>
              <w:jc w:val="right"/>
              <w:spacing w:after="0"/>
              <w:rPr>
                <w:sz w:val="20"/>
                <w:szCs w:val="20"/>
                <w:color w:val="auto"/>
              </w:rPr>
            </w:pPr>
            <w:r>
              <w:rPr>
                <w:rFonts w:ascii="Arial" w:cs="Arial" w:eastAsia="Arial" w:hAnsi="Arial"/>
                <w:sz w:val="18"/>
                <w:szCs w:val="18"/>
                <w:color w:val="auto"/>
              </w:rPr>
              <w:t>31,554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66.75</w:t>
            </w:r>
          </w:p>
        </w:tc>
        <w:tc>
          <w:tcPr>
            <w:tcW w:w="148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June 30, 2024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209.91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66.75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June 30, 2025</w:t>
            </w:r>
          </w:p>
        </w:tc>
        <w:tc>
          <w:tcPr>
            <w:tcW w:w="1420" w:type="dxa"/>
            <w:vAlign w:val="bottom"/>
          </w:tcPr>
          <w:p>
            <w:pPr>
              <w:jc w:val="right"/>
              <w:spacing w:after="0"/>
              <w:rPr>
                <w:sz w:val="20"/>
                <w:szCs w:val="20"/>
                <w:color w:val="auto"/>
              </w:rPr>
            </w:pPr>
            <w:r>
              <w:rPr>
                <w:rFonts w:ascii="Arial" w:cs="Arial" w:eastAsia="Arial" w:hAnsi="Arial"/>
                <w:sz w:val="18"/>
                <w:szCs w:val="18"/>
                <w:color w:val="auto"/>
              </w:rPr>
              <w:t>31,554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66.75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June 30, 2025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70.78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2025 and 2024, there was approximately $0.1 million and $0.2 million, respectively,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0.35 years.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been concentrated on developing treatments for cancers caused by dysregulated gene expression. The current pipeline consists of two small molecule drugs: (1) SP-3164, a targeted protein degrader, and (2) seclidemstat (“SP-2577”), a targeted protein inhibitor. The Company does not have any revenue generating products.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six months ended June 30, 2025 and 2024, the Company identified one operating and reportable segment relating to its operations. The Company defines its operating segment based on internally reported financial information that is regularly reviewed by the Chief Operating Decision Maker (the "CODM"), its Chief Executive Officer. The CODM reviews the segment’s loss based on net loss reported on the consolidated statement of operations.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CODM views specific categories within research and development expenses and general and administrative expenses as significant given the direct correlation between cash burn as a pre-revenue company. The table below is a summary of the segment loss, including significant segment expenses:</w:t>
      </w:r>
    </w:p>
    <w:p>
      <w:pPr>
        <w:spacing w:after="0" w:line="16"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20" w:type="dxa"/>
            <w:vAlign w:val="bottom"/>
            <w:gridSpan w:val="4"/>
          </w:tcPr>
          <w:p>
            <w:pPr>
              <w:jc w:val="center"/>
              <w:spacing w:after="0"/>
              <w:rPr>
                <w:sz w:val="20"/>
                <w:szCs w:val="20"/>
                <w:color w:val="auto"/>
              </w:rPr>
            </w:pPr>
            <w:r>
              <w:rPr>
                <w:rFonts w:ascii="Arial" w:cs="Arial" w:eastAsia="Arial" w:hAnsi="Arial"/>
                <w:sz w:val="18"/>
                <w:szCs w:val="18"/>
                <w:b w:val="1"/>
                <w:bCs w:val="1"/>
                <w:color w:val="auto"/>
              </w:rPr>
              <w:t>Three-Months Ended</w:t>
            </w:r>
          </w:p>
        </w:tc>
        <w:tc>
          <w:tcPr>
            <w:tcW w:w="260" w:type="dxa"/>
            <w:vAlign w:val="bottom"/>
          </w:tcPr>
          <w:p>
            <w:pPr>
              <w:spacing w:after="0"/>
              <w:rPr>
                <w:sz w:val="17"/>
                <w:szCs w:val="17"/>
                <w:color w:val="auto"/>
              </w:rPr>
            </w:pPr>
          </w:p>
        </w:tc>
        <w:tc>
          <w:tcPr>
            <w:tcW w:w="2680" w:type="dxa"/>
            <w:vAlign w:val="bottom"/>
            <w:gridSpan w:val="4"/>
          </w:tcPr>
          <w:p>
            <w:pPr>
              <w:jc w:val="center"/>
              <w:spacing w:after="0"/>
              <w:rPr>
                <w:sz w:val="20"/>
                <w:szCs w:val="20"/>
                <w:color w:val="auto"/>
              </w:rPr>
            </w:pPr>
            <w:r>
              <w:rPr>
                <w:rFonts w:ascii="Arial" w:cs="Arial" w:eastAsia="Arial" w:hAnsi="Arial"/>
                <w:sz w:val="18"/>
                <w:szCs w:val="18"/>
                <w:b w:val="1"/>
                <w:bCs w:val="1"/>
                <w:color w:val="auto"/>
              </w:rPr>
              <w:t>Six-Months Ended</w:t>
            </w:r>
          </w:p>
        </w:tc>
      </w:tr>
      <w:tr>
        <w:trPr>
          <w:trHeight w:val="254"/>
        </w:trPr>
        <w:tc>
          <w:tcPr>
            <w:tcW w:w="3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7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8"/>
              </w:rPr>
              <w:t>June 30</w:t>
            </w:r>
          </w:p>
        </w:tc>
        <w:tc>
          <w:tcPr>
            <w:tcW w:w="920" w:type="dxa"/>
            <w:vAlign w:val="bottom"/>
          </w:tcPr>
          <w:p>
            <w:pPr>
              <w:spacing w:after="0"/>
              <w:rPr>
                <w:sz w:val="22"/>
                <w:szCs w:val="22"/>
                <w:color w:val="auto"/>
              </w:rPr>
            </w:pPr>
          </w:p>
        </w:tc>
      </w:tr>
      <w:tr>
        <w:trPr>
          <w:trHeight w:val="263"/>
        </w:trPr>
        <w:tc>
          <w:tcPr>
            <w:tcW w:w="33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4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26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4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2024</w:t>
            </w:r>
          </w:p>
        </w:tc>
      </w:tr>
      <w:tr>
        <w:trPr>
          <w:trHeight w:val="251"/>
        </w:trPr>
        <w:tc>
          <w:tcPr>
            <w:tcW w:w="3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6"/>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1"/>
        </w:trPr>
        <w:tc>
          <w:tcPr>
            <w:tcW w:w="3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52"/>
        </w:trPr>
        <w:tc>
          <w:tcPr>
            <w:tcW w:w="3300" w:type="dxa"/>
            <w:vAlign w:val="bottom"/>
          </w:tcPr>
          <w:p>
            <w:pPr>
              <w:ind w:left="20"/>
              <w:spacing w:after="0"/>
              <w:rPr>
                <w:sz w:val="20"/>
                <w:szCs w:val="20"/>
                <w:color w:val="auto"/>
              </w:rPr>
            </w:pPr>
            <w:r>
              <w:rPr>
                <w:rFonts w:ascii="Arial" w:cs="Arial" w:eastAsia="Arial" w:hAnsi="Arial"/>
                <w:sz w:val="18"/>
                <w:szCs w:val="18"/>
                <w:color w:val="auto"/>
              </w:rPr>
              <w:t>SP-3164</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8,406</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125,974</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29,443</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212,860</w:t>
            </w:r>
          </w:p>
        </w:tc>
      </w:tr>
      <w:tr>
        <w:trPr>
          <w:trHeight w:val="26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SP-2577</w:t>
            </w:r>
          </w:p>
        </w:tc>
        <w:tc>
          <w:tcPr>
            <w:tcW w:w="6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107,977</w:t>
            </w:r>
          </w:p>
        </w:tc>
        <w:tc>
          <w:tcPr>
            <w:tcW w:w="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88,473</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162,472</w:t>
            </w:r>
          </w:p>
        </w:tc>
        <w:tc>
          <w:tcPr>
            <w:tcW w:w="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244,589</w:t>
            </w:r>
          </w:p>
        </w:tc>
      </w:tr>
      <w:tr>
        <w:trPr>
          <w:trHeight w:val="256"/>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1"/>
        </w:trPr>
        <w:tc>
          <w:tcPr>
            <w:tcW w:w="3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52"/>
        </w:trPr>
        <w:tc>
          <w:tcPr>
            <w:tcW w:w="3300" w:type="dxa"/>
            <w:vAlign w:val="bottom"/>
          </w:tcPr>
          <w:p>
            <w:pPr>
              <w:ind w:left="20"/>
              <w:spacing w:after="0"/>
              <w:rPr>
                <w:sz w:val="20"/>
                <w:szCs w:val="20"/>
                <w:color w:val="auto"/>
              </w:rPr>
            </w:pPr>
            <w:r>
              <w:rPr>
                <w:rFonts w:ascii="Arial" w:cs="Arial" w:eastAsia="Arial" w:hAnsi="Arial"/>
                <w:sz w:val="18"/>
                <w:szCs w:val="18"/>
                <w:color w:val="auto"/>
              </w:rPr>
              <w:t>Professional services and Consulting</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515,414</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764,432</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1,749,109</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1,332,897</w:t>
            </w:r>
          </w:p>
        </w:tc>
      </w:tr>
      <w:tr>
        <w:trPr>
          <w:trHeight w:val="26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cost</w:t>
            </w:r>
          </w:p>
        </w:tc>
        <w:tc>
          <w:tcPr>
            <w:tcW w:w="6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180,933</w:t>
            </w:r>
          </w:p>
        </w:tc>
        <w:tc>
          <w:tcPr>
            <w:tcW w:w="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247,539</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432,041</w:t>
            </w:r>
          </w:p>
        </w:tc>
        <w:tc>
          <w:tcPr>
            <w:tcW w:w="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1,088,980</w:t>
            </w:r>
          </w:p>
        </w:tc>
      </w:tr>
      <w:tr>
        <w:trPr>
          <w:trHeight w:val="252"/>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Facility cost</w:t>
            </w:r>
          </w:p>
        </w:tc>
        <w:tc>
          <w:tcPr>
            <w:tcW w:w="6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152,835</w:t>
            </w:r>
          </w:p>
        </w:tc>
        <w:tc>
          <w:tcPr>
            <w:tcW w:w="4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241,099</w:t>
            </w:r>
          </w:p>
        </w:tc>
        <w:tc>
          <w:tcPr>
            <w:tcW w:w="2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311,195</w:t>
            </w:r>
          </w:p>
        </w:tc>
        <w:tc>
          <w:tcPr>
            <w:tcW w:w="4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359,806</w:t>
            </w:r>
          </w:p>
        </w:tc>
      </w:tr>
      <w:tr>
        <w:trPr>
          <w:trHeight w:val="255"/>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64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965,565</w:t>
            </w:r>
          </w:p>
        </w:tc>
        <w:tc>
          <w:tcPr>
            <w:tcW w:w="4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1,467,517</w:t>
            </w:r>
          </w:p>
        </w:tc>
        <w:tc>
          <w:tcPr>
            <w:tcW w:w="26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2,684,260</w:t>
            </w:r>
          </w:p>
        </w:tc>
        <w:tc>
          <w:tcPr>
            <w:tcW w:w="4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3,239,132</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6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43,085</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16,902</w:t>
            </w:r>
          </w:p>
        </w:tc>
        <w:tc>
          <w:tcPr>
            <w:tcW w:w="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99,409</w:t>
            </w:r>
          </w:p>
        </w:tc>
      </w:tr>
      <w:tr>
        <w:trPr>
          <w:trHeight w:val="257"/>
        </w:trPr>
        <w:tc>
          <w:tcPr>
            <w:tcW w:w="3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957,825</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1,424,432</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2,667,358</w:t>
            </w:r>
          </w:p>
        </w:tc>
        <w:tc>
          <w:tcPr>
            <w:tcW w:w="46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3,139,723</w:t>
            </w:r>
          </w:p>
        </w:tc>
      </w:tr>
      <w:tr>
        <w:trPr>
          <w:trHeight w:val="20"/>
        </w:trPr>
        <w:tc>
          <w:tcPr>
            <w:tcW w:w="3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Sales ELOC Agreement</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issued 5,518,308 shares of common stock with proceeds of $3.8 million during the period subsequent to June 30, 2025 according to the Purchase Agreement entered into on December 12, 2024 with C/M Capital Master Fund, LP.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Delisting Notice</w:t>
      </w:r>
    </w:p>
    <w:p>
      <w:pPr>
        <w:spacing w:after="0" w:line="14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April 23, 2025, Salarius received written notice (the “Notice”) from Nasdaq notifying Salarius that it is not in compliance with Nasdaq listing rule 5550(a)(2) because the closing bid price of Salarius’ common stock for the last 30 consecutive business days was lower than the</w:t>
      </w:r>
    </w:p>
    <w:p>
      <w:pPr>
        <w:jc w:val="both"/>
        <w:spacing w:after="0" w:line="226" w:lineRule="auto"/>
        <w:rPr>
          <w:sz w:val="20"/>
          <w:szCs w:val="20"/>
          <w:color w:val="auto"/>
        </w:rPr>
      </w:pPr>
      <w:r>
        <w:rPr>
          <w:rFonts w:ascii="Arial" w:cs="Arial" w:eastAsia="Arial" w:hAnsi="Arial"/>
          <w:sz w:val="18"/>
          <w:szCs w:val="18"/>
          <w:color w:val="auto"/>
        </w:rPr>
        <w:t>minimum bid price requirement of $ 1.00 per share (the “Minimum Bid Price Requirement”). Normally, a company would be afforded a 180-calendar day period to demonstrate compliance with the Minimum Bid Price Requirement. However, pursuant to Nasdaq listing rule 5810(c)</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(3)(A)(iv), Salarius is not eligible for any compliance period specified in Nasdaq listing rule 5810(c)(3)(A) because Salarius has effected a reverse stock split during the prior one-year period.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previously disclosed, on March 26, 2025, Salarius received a letter from Nasdaq notifying Salarius that, based on the financial statements contained in its Annual Report on Form 10-K for the year ended December 31, 2024, Salarius no longer complied with the requirement under Nasdaq Listing Rule 5550(b)(1) to maintain a minimum of $2.5 million in stockholders’ equity for continued listing on The Nasdaq Capital Market (the “Equity Standard”). The letter indicated that Salarius had until May 12, 2025 to either regain compliance with the Equity Standard or submit a plan to Nasdaq to regain compliance with the Equity Standard (a “Compliance Plan”).</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However, pursuant to Nasdaq listing rule 5810(d)(2), Salarius’ failure to comply with the Minimum Bid Price Requirement serves as a separate and additional reason for delisting and, as such, the Notice indicates that Nasdaq will not entertain a Compliance Plan, and Salarius should also address Salarius’ noncompliance with the Equity Standard before a Nasdaq Hearings Panel (the “Hearings Panel”) if Salarius appeals Nasdaq’s determination.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Accordingly, unless Salarius requested an appeal of the delisting determination by April 30, 2025, Nasdaq had determined that Salarius’ securities would have been scheduled for delisting from The Nasdaq Capital Market and suspended at the opening of business on May 2, 2025. In addition, a Form 25-NSE would have been filed with the SEC, which would have removed Salarius’ securities from listing and registration on The Nasdaq Stock Market.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Salarius appealed the delisting determination before the April 30, 2025 deadline by requesting an appeal with a Hearings Panel. The request for an appeal stayed the suspension of Salarius’ securities and the filing of the Form 25-NSE pending the Hearings Panel’s decision. The appeal before the Hearings Panel occurred on June 3, 2025. At the appeal before the Hearings Panel, the Company presented its plans to regain compliance with the Minimum Bid Price Requirement, including via the implementation of a reverse stock split (shareholder approval sought at the Special Meeting held on July 8, 2025 (the “Special Meeting”)), and the Equity Standard in connection with the Company’s planned merger transaction with Decoy (as well as future draw-downs from its equity line of credit with C/M Capital Master Fund L.P. following the lifting of the stockholder approval cap of 19.9% under Nasdaq Listing Rule 5635(a) and 5635(d) at the Special Meeting). At the Special Meeting held on July 8, 2025, Salarius’ stockholders approved the reverse stock split proposal and the lifting of the stockholder approval cap.</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11, 2025, Salarius received written notification from Nasdaq that the Hearings Panel has granted Salarius an extension to regain compliance with Nasdaq Listing Rules 5550(a)(2) and 5550(b)(1). The extension by the Hearings Panel is contingent on Salarius achieving scheduled milestones and notifying Nasdaq of such achievements. Such milestones consisted of regaining compliance with the Equity Standard by early July 2025 and regaining compliance with the Minimum Bid Price Requirement by early August 2025. On July 28, 2025, Salarius received notification from Nasdaq that the Hearings Panel has granted Salarius an additional extension to regain compliance with the Equity Standard by mid August 2025 and to regain compliance with the Minimum Bid Price Requirement by late August 2025. If Salarius is not successful at satisfying these milestones within the time periods prescribed by the Hearings Panel, Salarius may be delisted. There is no assurance that Salarius will be able to regain compliance with the applicable continued listing requirements by the Hearings Panel’s deadline.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Hearings Panel reserves the right to reconsider the terms of this granted exception based on any event, condition or circumstance that exists or develops that would, in the opinion of the Hearings Panel, make continued listing of Salarius’ securities on Nasdaq inadvisable or unwarranted. The Hearings Panel’s notification advised Salarius that the Nasdaq Listing and Hearing Review Council may, on its own motion, determine to review any Panel decision within 45 calendar days after issuance of the written decision. If the Listing Council determines to review the Hearings Panel’s decision in Salarius’ matter, it may affirm, modify, reverse, dismiss or remand the decision to the Hearings Panel.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2024, filed with the SEC on March 21, 2025.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2024,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 clinical-stage biopharmaceutical company that has been focused on developing effective treatments for patients with cancer with high, unmet medical need. Specifically, we have been concentrated on developing treatments for cancers caused by dysregulated gene expression (i.e., genes which are incorrectly turned on or off). We have two classes of drugs that address gene dysregulation: targeted protein inhibitors and targeted protein degraders. Our technologies have the potential to work in both liquid and solid tumors. Our current pipeline consists of two small molecule drugs: (1) SP-3164, a targeted protein degrader, and (2) seclidemstat (SP-2577), a targeted protein inhibitor. We are located in Houston, Texas. On August 8, 2023, we announced that we retained Canaccord Genuity, LLC to lead a comprehensive review of strategic alternatives focusing on maximizing stockholder value, including but not limited to, an acquisition, merger, reverse merger, divestiture of assets, licensing, or other strategic transactions involving our company.</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$84.6 million as of June 30, 2025. Substantially all of our operating losses resulted from expenses incurred in connection with our research and development programs and from general and administrative costs associated with our operations. As of June 30, 2025, we had cash and cash equivalents of $0.8 million and stockholders' equity balance of $-0.8 million, however we believe our cash and cash equivalents balance is approximately $3.4 million and stockholders' equity balance is above $2.5 million as of the filing date of this report. During the six month ended June 30, 2025, we sold 399,291 shares of our common stock in an ATM offering with gross proceeds of $0.4 million and 286,772 shares with gross proceeds of $0.7 million under the ELOC agreement, respectively.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that there is presently insufficient funding available to allow us to continue our current and planned clinical programs for a period exceeding 12 months from the date of this filing with the SEC.</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operations and any clinical development activities that we determine to advance and will need such additional capital within the next several months to continue to fund our operations beyond the second quarter of 2026. The amount and timing of our future funding requirements will depend on many factors, including the result of strategic alternatives process, our ability to raise additional capital on commercially reasonable terms, the pace and results of clinical development activities, and market conditions. Failure to raise capital as and when needed, on favorable terms or at all, would have a material negative impact on our financial condition and our ability to continue our operations.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may attempt obtain additional capital through the sale of equity securities in one or more offerings or through issuances of debt instruments, which will likely cause significant dilution to our existing shareholders. We may also consider new collaborations or selectively partnering our technology. However, we cannot provide any assurance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that we will be successful in accomplishing any of our plans to obtain additional capital or be able to do so on terms acceptable to us.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we do not raise capital in the next several months, we will be forced to cease operations, liquidate our assets and possibly seek bankruptcy protection or engage in a similar process.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ELOC Agreement</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12, 2024, Salarius entered into a securities purchase agreement (the “ELOC Agreement”) with C/M Capital Master Fund, LP (the “Purchaser”), pursuant to which Salarius, subject to the restrictions and satisfaction of the conditions in the ELOC Agreement, has the right, but not the obligation, to sell to the Purchaser, and the Purchaser is obligated to purchase, up to the lesser of (i) $10 million of newly issued shares (the “Purchase Shares”) of Salarius’ common stock and (ii) the Exchange Cap (as defined in the ELOC Agreement). As consideration for the Purchaser’s execution and delivery of the ELOC Agreement, Salarius has agreed to issue to the Purchaser, simultaneously with the delivery of any and all Purchase Shares purchased under the ELOC Agreement, a number of shares of Salarius common stock equal to one percent (1%) of the number of Purchase Shares actually sold in each sale under the ELOC Agreement.</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July 2025, Salarius issued and sold 5,463,671 shares (the “Purchase Shares”) of its common stock to the Purchaser pursuant to the ELOC Agreement at a weighted average exercise price of $0.66 for an aggregate purchase price of $3.5 million. These issuances and sales were made following written notice delivered by Salarius to Investor, directing Investor to purchase the Purchase Shares. Salarius also issued 54,637 shares of its common stock to the Purchaser as commitment shares pursuant to the terms of the ELOC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July 8, 2025 Special Meeting</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Salarius’s special meeting of stockholders held on July 8, 2025, Salarius’ stockholders approved a proposal to remove the Exchange Cap under the ELOC Agreement so that Salarius can issue additional shares of common stock pursuant to the ELOC Agreement up to the maximum of $10 million of newly issued shares. To the extent that Salarius sells shares of its common stock pursuant to the ELOC Agreement or any similar program in the future.</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Salarius stockholders also approved an amendment to the Company’s Certificate of Incorporation, as amended, to effect a reverse stock split of the Company's Common Stock at a ratio in the range of 1:4 to 1:40, as determined by the Company’s Board of Directors (the “Board”), and with such reverse stock split to be effected at such time and date, if at all, as determined by the Board in its sole discretion.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Merger Agreement with Decoy Therapeutics, Inc. (“Decoy”)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8, 2023, Salarius announced that it retained Canaccord Genuity, LLC to lead a comprehensive review of strategic alternatives focusing on maximizing stockholder value, including but not limited to, an acquisition, merger, reverse merger, divestiture of assets, licensing, or other strategic transactions involving the company. On January 10, 2025, Salarius entered into an Agreement and Plan of Merger (as amended the “Merger Agreement”) with Decoy Therapeutics MergerSub I, Inc., a Delaware corporation and a wholly owned subsidiary of Salarius (“First Merger Sub”), Decoy Therapeutics MergerSub II, LLC, a Delaware limited liability company and wholly owned subsidiary of Salarius (“Second Merger Sub”), and Decoy. The Decoy transaction is structured as a two-step transaction. In step one of the transaction, Salarius will combine with Decoy (the “Merger”) by causing First Merger Sub to be merged with and into Decoy, with Decoy surviving the merger as a wholly owned subsidiary of Salarius (the “First Merger”). Immediately following the First Merger, Decoy will merge with and into Second Merger Sub, with Second Merger Sub being the surviving entity and continuing under the name “Decoy Therapeutics, LLC” as a wholly owned subsidiary of Salarius. The closing of the Merger contemplated by step one of the transaction (the “Closing”) is conditioned upon, among other things, minimum proceeds from offerings of at least $6.0 million (collectively, the “Qualified Financing”) and the continued listing of Salarius’ common stock (“common stock”) on Nasdaq (as the term is defined below). For the avoidance of doubt, while the Merger Closing contemplated by step one of the transaction is conditioned on Salarius’ continued listed on Nasdaq, neither the Qualified Financing nor the Merger Closing is contingent on Nasdaq’s approval of an initial listing application, which is expected to be filed following the consummation of the Qualified Financing and the Merger Closing in connection with step two of the transaction.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step two of the Decoy transaction, Salarius has agreed to call a special stockholder meeting to approve, among other things, the conversion of the Preferred Stock to be issued at Merger Closing into shares of Salarius common stock (the “Conversion Proposal”). The Preferred Stock issued at the Merger Closing will not convert into Salarius common stock until Salarius obtains stockholder approval to approve the Conversion Proposal. Nasdaq has informed Salarius that the Decoy transaction constitutes a business combination that will result in a “Change of Control” pursuant to Listing Rule 5110(a) in connection with step two of the transaction and that the post-transaction entity will be required to satisfy all of Nasdaq’s initial listing criteria and to complete Nasdaq’s initial listing process prior to Salarius’ stockholder meeting to seek approval for the Conversion Proposal. Salarius therefore intends to commence the initial listing process following the consummation of the Qualified Financing and the Merger Closing at such time that the post-transaction entity is expected to satisfy all of the applicable Nasdaq initial listing criteria. The Preferred Stock issued at the Merger Closing in connection with step one of the Decoy transaction will not be convertible into Salarius common stock until Nasdaq’s approval of the initial listing application and stockholder approval of the Conversion Proposal. Salarius intends to register the issuance of the shares of Salarius common stock underlying the Preferred Stock within 60 days of the Merger Closing.</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original Merger Agreement provided that the number of shares of Salarius common stock and the number of shares of Salarius common stock underlying the Series A Preferred Stock to be issued at Merger Closing was based on an exchange ratio which assumed a base value of $28.0 million for Decoy and $4.6 million for Salarius. In the original Merger Agreement, this ratio was subject to adjustment based on the balance sheet cash available to each of Salarius and Decoy at Merger Closing (excluding any proceeds raised in any Qualified Financing).</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28, 2025, Salarius, First Merger Sub, Second Merger Sub and Decoy entered into Amendment No. 1 to the Merger Agreement (“Amendment No.1”), pursuant to which the parties agreed to eliminate the adjustment based on the relative balance sheet cash available to Salarius and Decoy at Closing. Accordingly, under Amendment No. 1, the relative ownership percentages of the combined company was effectively fixed, with Salarius’ legacy stockholders retaining 14.1% and Decoy’s legacy stockholders retaining 85.9% of the combined company following the completion of the Merger, in each case calculated on a fully-diluted basis, and before taking into account the dilutive effects of the Qualified Financing and any issuance of securities pursuant to such Qualified Financing after January 10, 2025, the date of entry into the original Merger Agreement.</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10, 2025, Salarius, First Merger Sub, Second Merger Sub and Decoy entered into Amendment No. 2 to the Merger Agreement (“Amendment No. 2”) to address significant changes in market conditions and secure necessary consents from Decoy noteholders for the completion of the transaction.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the execution of the original Merger Agreement in January 2025 and following the execution of Amendment No. 1, Salarius’ common stock price has experienced substantial deterioration, materially affecting the relative valuations underlying the exchange ratio. As a result, the parties have agreed to reduce Salarius’ relative valuation from $ 4.6 million at the time of the original Merger Agreement to $2.31 million. This reduction results in a change in the exchange ratio such that the number of shares of common stock underlying Salarius’ Preferred Stock to be issued to Decoy stockholders at Merger Closing will be increased by approximately 17 million shares. Accordingly, under Amendment No. 2, the relative ownership percentages of the combined company will result in Salarius’ legacy stockholders retaining 7.6% and Decoy’s legacy stockholders retaining 92.4% of the combined company following the completion of the Merger, in each case calculated on a fully-diluted basis, and before taking into account the dilutive effects of the Qualified Financing and any issuance of securities pursuant to such Qualified Financing after June 10, 2025, the date of Amendment No. 2.</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Amendment No. 2 revised the form of Certificate of Designation (as defined further below) for Preferred Stock that will be filed upon Merger Closing to include post-closing anti-dilution price protection for holders of Preferred Stock whereby if, following completion of the Qualified Financing and the Merger, Salarius conducts any subsequent dilutive financing of at least $2 million at a weighted average effective price per share below the offering price offered to the public in the Qualified Financing, the conversion ratio will be reset to provide additional shares to Preferred Stockholders in an amount proportional to the dilution caused by such offering, with such protection applying for one year from issuance. The revised Certificate of Designation also provides that the Preferred Stock will not be convertible until the combined company meets the relevant initial listing standards of Nasdaq and contains a provision designed to prevent Preferred Stockholders from engaging in short sales of Salarius’ common stock. As provided in the original Certificate of Designation, the Preferred Stock will also not convert until Salarius obtains stockholder approval pursuant to Nasdaq listing rule 5635. Salarius intends to register the issuance of the shares of Salarius common stock underlying the Preferred Stock within 60 days of the Merger Closing.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18, 2025, Salarius, First Merger Sub, Second Merger Sub and Decoy entered into Amendment No. 3 to the Merger Agreement (“Amendment No. 3”) to allow certain holders of Decoy’s non-convertible promissory notes (the “Decoy Promissory Notes”) to exchange such debt for shares of Salarius' newly created Series B Non-Voting Convertible Preferred Stock (“Series B Preferred Stock”) pursuant to note exchange agreements between the holders of Decoy Promissory Notes and Decoy (the “Note Exchange Agreements”). The number of shares underlying the Series B Preferred Stock will be calculated by dividing the principal and interest owed on the exchanged Decoy Promissory Notes by the per share offering price in the Qualified Financing, with the shares underlying the Series A Preferred Stock being reduced on a one-for-one basis by the number of shares underlying the Series B Preferred Stock, such that the relative percentage ownerships (pre-Qualified Financing) remain unchanged. The Series B Preferred Stock is identical in all material respects to the Series A Preferred Stock, including a conversion ratio of 1,000 shares of common stock per preferred share, and subject to similar adjustment and conversion restrictions, except for certain redemption and conversion provisions that include: (i) mandatory redemption requiring fifty percent (50%) of net proceeds from Salarius’ at-the-market equity program and equity line of credit to be used for redemption of the Series B Preferred Stock until fully redeemed, (ii) optional redemption allowing Salarius to redeem all or any portion of the outstanding Series B Preferred Stock at any time following the Merger Closing, and (iii) optional conversion at the discretion of the holders upon stockholder approval of the conversion of the Series B Preferred Stock and the Company’s achievement of the Nasdaq initial listing standards for a period of one year following such approvals, at which time remaining shares of Series B Preferred Stock shall automatically convert into Company common stock at the conversion ratio. Amendment No. 3 also requires the Company to effectuate the transactions contemplated by the Note Exchange Agreements, with the closing of such agreements to occur at the Merger Closing.</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29, 2025, Salarius, First Merger Sub, Second Merger Sub and Decoy entered into Amendment No. 4 to the Merger Agreement (“Amendment No. 4) to modify the conversion terms of the Company’s form of Certificate of Designations of Series A Non-Voting Convertible Preferred Stock and Series B Non-Voting Convertible Preferred Stock to further incentivize the consent and conversion by the holders of certain convertible and non-convertible notes of Decoy. Specifically, the Fourth Amendment modifies the Certificate of Designations for each series of Preferred Stock to (i) remove the $2 million threshold requirement for triggering a “subsequent financing” under Section 7(e) that results in a proportional adjustment to the conversion ratio, (ii) change the conversion price adjustment calculation from a weighted average pricing mechanism to the actual per share offering price in any subsequent financing, and (iii) eliminate the one-year limitation on adjustments to the conversion ratio such that the adjustment will apply until such time as the Company’s stockholders approve the conversion of the Preferred Stock and the Company meets applicable Nasdaq initial listing standards. Except as modified by Amendment No. 4, the terms of the original Merger Agreement and Amendment Nos. 1, 2 and 3 remain in full force and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Cancellation Agreement</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10, 2025, Salarius entered into a Warrant Cancellation Agreement (the “Warrant Cancellation Agreement”) with an accredited investor. Salarius previously issued to the investor a Series A-1 Common Stock Purchase Warrant to purchase 454,546 shares of its common stock pursuant to the offering described in Salarius’ Current Report on Form 8-K filed with the Securities and Exchange Commission (“SEC”) on May 16, 2023 (the “Warrant”). Pursuant to the Warrant Cancellation Agreement, on January 10, 2025, Salarius paid the investor an aggregate amount in cash of $350,000 in exchange for the surrender and cancellation of the Warrant.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Delisting Notice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On April 23, 2025, Salarius received written notice (the “Notice”) from Nasdaq notifying Salarius that it is not in compliance with Nasdaq</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listing rule 5550(a)(2) because the closing bid price of Salarius’ common stock for the last 30 consecutive business days was lower than the minimum bid price requirement of $1.00 per share (the “Minimum Bid Price Requirement”). Normally, a company would be afforded a 180-</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calendar day period to demonstrate compliance with the Minimum Bid Price Requirement. However, pursuant to Nasdaq listing rule 5810(c) (3)(A)(iv), Salarius is not eligible for any compliance period specified in Nasdaq listing rule 5810(c)(3)(A) because Salarius has effected a reverse stock split during the prior one-year period.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previously disclosed, on March 26, 2025, Salarius received a letter from Nasdaq notifying Salarius that, based on the financial statements contained in its Annual Report on Form 10-K for the year ended December 31, 2024, Salarius no longer complied with the requirement under Nasdaq Listing Rule 5550(b)(1) to maintain a minimum of $2.5 million in stockholders’ equity for continued listing on The Nasdaq Capital Market (the “Equity Standard”). The letter indicated that Salarius had until May 12, 2025 to either regain compliance with the Equity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Standard or submit a plan to Nasdaq to regain compliance with the Equity Standard (a “Compliance Plan”). However, pursuant to Nasdaq listing rule 5810(d)(2), Salarius’ failure to comply with the Minimum Bid Price Requirement serves as a separate and additional reason for delisting and, as such, the Notice indicates that Nasdaq will not entertain a Compliance Plan, and Salarius should also address Salarius’ noncompliance with the Equity Standard before a Nasdaq Hearings Panel (the “Hearings Panel”) if Salarius appeals Nasdaq’s determination.</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Accordingly, unless Salarius requested an appeal of the delisting determination by April 30, 2025, Nasdaq had determined that Salarius’ securities would have been scheduled for delisting from The Nasdaq Capital Market and suspended at the opening of business on May 2, 2025. In addition, a Form 25-NSE would have been filed with the SEC, which would have removed Salarius’ securities from listing and registration on The Nasdaq Stock Market.</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Salarius appealed the delisting determination before the April 30, 2025 deadline by requesting an appeal with a Hearings Panel. The request for an appeal stayed the suspension of Salarius’ securities and the filing of the Form 25-NSE pending the Hearings Panel’s decision. The appeal before the Hearings Panel occurred on June 3, 2025. At the appeal before the Hearings Panel, the Company presented its plans to regain compliance with the Minimum Bid Price Requirement, including via the implementation of a reverse stock split (shareholder approval sought at the Special Meeting held on July 8, 2025 (the “Special Meeting”)), and the Equity Standard in connection with the Company’s planned merger transaction with Decoy (as well as future draw-downs from its equity line of credit with C/M Capital Master Fund L.P. following the lifting of the stockholder approval cap of 19.9% under Nasdaq Listing Rule 5635(a) and 5635(d) at the Special Meeting). At the Special Meeting held on July 8, 2025, Salarius’ stockholders approved the reverse stock split proposal and the lifting of the stockholder approval cap.</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11, 2025, Salarius received written notification from Nasdaq that the Hearings Panel has granted Salarius an extension to regain compliance with Nasdaq Listing Rules 5550(a)(2) and 5550(b)(1). The extension by the Hearings Panel is contingent on Salarius achieving scheduled milestones and notifying Nasdaq of such achievements. Such milestones consisted of regaining compliance with the Equity Standard by early July 2025 and regaining compliance with the Minimum Bid Price Requirement by early August 2025. On July 28, 2025, Salarius received notification from Nasdaq that the Hearings Panel has granted Salarius an additional extension to regain compliance with the Equity Standard by mid August-2025 and to regain compliance with the Minimum Bid Price Requirement by late August 2025. If Salarius is not successful at satisfying these milestones within the time periods prescribed by the Hearings Panel, Salarius may be delisted. There is no assurance that Salarius will be able to regain compliance with the applicable continued listing requirements by the Hearings Panel’s deadline.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Hearings Panel reserves the right to reconsider the terms of this granted exception based on any event, condition or circumstance that exists or develops that would, in the opinion of the Hearings Panel, make continued listing of Salarius’ securities on Nasdaq inadvisable or unwarranted. The Hearings Panel’s notification advised Salarius that the Nasdaq Listing and Hearing Review Council may, on its own motion, determine to review any Panel decision within 45 calendar days after issuance of the written decision. If the Listing Council determines to review the Hearings Panel’s decision in Salarius’ matter, it may affirm, modify, reverse, dismiss or remand the decision to the Hearings Panel.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2025 Compared to the Three months ended June 30, 2024</w:t>
      </w:r>
    </w:p>
    <w:p>
      <w:pPr>
        <w:spacing w:after="0" w:line="21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June 30, 2025 compared to June 30, 2024.</w:t>
      </w:r>
    </w:p>
    <w:p>
      <w:pPr>
        <w:spacing w:after="0" w:line="200" w:lineRule="exact"/>
        <w:rPr>
          <w:sz w:val="20"/>
          <w:szCs w:val="20"/>
          <w:color w:val="auto"/>
        </w:rPr>
      </w:pPr>
    </w:p>
    <w:p>
      <w:pPr>
        <w:spacing w:after="0" w:line="385" w:lineRule="exact"/>
        <w:rPr>
          <w:sz w:val="20"/>
          <w:szCs w:val="20"/>
          <w:color w:val="auto"/>
        </w:rPr>
      </w:pPr>
    </w:p>
    <w:tbl>
      <w:tblPr>
        <w:tblLayout w:type="fixed"/>
        <w:tblInd w:w="1060" w:type="dxa"/>
        <w:tblCellMar>
          <w:top w:w="0" w:type="dxa"/>
          <w:left w:w="0" w:type="dxa"/>
          <w:bottom w:w="0" w:type="dxa"/>
          <w:right w:w="0" w:type="dxa"/>
        </w:tblCellMar>
      </w:tblPr>
      <w:tr>
        <w:trPr>
          <w:trHeight w:val="235"/>
        </w:trPr>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30"/>
        </w:trPr>
        <w:tc>
          <w:tcPr>
            <w:tcW w:w="37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116,383</w:t>
            </w:r>
          </w:p>
        </w:tc>
        <w:tc>
          <w:tcPr>
            <w:tcW w:w="2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214,447</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(98,064)</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849,182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1,253,070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(403,888)</w:t>
            </w:r>
          </w:p>
        </w:tc>
      </w:tr>
      <w:tr>
        <w:trPr>
          <w:trHeight w:val="230"/>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net and other</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43,084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(35,344)</w:t>
            </w: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957,825</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1,424,433</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(466,608)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decreased during the three months ended June 30, 2025 compared to the same period in 2024 primarily related to the cost-savings plan implemented in the third quarter of 2023 which included a significant reduction in operating personnel. Lower research and development expenses will continue in 2025 as we have curtailed our sponsored clinical trials and intend to rely on clinical trial data from the investigator-initiated clinical trial conducted by MD Anderson Cancer Center before assessing next steps in our clinical development plans.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5"/>
          </w:tcPr>
          <w:p>
            <w:pPr>
              <w:ind w:left="780"/>
              <w:spacing w:after="0"/>
              <w:rPr>
                <w:sz w:val="20"/>
                <w:szCs w:val="20"/>
                <w:color w:val="auto"/>
              </w:rPr>
            </w:pPr>
            <w:r>
              <w:rPr>
                <w:rFonts w:ascii="Arial" w:cs="Arial" w:eastAsia="Arial" w:hAnsi="Arial"/>
                <w:sz w:val="18"/>
                <w:szCs w:val="18"/>
                <w:b w:val="1"/>
                <w:bCs w:val="1"/>
                <w:color w:val="auto"/>
              </w:rPr>
              <w:t>SP-2577</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SP-3164</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Research and development costs by candidates</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960" w:type="dxa"/>
            <w:vAlign w:val="bottom"/>
            <w:gridSpan w:val="6"/>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and by categories:</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960" w:type="dxa"/>
            <w:vAlign w:val="bottom"/>
            <w:gridSpan w:val="6"/>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Outsourced research and development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27,502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30,527</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17,791</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Manufacturing and laboratory costs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80,475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57,946</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8,406</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108,183</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research and development costs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107,977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88,473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8,406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125,974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General and administrative expenses were $ 0.8 million during the three months ended June 30, 2025, compared to $1.3 million for the three months ended June 30, 2024. The decrease is related to lower professional expense, personnel cost, insurance expense, and facility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2025 Compared to Six Months Ended June 30, 2024</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condensed consolidated results of our operations for the six months ended June 30, 2025 compared to June 30,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40" w:type="dxa"/>
            <w:vAlign w:val="bottom"/>
            <w:gridSpan w:val="4"/>
          </w:tcPr>
          <w:p>
            <w:pPr>
              <w:jc w:val="right"/>
              <w:ind w:right="428"/>
              <w:spacing w:after="0"/>
              <w:rPr>
                <w:sz w:val="20"/>
                <w:szCs w:val="20"/>
                <w:color w:val="auto"/>
              </w:rPr>
            </w:pPr>
            <w:r>
              <w:rPr>
                <w:rFonts w:ascii="Arial" w:cs="Arial" w:eastAsia="Arial" w:hAnsi="Arial"/>
                <w:sz w:val="20"/>
                <w:szCs w:val="20"/>
                <w:b w:val="1"/>
                <w:bCs w:val="1"/>
                <w:color w:val="auto"/>
              </w:rPr>
              <w:t>Six months ended June 30</w:t>
            </w:r>
          </w:p>
        </w:tc>
        <w:tc>
          <w:tcPr>
            <w:tcW w:w="280" w:type="dxa"/>
            <w:vAlign w:val="bottom"/>
          </w:tcPr>
          <w:p>
            <w:pPr>
              <w:spacing w:after="0"/>
              <w:rPr>
                <w:sz w:val="23"/>
                <w:szCs w:val="23"/>
                <w:color w:val="auto"/>
              </w:rPr>
            </w:pPr>
          </w:p>
        </w:tc>
        <w:tc>
          <w:tcPr>
            <w:tcW w:w="1240" w:type="dxa"/>
            <w:vAlign w:val="bottom"/>
          </w:tcPr>
          <w:p>
            <w:pPr>
              <w:jc w:val="right"/>
              <w:ind w:right="288"/>
              <w:spacing w:after="0"/>
              <w:rPr>
                <w:sz w:val="20"/>
                <w:szCs w:val="20"/>
                <w:color w:val="auto"/>
              </w:rPr>
            </w:pPr>
            <w:r>
              <w:rPr>
                <w:rFonts w:ascii="Arial" w:cs="Arial" w:eastAsia="Arial" w:hAnsi="Arial"/>
                <w:sz w:val="20"/>
                <w:szCs w:val="20"/>
                <w:b w:val="1"/>
                <w:bCs w:val="1"/>
                <w:color w:val="auto"/>
              </w:rPr>
              <w:t>Change</w:t>
            </w:r>
          </w:p>
        </w:tc>
      </w:tr>
      <w:tr>
        <w:trPr>
          <w:trHeight w:val="256"/>
        </w:trPr>
        <w:tc>
          <w:tcPr>
            <w:tcW w:w="3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507"/>
              <w:spacing w:after="0"/>
              <w:rPr>
                <w:sz w:val="20"/>
                <w:szCs w:val="20"/>
                <w:color w:val="auto"/>
              </w:rPr>
            </w:pPr>
            <w:r>
              <w:rPr>
                <w:rFonts w:ascii="Arial" w:cs="Arial" w:eastAsia="Arial" w:hAnsi="Arial"/>
                <w:sz w:val="20"/>
                <w:szCs w:val="20"/>
                <w:b w:val="1"/>
                <w:bCs w:val="1"/>
                <w:color w:val="auto"/>
              </w:rPr>
              <w:t>2025</w:t>
            </w: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8"/>
              <w:spacing w:after="0"/>
              <w:rPr>
                <w:sz w:val="20"/>
                <w:szCs w:val="20"/>
                <w:color w:val="auto"/>
              </w:rPr>
            </w:pPr>
            <w:r>
              <w:rPr>
                <w:rFonts w:ascii="Arial" w:cs="Arial" w:eastAsia="Arial" w:hAnsi="Arial"/>
                <w:sz w:val="20"/>
                <w:szCs w:val="20"/>
                <w:b w:val="1"/>
                <w:bCs w:val="1"/>
                <w:color w:val="auto"/>
              </w:rPr>
              <w:t>2024</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191,915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457,449</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(265,534)</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2,492,345</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2,781,683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(289,338)</w:t>
            </w: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income(expense), net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16,902</w:t>
            </w:r>
          </w:p>
        </w:tc>
        <w:tc>
          <w:tcPr>
            <w:tcW w:w="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99,409</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(82,507)</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2,667,358</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3,139,723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(472,365)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decreased during the six months ended June 30, 2025 compared to the same period in 2024 primarily related to the cost-savings plan implemented in the third quarter of 2023 which included a significant reduction in operating personnel. Lower research and development expenses will continue in 2025 as we have curtailed our sponsored clinical trials and intend to rely on clinical trial data from the investigator-initiated clinical trial conducted by MD Anderson Cancer Center before assessing next steps in our clinical development plans.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Outsourced research and development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72,287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171,373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54,328</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and laboratory costs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90,185</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73,216</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29,443</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158,532</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Total research and development costs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162,472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244,589</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29,443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212,860</w:t>
            </w: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General and administrative expenses were $2.5 million during the six months ended June 30, 2025, compared to $2.8 million for the six months ended June 30, 2024. The decrease is related to cost savings plan activities put in</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place in the third quarter of 2023 including lower personnel cost, lower insurance and facility expenses, which were partially offset by contracture separation costs of $0.5 million incurred and paid during the six month period ended June 30, 2024 in connection with our President and Chief Executive Officer ending his full-time employment and transitioning to a part-time consultant role, effective February 20, 2024 and higher professional expense related to the merger. There were no separation costs during the same period in 2025.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We have</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not generated any cash inflows from product sales. We do not know when, or if, we will generate any revenue from product sales. We do not expect to generate any revenue from product sales unless and until we obtain regulatory approval for and commercializes any of our product</w:t>
      </w:r>
    </w:p>
    <w:p>
      <w:pPr>
        <w:spacing w:after="0" w:line="2" w:lineRule="exact"/>
        <w:rPr>
          <w:sz w:val="20"/>
          <w:szCs w:val="20"/>
          <w:color w:val="auto"/>
        </w:rPr>
      </w:pPr>
    </w:p>
    <w:p>
      <w:pPr>
        <w:ind w:right="780"/>
        <w:spacing w:after="0" w:line="250" w:lineRule="auto"/>
        <w:rPr>
          <w:sz w:val="20"/>
          <w:szCs w:val="20"/>
          <w:color w:val="auto"/>
        </w:rPr>
      </w:pPr>
      <w:r>
        <w:rPr>
          <w:rFonts w:ascii="Arial" w:cs="Arial" w:eastAsia="Arial" w:hAnsi="Arial"/>
          <w:sz w:val="18"/>
          <w:szCs w:val="18"/>
          <w:color w:val="auto"/>
        </w:rPr>
        <w:t>candidates, all of which are in early stages of development. We have curtailed expenses and plan to use our two remaining full time employees and consultants to continue our operations.</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w:t>
      </w:r>
      <w:r>
        <w:rPr>
          <w:rFonts w:ascii="Times New Roman" w:cs="Times New Roman" w:eastAsia="Times New Roman" w:hAnsi="Times New Roman"/>
          <w:sz w:val="18"/>
          <w:szCs w:val="18"/>
          <w:color w:val="auto"/>
        </w:rPr>
        <w:t>84.6</w:t>
      </w:r>
      <w:r>
        <w:rPr>
          <w:rFonts w:ascii="Arial" w:cs="Arial" w:eastAsia="Arial" w:hAnsi="Arial"/>
          <w:sz w:val="18"/>
          <w:szCs w:val="18"/>
          <w:color w:val="auto"/>
        </w:rPr>
        <w:t xml:space="preserve"> million as of June 30, 2025. Substantially all of our operating losses resulted from expenses incurred in connection with our research and development programs and from general and administrative costs associated with our operations.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operation and clinical development activities and may need such additional capital sooner than 12 months. The amount and timing of our future funding requirements will depend on many factors, including the result of our strategic alternatives process, our ability to raise additional capital on commercially reasonable terms, the pace and results of clinical development activities, and market conditions. Failure to raise capital as and when needed, on favorable terms or at all, would have a negative impact on our financial condition and our ability to continue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cash and cash equivalents totaled $0.8 million, which were held in bank deposit accounts and a money market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totaled $-0.9 million as of June 30, 2025. Our cash and cash equivalents balance decreased during the six months ended</w:t>
      </w:r>
    </w:p>
    <w:p>
      <w:pPr>
        <w:spacing w:after="0"/>
        <w:rPr>
          <w:sz w:val="20"/>
          <w:szCs w:val="20"/>
          <w:color w:val="auto"/>
        </w:rPr>
      </w:pPr>
      <w:r>
        <w:rPr>
          <w:rFonts w:ascii="Arial" w:cs="Arial" w:eastAsia="Arial" w:hAnsi="Arial"/>
          <w:sz w:val="18"/>
          <w:szCs w:val="18"/>
          <w:color w:val="auto"/>
        </w:rPr>
        <w:t>June 30, 2025, primarily due to cash used in operating activities offsetting buy the cash received from financing activities.</w:t>
      </w:r>
    </w:p>
    <w:p>
      <w:pPr>
        <w:spacing w:after="0" w:line="2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July 2025, we sold 5,518,308 shares of common stock with proceeds of $3.8 million during the period subsequent to June 30, 2025 according to the Purchase Agreement entered into on December 12, 2024 with C/M Capital Master Fund, LP. We have approximately 3.4</w:t>
      </w:r>
    </w:p>
    <w:p>
      <w:pPr>
        <w:jc w:val="both"/>
        <w:spacing w:after="0" w:line="226" w:lineRule="auto"/>
        <w:rPr>
          <w:sz w:val="20"/>
          <w:szCs w:val="20"/>
          <w:color w:val="auto"/>
        </w:rPr>
      </w:pPr>
      <w:r>
        <w:rPr>
          <w:rFonts w:ascii="Arial" w:cs="Arial" w:eastAsia="Arial" w:hAnsi="Arial"/>
          <w:sz w:val="18"/>
          <w:szCs w:val="18"/>
          <w:color w:val="auto"/>
        </w:rPr>
        <w:t xml:space="preserve">million in cash and cash equivalents as of the date of this report and we believe such amount is sufficient to fund our current and restructured operations into the second quarter of 2026. Our stockholders' equity balance was $-0.8 million </w:t>
      </w:r>
      <w:r>
        <w:rPr>
          <w:rFonts w:ascii="Times New Roman" w:cs="Times New Roman" w:eastAsia="Times New Roman" w:hAnsi="Times New Roman"/>
          <w:sz w:val="18"/>
          <w:szCs w:val="18"/>
          <w:color w:val="auto"/>
        </w:rPr>
        <w:t>at</w:t>
      </w:r>
      <w:r>
        <w:rPr>
          <w:rFonts w:ascii="Arial" w:cs="Arial" w:eastAsia="Arial" w:hAnsi="Arial"/>
          <w:sz w:val="18"/>
          <w:szCs w:val="18"/>
          <w:color w:val="auto"/>
        </w:rPr>
        <w:t xml:space="preserve"> June 30, 2025, and is above $2.5 million as</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of this report date. If for any reason the Merger does not close in the next few months, we would need to raise additional capital to continue to fund the further development of product candidates and our operations. If we are unable to maintain sufficient financial resources, our business, financial condition and results of operations will be materially and adversely affected. Additionally, equity or debt financings may have a dilutive effect on the holdings of our existing stockholders. We have curtailed expenses and plan to use our two remaining full time employees and consultants to continue our operations. As a result, if we are unable to complete the Merger in the next few months, we will likely need to conduct a wind down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4"/>
          </w:tcPr>
          <w:p>
            <w:pPr>
              <w:jc w:val="right"/>
              <w:ind w:right="117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6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2025</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2024</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provided by in:</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6400" w:type="dxa"/>
            <w:vAlign w:val="bottom"/>
            <w:shd w:val="clear" w:color="auto" w:fill="CCEEFF"/>
          </w:tcPr>
          <w:p>
            <w:pPr>
              <w:jc w:val="center"/>
              <w:ind w:right="4490"/>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(2,044,011)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(2,426,147)</w:t>
            </w:r>
          </w:p>
        </w:tc>
      </w:tr>
      <w:tr>
        <w:trPr>
          <w:trHeight w:val="229"/>
        </w:trPr>
        <w:tc>
          <w:tcPr>
            <w:tcW w:w="6400" w:type="dxa"/>
            <w:vAlign w:val="bottom"/>
            <w:tcBorders>
              <w:bottom w:val="single" w:sz="8" w:color="CCEEFF"/>
            </w:tcBorders>
          </w:tcPr>
          <w:p>
            <w:pPr>
              <w:jc w:val="center"/>
              <w:ind w:right="4430"/>
              <w:spacing w:after="0"/>
              <w:rPr>
                <w:sz w:val="20"/>
                <w:szCs w:val="20"/>
                <w:color w:val="auto"/>
              </w:rPr>
            </w:pPr>
            <w:r>
              <w:rPr>
                <w:rFonts w:ascii="Arial" w:cs="Arial" w:eastAsia="Arial" w:hAnsi="Arial"/>
                <w:sz w:val="18"/>
                <w:szCs w:val="18"/>
                <w:color w:val="auto"/>
                <w:w w:val="99"/>
              </w:rPr>
              <w:t>Financing activities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404,369</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(200,940)</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(1,639,642)</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(2,627,087)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 was $2.0 million in the current period, a decrease of approximately $0.4 million from the same period a</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year ago. The decrease is primarily due to lower operating expenses during the current period compared to the same period last year, and higher accounts payable and accrued expenses balances in the current period.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Net cash provided by financing activities for the six months ended June 30, 2025 was $0.4 million, mainly resulting from the Company's sale of common shares under the ATM and ELOC program offset by the repayments on notes payable for D&amp;O insurance. Net cash used by financing activities for the six months ended June 30, 2024 was $0.2 million, mainly resulting from the Company's repayments on notes payable for D&amp;O insurance.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21, 2025.</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Readers should refer to our Annual Report on Form 10-K, Note 2, Basis of Presentation and Significant Accounting Policies to the accompanying financial statements for descriptions of these policies and estimates.</w:t>
      </w: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3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and are not required to provide the information under this item.</w:t>
      </w:r>
    </w:p>
    <w:p>
      <w:pPr>
        <w:spacing w:after="0" w:line="220"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June 30, 2025.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2025, our principal executive officer and principal financial officer concluded that, as of such date,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June 30, 2025, there was no significant change in our internal control over financial reporting that has materially affected, or is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46"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23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Except as set forth below, there have been no material changes in our risk factors set forth in Part I, “ Item 1A. Risk Factors” in our 2024 Form 10-K. The risk factors disclosed in Part I, “ Item 1A. Risk Factors” in our 2024 Form 10-K as supplemented by the risk factors below could materially adversely affect our business, financial condition, or results of operations. This Quarterly Report on Form 10-Q also contains forward-looking statements that involve risks and uncertainties. Our actual results could differ materially from those anticipated in these forward-looking statements as a result of certain factors, including these risks. Additional risks not currently known or currently material to us may also harm our business.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If a Qualified Financing and the Merger are not completed in the next few months, Salarius will not be able to otherwise source adequate liquidity to fund its operations, meet its obligations, and continue as a going concern. Salarius’ board of directors will likely decide to pursue a dissolution and liquidation of Salarius. In such an event, there can be no assurances as to the amount or timing of available cash left, if any, to distribute to its stockholders after paying its debts and other obligations and setting aside funds for reserves.</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While Salarius has entered into the Merger Agreement with Decoy, the Merger Closing may be further delayed or may not occur at all and there can be no assurance that the Merger will deliver the anticipated benefits Salarius expects or enhance stockholder value. If the Merger is not completed and the Merger Agreement is terminated under certain circumstances, Salarius may be required to pay Decoy a termination fee of $ 300,000. Even if a termination fee is not payable in connection with a termination of the Merger Agreement, Salarius will have incurred significant fees and expenses, which must be paid whether or not the Merger is completed.</w:t>
      </w:r>
    </w:p>
    <w:p>
      <w:pPr>
        <w:spacing w:after="0" w:line="2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Salarius does not currently have adequate financial resources to fund its forecasted operating costs for at least twelve months from the filing of this prospectus. As of June 30, 2025, Salarius’ cash and cash equivalents totaled approximately $0.8 million, which were held in bank</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deposit accounts and a money market account. As a result of the July, 2025 ELOC sales of approximately $ 3.8 million, Salarius believes its existing cash resources are sufficient to meet its anticipated needs beyond the second quarter of 2026. Our stockholders' equity balance is above $2.5 million as of the report date. If for any reason the Merger does not close in the next few months, Salarius would need to raise additional capital to continue to fund the further development of its product candidates and its operations thereafter. Salarius has based its cash sufficiency estimates on its current business plan and its assumptions may prove to be wrong. Salarius could utilize its available capital resources sooner than it currently expects, and it could need additional funding sooner than currently anticipated. Additionally, the process of advancing early stage product candidates and testing product candidates in clinical trials is costly, and the timing of progress in these clinical trials is uncertain. Even if Salarius raises sufficient funds and decides to continue the development of its product candidates, its ability to successfully transition to profitability will be dependent upon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achieving a level of product sales adequate to support its cost structure. Salarius cannot assure you that it will ever be profitable or generate positive cash flow from operating activities.</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Failure to secure any necessary financing in a timely manner and on favorable terms or the failure of the proposed Merger to be consummated in a timely manner would require Salarius to further delay or abandon any potential future clinical development plans. If, for any reason, the Merger does not close, the Salarius board of directors may elect to, among other things, attempt to complete another strategic transaction like the Merger, attempt to sell or otherwise dispose of the various assets of Salarius, resume its research and development activities and continue to operate the business of Salarius. Any of these alternatives would be costly and time-consuming and would require that Salarius obtain additional funding. Salarius expects that it would be difficult to secure financing in a timely manner, on favorable terms or at all. Salarius can make no assurances that it would be able to obtain additional financing or find a partner and close an alternative transaction on terms that are as favorable or more favorable than the terms set forth in the Merger Agreement or that any such alternatives are possible or would be successful, if pursued. To the extent that Salarius seeks and is able to raise additional capital through the sale of equity or convertible debt securities, Salarius’ stockholders’ ownership interest will be diluted, and the terms of these securities may include liquidation or other preferences that adversely affect their rights as a common stockholder. Debt financing or preferred equity financing, if available, may involve agreements that include covenants limiting or restricting Salarius’ ability to take specific actions, such as incurring additional debt, making capital expenditures or declaring dividends. If Salarius raises funds through strategic transactions or marketing, distribution, or licensing arrangements with third parties, Salarius may have to relinquish valuable rights to its technologies, future revenue streams, research programs or product candidates or to grant licenses on terms that may not be favorable to it. Even if Salarius is able to pursue such alternatives, the failure to complete the Merger may result in negative publicity and/or a negative impression of Salarius in the investment community, could significantly harm the market price of Salarius common stock and may affect Salarius’ relationship with employees and other partners in the business community.</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the Salarius board of directors were to decide to dissolve and liquidate Salarius’ assets, Salarius would be required to pay all of its debts and contractual obligations, and to set aside certain reserves for potential future claims, and there can be no assurances as to the amount or timing of available cash left, if any, to distribute to stockholders after paying its debts and other obligations and setting aside funds for reserves. In addition, Salarius may be subject to litigation or other claims related to a dissolution and liquidation. If a dissolution and liquidation were pursued, the Salarius board of directors, in consultation with its advisors, would need to evaluate these matters and make a determination about a reasonable amount to reserve. Accordingly, Salarius’ stockholders would likely lose all or a significant portion of their investment in the event of a liquidation, dissolution or winding up of Salarius.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does not believe that its current expenses are indicative of the costs it may incur in the future in connection with the development and commercialization of any product candidate if it consummates the Merger or raises additional capital to continue its operations. Salarius’ future funding requirements will depend on many factors, including:</w:t>
      </w:r>
    </w:p>
    <w:p>
      <w:pPr>
        <w:spacing w:after="0" w:line="2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its ability to consummate the Merger with Decoy;</w:t>
      </w:r>
    </w:p>
    <w:p>
      <w:pPr>
        <w:spacing w:after="0" w:line="17"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the scope, rate of progress and cost of its preclinical and clinical trials for any product candidate in its future pipeline and results of future clinical trials;</w:t>
      </w:r>
    </w:p>
    <w:p>
      <w:pPr>
        <w:ind w:left="660" w:hanging="328"/>
        <w:spacing w:after="0" w:line="217" w:lineRule="auto"/>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the cost and timing of regulatory filings and approvals for any product candidates that successfully complete clinical trials;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the timing and nature of any strategic transactions that Salarius undertakes, including potential partnerships;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the effect of competing technological and market developments;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the cost incurred in responding to actions by activist stockholders; and</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the cost of filing, prosecuting, defending and enforcing its intellectual property rights.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 amounts available under Salarius’ shelf registration statement on Form S-3 will be significantly limited as long as Salarius’ public float remains below $ 75 million, which, given its currently depressed stock price, limits its ability to obtain meaningful funding through a shelf registration statement at this time, although Salarius could still raise funds through a registration statement on Form S-1 or through private placements.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such, there is uncertainty regarding Salarius’ ability to maintain liquidity sufficient to operate its business effectively, which raises substantial doubt about its ability to continue as a going concern.</w:t>
      </w:r>
    </w:p>
    <w:p>
      <w:pPr>
        <w:spacing w:after="0" w:line="16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Salarius’ common stock is subject to delisting from Nasdaq, which would seriously harm the liquidity of Salarius’ common stock and its ability to raise capital or complete a strategic transaction.</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Salarius’ common stock is currently listed on the Nasdaq Capital Market (“Nasdaq”). To maintain its listing on Nasdaq, Salarius is required to maintain: (i) a minimum bid price of $1.00 per share; (ii) a market value of publicly held securities of $1 million; (iii) a certain number of round lot stockholders; and (iv) one of the following: a net income from continuing operations (in the latest fiscal year or two of the three last fiscal years) of at least $500,000, a market value of listed securities of at least $35 million or a stockholders’ equity of at least $2.5 million (the “Stockholders’ Equity Requirement”). Nasdaq has the authority to delist Salarius’ common stock if Salarius fails to maintain these minimum requirements. In addition, Nasdaq may delist Salarius if, based on Nasdaq’s review of Salarius’ operations and pursuant to Nasdaq Listing Rule 5101, Nasdaq believes that Salarius is a “public shell” and that the continued listing of its securities is no longer warranted. Salarius has no current plans to delist its shares of common stock from Nasdaq. However, following the decision to close the clinical development of seclidemstat for Ewing sarcoma, Salarius may be treated as a public shell under Nasdaq rules. Although Nasdaq evaluates whether a listed company is a public shell company based on a facts and circumstances determination, a Nasdaq-listed company with no or nominal operations and either no or nominal assets, assets consisting solely of cash and cash equivalents, or assets consisting of any amount of cash and cash equivalents and nominal other assets is generally considered to be a public shell company. Listed companies determined to be public shell companies by Nasdaq may be subject to delisting proceedings or additional and more stringent listing criteria.</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April 23, 2025, Salarius received written notice (the “Notice”) from The Nasdaq Stock Market LLC (“Nasdaq”) notifying the Company that it is not in compliance with Nasdaq listing rule 5550(a)(2) because the closing bid price of the Company’s common stock for the last 30 consecutive business days was lower than the minimum bid price requirement of $1.00 per share (the “Minimum Bid Price Requirement”). Normally, a company would be afforded a 180-calendar day period to demonstrate compliance with the Minimum Bid Price Requirement. However, pursuant to Nasdaq listing rule 5810(c)(3)(A)(iv), the Company is not eligible for any compliance period specified in Nasdaq listing rule 5810(c)(3)(A) because the Company has effected a reverse stock split during the prior one-year period.</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as previously disclosed, on March 26, 2025, the Company received a letter from Nasdaq notifying the Company that, based on the financial statements contained in its Annual Report on Form 10-K for the year ended December 31, 2024, the Company no longer complied with the requirement under Nasdaq Listing Rule 5550(b)(1) to maintain a minimum of $2.5 million in stockholders’ equity for continued listing on The Nasdaq Capital Market (the “Equity Standard”). The letter indicated that the Company had until May 12, 2025 to either regain compliance with the Equity Standard or submit a plan to Nasdaq to regain compliance with the Equity Standard (a “Compliance Plan”). However, pursuant to Nasdaq listing rule 5810(d)(2), the Company’s failure to comply with the Minimum Bid Price Requirement serves as a separate and additional reason for delisting and, as such, the Notice indicates that Nasdaq will not entertain a Compliance Plan, and the Company should also address the Company’s noncompliance with the Equity Standard before a Hearings Panel if the Company appeals Nasdaq’s determination.</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Accordingly, unless the Company requested an appeal of the delisting determination by April 30, 2025, Nasdaq had determined that the Company’s securities would have been scheduled for delisting from The Nasdaq Capital Market and suspended at the opening of business on May 2, 2025. In addition, a Form 25-NSE would have been filed with the Securities and Exchange Commission (the “SEC”), which would have removed the Company’s securities from listing and registration on The Nasdaq Stock Market.</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Salarius appealed the delisting determination before the April 30, 2025 deadline by requesting an appeal with a Hearings Panel. The request for an appeal stayed the suspension of Salarius’ securities and the filing of the Form 25-NSE pending the Hearings Panel’s decision. The appeal before the Hearings Panel occurred on June 3, 2025. At the appeal before the Hearings Panel, the Company presented its plans to regain compliance with the Minimum Bid Price Requirement, including via the implementation of a reverse stock split (shareholder approval sought at the Special Meeting held on July 8, 2025 (the “Special Meeting”)), and the Equity Standard in connection with the Company’s planned merger transaction with Decoy (as well as future draw-downs from its equity line of credit with C/M Capital Master Fund L.P. following the lifting of the stockholder approval cap of 19.9% under Nasdaq Listing Rule 5635(a) and 5635(d) at the Special Meeting). At the Special Meeting held on July 8, 2025, Salarius’ stockholders approved the reverse stock split proposal and the lifting of the stockholder approval cap.</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June 11, 2025, Salarius received written notification from Nasdaq that the Hearings Panel has granted Salarius an extension to regain compliance with Nasdaq Listing Rules 5550(a)(2) and 5550(b)(1). The extension by the Hearings Panel is contingent on Salarius achieving scheduled milestones and notifying Nasdaq of such achievements. Such milestones consisted of regaining compliance with the Equity Standard by early July 2025 and regaining compliance with the Minimum Bid Price Requirement by early August 2025. On July 28, 2025, Salarius received notification from Nasdaq that the Hearings Panel has granted Salarius an additional extension to regain compliance with the Equity Standard by mid August 2025 and to regain compliance with the Minimum Bid Price Requirement by late August 2025. If Salarius is not successful at satisfying these milestones within the time periods prescribed by the Hearings Panel, Salarius may be delisted. There is no assurance that Salarius will be able to regain compliance with the applicable continued listing requirements by the Hearings Panel’s deadline.</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Hearings Panel reserves the right to reconsider the terms of this granted exception based on any event, condition or circumstance that exists or develops that would, in the opinion of the Hearings Panel, make continued listing of Salarius’ securities on Nasdaq inadvisable or unwarranted. The Hearings Panel’s notification advised Salarius that the Nasdaq Listing and Hearing Review Council may, on its own motion, determine to review any Panel decision within 45 calendar days after issuance of the written decision. If the Listing Council determines to review the Hearings Panel’s decision in Salarius’ matter, it may affirm, modify, reverse, dismiss or remand the decision to the Hearings Panel.</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Salarius’ common stock is delisted from Nasdaq, whether because Nasdaq determines Salarius is a “public shell” or Salarius fails to maintain compliance with the continued listed requirements, or otherwise, Salarius’ securities may qualify for trading over-the-counter (“OTC”), in the United States on a market colloquially referred to as the “Pink Sheets.” Securities quoted on OTC are generally subject to lesser requirements than securities listed for trading on a U.S. national stock exchange, such as Nasdaq, including reduced corporate governance and public reporting standards. If Nasdaq should delist Salarius’ common stock from trading, a reduction in some or all of the following may occur, each of which could have a material adverse effect on holders of Salarius’ common stock: the liquidity of the common stock; the market price of the common stock; the number of institutional and general investors that will consider investing in the common stock; the number of investors in general that will consider investing in the common stock; the number of market makers in the common stock; the availability of information concerning the trading prices and volume of the common stock; and the number of broker-dealers willing to execute trades in the common stock. In addition to the foregoing, there are certain consequences under the Securities Act of 1933, as amended (the “Securities Act”), of being a public shell company, including the unavailability of Rule 144 thereunder for the resale of restricted securities and the inability to utilize Form S-8 for the registration of employee benefit plan securities.</w:t>
      </w:r>
    </w:p>
    <w:p>
      <w:pPr>
        <w:spacing w:after="0" w:line="199"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In addition, if Salarius ceases to be eligible to trade on Nasdaq, Salarius may have to pursue trading on a less recognized or accepted market, such as the over the counter markets, Salarius’ stock may be traded as a “penny stock” which would make transactions in Salarius stock more difficult and cumbersome, and Salarius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Salarius’ common stock to further decline.</w:t>
      </w:r>
    </w:p>
    <w:p>
      <w:pPr>
        <w:spacing w:after="0" w:line="260"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212529"/>
        </w:rPr>
        <w:t>None</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212529"/>
        </w:rPr>
        <w:t>None.</w:t>
      </w:r>
    </w:p>
    <w:p>
      <w:pPr>
        <w:spacing w:after="0" w:line="293"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212529"/>
        </w:rPr>
        <w:t>Not Applicable</w:t>
      </w:r>
    </w:p>
    <w:p>
      <w:pPr>
        <w:spacing w:after="0" w:line="293"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4" w:right="1440"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4" w:right="1440"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9"/>
              </w:rPr>
              <w:t>Exhibit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40" w:type="dxa"/>
            <w:vAlign w:val="bottom"/>
            <w:gridSpan w:val="25"/>
            <w:vMerge w:val="restart"/>
          </w:tcPr>
          <w:p>
            <w:pPr>
              <w:ind w:left="36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235"/>
        </w:trPr>
        <w:tc>
          <w:tcPr>
            <w:tcW w:w="16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40" w:type="dxa"/>
            <w:vAlign w:val="bottom"/>
            <w:gridSpan w:val="2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400" w:type="dxa"/>
            <w:vAlign w:val="bottom"/>
            <w:tcBorders>
              <w:top w:val="single" w:sz="8" w:color="auto"/>
              <w:bottom w:val="single" w:sz="8" w:color="0000FF"/>
            </w:tcBorders>
            <w:gridSpan w:val="26"/>
          </w:tcPr>
          <w:p>
            <w:pPr>
              <w:spacing w:after="0"/>
              <w:rPr>
                <w:rFonts w:ascii="Arial" w:cs="Arial" w:eastAsia="Arial" w:hAnsi="Arial"/>
                <w:sz w:val="18"/>
                <w:szCs w:val="18"/>
                <w:color w:val="0000FF"/>
                <w:w w:val="99"/>
              </w:rPr>
            </w:pPr>
            <w:hyperlink r:id="rId44">
              <w:r>
                <w:rPr>
                  <w:rFonts w:ascii="Arial" w:cs="Arial" w:eastAsia="Arial" w:hAnsi="Arial"/>
                  <w:sz w:val="18"/>
                  <w:szCs w:val="18"/>
                  <w:color w:val="0000FF"/>
                  <w:w w:val="99"/>
                </w:rPr>
                <w:t>Agreement and Plan of Merger, dated as of January 10, 2025, by and among the Registrant, Decoy Therapeutics Inc.,</w:t>
              </w:r>
            </w:hyperlink>
          </w:p>
        </w:tc>
        <w:tc>
          <w:tcPr>
            <w:tcW w:w="220" w:type="dxa"/>
            <w:vAlign w:val="bottom"/>
            <w:tcBorders>
              <w:top w:val="single" w:sz="8" w:color="auto"/>
            </w:tcBorders>
            <w:gridSpan w:val="6"/>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gridSpan w:val="32"/>
          </w:tcPr>
          <w:p>
            <w:pPr>
              <w:spacing w:after="0" w:line="169" w:lineRule="exact"/>
              <w:rPr>
                <w:rFonts w:ascii="Arial" w:cs="Arial" w:eastAsia="Arial" w:hAnsi="Arial"/>
                <w:sz w:val="18"/>
                <w:szCs w:val="18"/>
                <w:color w:val="0000FF"/>
              </w:rPr>
            </w:pPr>
            <w:hyperlink r:id="rId44">
              <w:r>
                <w:rPr>
                  <w:rFonts w:ascii="Arial" w:cs="Arial" w:eastAsia="Arial" w:hAnsi="Arial"/>
                  <w:sz w:val="18"/>
                  <w:szCs w:val="18"/>
                  <w:color w:val="0000FF"/>
                </w:rPr>
                <w:t>Decoy Therapeutics MergerSub I, Inc. and Decoy Therapeutics MergerSub II, LLL. (incorporated by reference to Exhibit</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44">
              <w:r>
                <w:rPr>
                  <w:rFonts w:ascii="Arial" w:cs="Arial" w:eastAsia="Arial" w:hAnsi="Arial"/>
                  <w:sz w:val="18"/>
                  <w:szCs w:val="18"/>
                  <w:color w:val="0000FF"/>
                </w:rPr>
                <w:t>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filed with the SEC on January 13,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2"/>
          </w:tcPr>
          <w:p>
            <w:pPr>
              <w:spacing w:after="0"/>
              <w:rPr>
                <w:rFonts w:ascii="Arial" w:cs="Arial" w:eastAsia="Arial" w:hAnsi="Arial"/>
                <w:sz w:val="18"/>
                <w:szCs w:val="18"/>
                <w:color w:val="0000FF"/>
              </w:rPr>
            </w:pPr>
            <w:hyperlink r:id="rId45">
              <w:r>
                <w:rPr>
                  <w:rFonts w:ascii="Arial" w:cs="Arial" w:eastAsia="Arial" w:hAnsi="Arial"/>
                  <w:sz w:val="18"/>
                  <w:szCs w:val="18"/>
                  <w:color w:val="0000FF"/>
                </w:rPr>
                <w:t>Amendment No. 1 to the Agreement and Plan of Merger, dated as of March 28, 2025, by and among Salarius</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80" w:type="dxa"/>
            <w:vAlign w:val="bottom"/>
            <w:tcBorders>
              <w:top w:val="single" w:sz="8" w:color="0000FF"/>
              <w:bottom w:val="single" w:sz="8" w:color="0000FF"/>
            </w:tcBorders>
            <w:gridSpan w:val="15"/>
          </w:tcPr>
          <w:p>
            <w:pPr>
              <w:spacing w:after="0" w:line="169" w:lineRule="exact"/>
              <w:rPr>
                <w:rFonts w:ascii="Arial" w:cs="Arial" w:eastAsia="Arial" w:hAnsi="Arial"/>
                <w:sz w:val="18"/>
                <w:szCs w:val="18"/>
                <w:color w:val="0000FF"/>
                <w:w w:val="96"/>
              </w:rPr>
            </w:pPr>
            <w:hyperlink r:id="rId45">
              <w:r>
                <w:rPr>
                  <w:rFonts w:ascii="Arial" w:cs="Arial" w:eastAsia="Arial" w:hAnsi="Arial"/>
                  <w:sz w:val="18"/>
                  <w:szCs w:val="18"/>
                  <w:color w:val="0000FF"/>
                  <w:w w:val="96"/>
                </w:rPr>
                <w:t>Pharmaceuticals, Inc., Decoy Therapeutics, Inc., Decoy Therapeutics MergerSub I, Inc. and Decoy Therapeutics</w:t>
              </w:r>
            </w:hyperlink>
          </w:p>
        </w:tc>
        <w:tc>
          <w:tcPr>
            <w:tcW w:w="260" w:type="dxa"/>
            <w:vAlign w:val="bottom"/>
            <w:tcBorders>
              <w:bottom w:val="single" w:sz="8" w:color="0000FF"/>
            </w:tcBorders>
          </w:tcPr>
          <w:p>
            <w:pPr>
              <w:spacing w:after="0"/>
              <w:rPr>
                <w:sz w:val="14"/>
                <w:szCs w:val="14"/>
                <w:color w:val="auto"/>
              </w:rPr>
            </w:pPr>
          </w:p>
        </w:tc>
        <w:tc>
          <w:tcPr>
            <w:tcW w:w="680" w:type="dxa"/>
            <w:vAlign w:val="bottom"/>
            <w:gridSpan w:val="16"/>
            <w:vMerge w:val="restart"/>
          </w:tcPr>
          <w:p>
            <w:pPr>
              <w:jc w:val="right"/>
              <w:ind w:right="60"/>
              <w:spacing w:after="0"/>
              <w:rPr>
                <w:rFonts w:ascii="Arial" w:cs="Arial" w:eastAsia="Arial" w:hAnsi="Arial"/>
                <w:sz w:val="18"/>
                <w:szCs w:val="18"/>
                <w:color w:val="0000FF"/>
                <w:w w:val="96"/>
              </w:rPr>
            </w:pPr>
            <w:hyperlink r:id="rId45">
              <w:r>
                <w:rPr>
                  <w:rFonts w:ascii="Arial" w:cs="Arial" w:eastAsia="Arial" w:hAnsi="Arial"/>
                  <w:sz w:val="18"/>
                  <w:szCs w:val="18"/>
                  <w:color w:val="0000FF"/>
                  <w:w w:val="96"/>
                </w:rPr>
                <w:t>with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gridSpan w:val="16"/>
          </w:tcPr>
          <w:p>
            <w:pPr>
              <w:spacing w:after="0" w:line="156" w:lineRule="exact"/>
              <w:rPr>
                <w:rFonts w:ascii="Arial" w:cs="Arial" w:eastAsia="Arial" w:hAnsi="Arial"/>
                <w:sz w:val="18"/>
                <w:szCs w:val="18"/>
                <w:color w:val="0000FF"/>
              </w:rPr>
            </w:pPr>
            <w:hyperlink r:id="rId45">
              <w:r>
                <w:rPr>
                  <w:rFonts w:ascii="Arial" w:cs="Arial" w:eastAsia="Arial" w:hAnsi="Arial"/>
                  <w:sz w:val="18"/>
                  <w:szCs w:val="18"/>
                  <w:color w:val="0000FF"/>
                </w:rPr>
                <w:t>MergerSub II, LLC (incorporated by reference to Exhibit 2.1 to the Registrant's Current Report on Form 8-K filed</w:t>
              </w:r>
            </w:hyperlink>
          </w:p>
        </w:tc>
        <w:tc>
          <w:tcPr>
            <w:tcW w:w="680" w:type="dxa"/>
            <w:vAlign w:val="bottom"/>
            <w:gridSpan w:val="1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45">
              <w:r>
                <w:rPr>
                  <w:rFonts w:ascii="Arial" w:cs="Arial" w:eastAsia="Arial" w:hAnsi="Arial"/>
                  <w:sz w:val="18"/>
                  <w:szCs w:val="18"/>
                  <w:color w:val="0000FF"/>
                </w:rPr>
                <w:t>SEC on March 28, 2025).</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80" w:type="dxa"/>
            <w:vAlign w:val="bottom"/>
            <w:tcBorders>
              <w:bottom w:val="single" w:sz="8" w:color="0000FF"/>
            </w:tcBorders>
            <w:gridSpan w:val="14"/>
          </w:tcPr>
          <w:p>
            <w:pPr>
              <w:spacing w:after="0"/>
              <w:rPr>
                <w:rFonts w:ascii="Arial" w:cs="Arial" w:eastAsia="Arial" w:hAnsi="Arial"/>
                <w:sz w:val="18"/>
                <w:szCs w:val="18"/>
                <w:color w:val="0000FF"/>
                <w:w w:val="99"/>
              </w:rPr>
            </w:pPr>
            <w:hyperlink r:id="rId46">
              <w:r>
                <w:rPr>
                  <w:rFonts w:ascii="Arial" w:cs="Arial" w:eastAsia="Arial" w:hAnsi="Arial"/>
                  <w:sz w:val="18"/>
                  <w:szCs w:val="18"/>
                  <w:color w:val="0000FF"/>
                  <w:w w:val="99"/>
                </w:rPr>
                <w:t>Amendment No. 2 to the Agreement and Plan of Merger, dated as of June 10, 2025, by and among Salarius</w:t>
              </w:r>
            </w:hyperlink>
          </w:p>
        </w:tc>
        <w:tc>
          <w:tcPr>
            <w:tcW w:w="104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gridSpan w:val="32"/>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Pharmaceuticals, Inc., Decoy Therapeutics, Inc., Decoy Therapeutics MergerSub I, Inc., and Decoy Therapeutics</w:t>
              </w:r>
            </w:hyperlink>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80" w:type="dxa"/>
            <w:vAlign w:val="bottom"/>
            <w:tcBorders>
              <w:top w:val="single" w:sz="8" w:color="0000FF"/>
            </w:tcBorders>
            <w:gridSpan w:val="17"/>
          </w:tcPr>
          <w:p>
            <w:pPr>
              <w:spacing w:after="0" w:line="162" w:lineRule="exact"/>
              <w:rPr>
                <w:rFonts w:ascii="Arial" w:cs="Arial" w:eastAsia="Arial" w:hAnsi="Arial"/>
                <w:sz w:val="18"/>
                <w:szCs w:val="18"/>
                <w:color w:val="0000FF"/>
              </w:rPr>
            </w:pPr>
            <w:hyperlink r:id="rId46">
              <w:r>
                <w:rPr>
                  <w:rFonts w:ascii="Arial" w:cs="Arial" w:eastAsia="Arial" w:hAnsi="Arial"/>
                  <w:sz w:val="18"/>
                  <w:szCs w:val="18"/>
                  <w:color w:val="0000FF"/>
                </w:rPr>
                <w:t>MergerSub II, LLC (incorporated by reference to Exhibit 2.1 to the Registrant's Current Report on Form 8-K filed</w:t>
              </w:r>
            </w:hyperlink>
          </w:p>
        </w:tc>
        <w:tc>
          <w:tcPr>
            <w:tcW w:w="640" w:type="dxa"/>
            <w:vAlign w:val="bottom"/>
            <w:gridSpan w:val="15"/>
          </w:tcPr>
          <w:p>
            <w:pPr>
              <w:jc w:val="right"/>
              <w:ind w:right="60"/>
              <w:spacing w:after="0" w:line="162"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with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SEC on June 11, 2025).</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2"/>
          </w:tcPr>
          <w:p>
            <w:pPr>
              <w:spacing w:after="0"/>
              <w:rPr>
                <w:rFonts w:ascii="Arial" w:cs="Arial" w:eastAsia="Arial" w:hAnsi="Arial"/>
                <w:sz w:val="18"/>
                <w:szCs w:val="18"/>
                <w:color w:val="0000FF"/>
              </w:rPr>
            </w:pPr>
            <w:hyperlink r:id="rId47">
              <w:r>
                <w:rPr>
                  <w:rFonts w:ascii="Arial" w:cs="Arial" w:eastAsia="Arial" w:hAnsi="Arial"/>
                  <w:sz w:val="18"/>
                  <w:szCs w:val="18"/>
                  <w:color w:val="0000FF"/>
                </w:rPr>
                <w:t>Amendment No. 3 to the Agreement and Plan of Merger, dated as of July 18, 2025, by and among Salarius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gridSpan w:val="32"/>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Pharmaceuticals, Inc., Decoy Therapeutics, Inc., Decoy Therapeutics MergerSub I, Inc., and Decoy Therapeutics</w:t>
              </w:r>
            </w:hyperlink>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80" w:type="dxa"/>
            <w:vAlign w:val="bottom"/>
            <w:tcBorders>
              <w:top w:val="single" w:sz="8" w:color="0000FF"/>
            </w:tcBorders>
            <w:gridSpan w:val="17"/>
          </w:tcPr>
          <w:p>
            <w:pPr>
              <w:spacing w:after="0" w:line="162" w:lineRule="exact"/>
              <w:rPr>
                <w:rFonts w:ascii="Arial" w:cs="Arial" w:eastAsia="Arial" w:hAnsi="Arial"/>
                <w:sz w:val="18"/>
                <w:szCs w:val="18"/>
                <w:color w:val="0000FF"/>
              </w:rPr>
            </w:pPr>
            <w:hyperlink r:id="rId47">
              <w:r>
                <w:rPr>
                  <w:rFonts w:ascii="Arial" w:cs="Arial" w:eastAsia="Arial" w:hAnsi="Arial"/>
                  <w:sz w:val="18"/>
                  <w:szCs w:val="18"/>
                  <w:color w:val="0000FF"/>
                </w:rPr>
                <w:t>MergerSub II, LLC (incorporated by reference to Exhibit 2.1 to the Registrant's Current Report on Form 8-K filed</w:t>
              </w:r>
            </w:hyperlink>
          </w:p>
        </w:tc>
        <w:tc>
          <w:tcPr>
            <w:tcW w:w="640" w:type="dxa"/>
            <w:vAlign w:val="bottom"/>
            <w:gridSpan w:val="15"/>
          </w:tcPr>
          <w:p>
            <w:pPr>
              <w:jc w:val="right"/>
              <w:ind w:right="60"/>
              <w:spacing w:after="0" w:line="162"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with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SEC on July 21, 2025).</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2"/>
          </w:tcPr>
          <w:p>
            <w:pPr>
              <w:spacing w:after="0"/>
              <w:rPr>
                <w:rFonts w:ascii="Arial" w:cs="Arial" w:eastAsia="Arial" w:hAnsi="Arial"/>
                <w:sz w:val="18"/>
                <w:szCs w:val="18"/>
                <w:color w:val="0000FF"/>
              </w:rPr>
            </w:pPr>
            <w:hyperlink r:id="rId48">
              <w:r>
                <w:rPr>
                  <w:rFonts w:ascii="Arial" w:cs="Arial" w:eastAsia="Arial" w:hAnsi="Arial"/>
                  <w:sz w:val="18"/>
                  <w:szCs w:val="18"/>
                  <w:color w:val="0000FF"/>
                </w:rPr>
                <w:t>Amendment No. 4 to the Agreement and Plan of Merger, dated as of July 29, 2025, by and among Salarius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gridSpan w:val="32"/>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Pharmaceuticals, Inc., Decoy Therapeutics, Inc., Decoy Therapeutics MergerSub I, Inc., and Decoy Therapeutics</w:t>
              </w:r>
            </w:hyperlink>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80" w:type="dxa"/>
            <w:vAlign w:val="bottom"/>
            <w:tcBorders>
              <w:top w:val="single" w:sz="8" w:color="0000FF"/>
            </w:tcBorders>
            <w:gridSpan w:val="17"/>
          </w:tcPr>
          <w:p>
            <w:pPr>
              <w:spacing w:after="0" w:line="162" w:lineRule="exact"/>
              <w:rPr>
                <w:rFonts w:ascii="Arial" w:cs="Arial" w:eastAsia="Arial" w:hAnsi="Arial"/>
                <w:sz w:val="18"/>
                <w:szCs w:val="18"/>
                <w:color w:val="0000FF"/>
              </w:rPr>
            </w:pPr>
            <w:hyperlink r:id="rId48">
              <w:r>
                <w:rPr>
                  <w:rFonts w:ascii="Arial" w:cs="Arial" w:eastAsia="Arial" w:hAnsi="Arial"/>
                  <w:sz w:val="18"/>
                  <w:szCs w:val="18"/>
                  <w:color w:val="0000FF"/>
                </w:rPr>
                <w:t>MergerSub II, LLC (incorporated by reference to Exhibit 2.1 to the Registrant's Current Report on Form 8-K filed</w:t>
              </w:r>
            </w:hyperlink>
          </w:p>
        </w:tc>
        <w:tc>
          <w:tcPr>
            <w:tcW w:w="640" w:type="dxa"/>
            <w:vAlign w:val="bottom"/>
            <w:gridSpan w:val="15"/>
          </w:tcPr>
          <w:p>
            <w:pPr>
              <w:jc w:val="right"/>
              <w:ind w:right="60"/>
              <w:spacing w:after="0" w:line="162"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with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SEC on July 29, 2025).</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2"/>
          </w:tcPr>
          <w:p>
            <w:pPr>
              <w:spacing w:after="0"/>
              <w:rPr>
                <w:rFonts w:ascii="Arial" w:cs="Arial" w:eastAsia="Arial" w:hAnsi="Arial"/>
                <w:sz w:val="18"/>
                <w:szCs w:val="18"/>
                <w:color w:val="0000FF"/>
              </w:rPr>
            </w:pPr>
            <w:hyperlink r:id="rId49">
              <w:r>
                <w:rPr>
                  <w:rFonts w:ascii="Arial" w:cs="Arial" w:eastAsia="Arial" w:hAnsi="Arial"/>
                  <w:sz w:val="18"/>
                  <w:szCs w:val="18"/>
                  <w:color w:val="0000FF"/>
                </w:rPr>
                <w:t>Amended and Restated Certificate of Incorporation of the Registrant, incorporated by reference to Exhibit 3.1 of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Form 8-K filed on February 9, 2015</w:t>
              </w:r>
            </w:hyperlink>
          </w:p>
        </w:tc>
        <w:tc>
          <w:tcPr>
            <w:tcW w:w="636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2"/>
          </w:tcPr>
          <w:p>
            <w:pPr>
              <w:spacing w:after="0"/>
              <w:rPr>
                <w:rFonts w:ascii="Arial" w:cs="Arial" w:eastAsia="Arial" w:hAnsi="Arial"/>
                <w:sz w:val="18"/>
                <w:szCs w:val="18"/>
                <w:color w:val="0000FF"/>
              </w:rPr>
            </w:pPr>
            <w:hyperlink r:id="rId50">
              <w:r>
                <w:rPr>
                  <w:rFonts w:ascii="Arial" w:cs="Arial" w:eastAsia="Arial" w:hAnsi="Arial"/>
                  <w:sz w:val="18"/>
                  <w:szCs w:val="18"/>
                  <w:color w:val="0000FF"/>
                </w:rPr>
                <w:t>Certificate of Amendment to the Amended and Restated Certificate of Incorporation of the Registrant filed with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50">
              <w:r>
                <w:rPr>
                  <w:rFonts w:ascii="Arial" w:cs="Arial" w:eastAsia="Arial" w:hAnsi="Arial"/>
                  <w:sz w:val="18"/>
                  <w:szCs w:val="18"/>
                  <w:color w:val="0000FF"/>
                </w:rPr>
                <w:t>Secretary of State of Delaware on July 18, 2019, incorporated by reference to Exhibit 3.1 of the Form 8-K filed on</w:t>
              </w:r>
            </w:hyperlink>
          </w:p>
        </w:tc>
        <w:tc>
          <w:tcPr>
            <w:tcW w:w="560" w:type="dxa"/>
            <w:vAlign w:val="bottom"/>
            <w:gridSpan w:val="14"/>
          </w:tcPr>
          <w:p>
            <w:pPr>
              <w:spacing w:after="0" w:line="169" w:lineRule="exact"/>
              <w:rPr>
                <w:rFonts w:ascii="Arial" w:cs="Arial" w:eastAsia="Arial" w:hAnsi="Arial"/>
                <w:sz w:val="18"/>
                <w:szCs w:val="18"/>
                <w:color w:val="0000FF"/>
              </w:rPr>
            </w:pPr>
            <w:hyperlink r:id="rId50">
              <w:r>
                <w:rPr>
                  <w:rFonts w:ascii="Arial" w:cs="Arial" w:eastAsia="Arial" w:hAnsi="Arial"/>
                  <w:sz w:val="18"/>
                  <w:szCs w:val="18"/>
                  <w:color w:val="0000FF"/>
                </w:rPr>
                <w:t>July</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6"/>
              </w:rPr>
            </w:pPr>
            <w:hyperlink r:id="rId50">
              <w:r>
                <w:rPr>
                  <w:rFonts w:ascii="Arial" w:cs="Arial" w:eastAsia="Arial" w:hAnsi="Arial"/>
                  <w:sz w:val="18"/>
                  <w:szCs w:val="18"/>
                  <w:color w:val="0000FF"/>
                  <w:w w:val="96"/>
                </w:rPr>
                <w:t>22, 2019</w:t>
              </w:r>
            </w:hyperlink>
          </w:p>
        </w:tc>
        <w:tc>
          <w:tcPr>
            <w:tcW w:w="1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4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2"/>
          </w:tcPr>
          <w:p>
            <w:pPr>
              <w:spacing w:after="0"/>
              <w:rPr>
                <w:rFonts w:ascii="Arial" w:cs="Arial" w:eastAsia="Arial" w:hAnsi="Arial"/>
                <w:sz w:val="18"/>
                <w:szCs w:val="18"/>
                <w:color w:val="0000FF"/>
              </w:rPr>
            </w:pPr>
            <w:hyperlink r:id="rId51">
              <w:r>
                <w:rPr>
                  <w:rFonts w:ascii="Arial" w:cs="Arial" w:eastAsia="Arial" w:hAnsi="Arial"/>
                  <w:sz w:val="18"/>
                  <w:szCs w:val="18"/>
                  <w:color w:val="0000FF"/>
                </w:rPr>
                <w:t>Certificate of Amendment to the Amended and Restated Certificate of Incorporation filed with the Secretary of State of</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tcBorders>
              <w:top w:val="single" w:sz="8" w:color="0000FF"/>
              <w:bottom w:val="single" w:sz="8" w:color="0000FF"/>
            </w:tcBorders>
            <w:gridSpan w:val="19"/>
          </w:tcPr>
          <w:p>
            <w:pPr>
              <w:spacing w:after="0" w:line="169"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Delaware on October 14, 2022, incorporated by reference to Exhibit 3.1 of the Form 8-K filed on October 14, 2022</w:t>
              </w:r>
            </w:hyperlink>
          </w:p>
        </w:tc>
        <w:tc>
          <w:tcPr>
            <w:tcW w:w="300" w:type="dxa"/>
            <w:vAlign w:val="bottom"/>
            <w:tcBorders>
              <w:top w:val="single" w:sz="8" w:color="0000FF"/>
            </w:tcBorders>
            <w:gridSpan w:val="6"/>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2"/>
          </w:tcPr>
          <w:p>
            <w:pPr>
              <w:spacing w:after="0"/>
              <w:rPr>
                <w:rFonts w:ascii="Arial" w:cs="Arial" w:eastAsia="Arial" w:hAnsi="Arial"/>
                <w:sz w:val="18"/>
                <w:szCs w:val="18"/>
                <w:color w:val="0000FF"/>
              </w:rPr>
            </w:pPr>
            <w:hyperlink r:id="rId52">
              <w:r>
                <w:rPr>
                  <w:rFonts w:ascii="Arial" w:cs="Arial" w:eastAsia="Arial" w:hAnsi="Arial"/>
                  <w:sz w:val="18"/>
                  <w:szCs w:val="18"/>
                  <w:color w:val="0000FF"/>
                </w:rPr>
                <w:t>Amended and Restated Bylaws of the Registrant, effective July 19, 2019, incorporated by reference to Exhibit 3.2 of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Form 8-K filed on July 22, 2019</w:t>
              </w:r>
            </w:hyperlink>
          </w:p>
        </w:tc>
        <w:tc>
          <w:tcPr>
            <w:tcW w:w="7000" w:type="dxa"/>
            <w:vAlign w:val="bottom"/>
            <w:tcBorders>
              <w:top w:val="single" w:sz="8" w:color="0000FF"/>
            </w:tcBorders>
            <w:gridSpan w:val="2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2"/>
          </w:tcPr>
          <w:p>
            <w:pPr>
              <w:spacing w:after="0"/>
              <w:rPr>
                <w:rFonts w:ascii="Arial" w:cs="Arial" w:eastAsia="Arial" w:hAnsi="Arial"/>
                <w:sz w:val="18"/>
                <w:szCs w:val="18"/>
                <w:color w:val="0000FF"/>
              </w:rPr>
            </w:pPr>
            <w:hyperlink r:id="rId53">
              <w:r>
                <w:rPr>
                  <w:rFonts w:ascii="Arial" w:cs="Arial" w:eastAsia="Arial" w:hAnsi="Arial"/>
                  <w:sz w:val="18"/>
                  <w:szCs w:val="18"/>
                  <w:color w:val="0000FF"/>
                </w:rPr>
                <w:t>Amendment to Amended and Restated Bylaws of the Registrant, effective April 1, 2022, incorporated by reference to</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53">
              <w:r>
                <w:rPr>
                  <w:rFonts w:ascii="Arial" w:cs="Arial" w:eastAsia="Arial" w:hAnsi="Arial"/>
                  <w:sz w:val="18"/>
                  <w:szCs w:val="18"/>
                  <w:color w:val="0000FF"/>
                </w:rPr>
                <w:t>Exhibit 3.1 of the Form 8-K filed on April 1, 2022</w:t>
              </w:r>
            </w:hyperlink>
          </w:p>
        </w:tc>
        <w:tc>
          <w:tcPr>
            <w:tcW w:w="6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2"/>
          </w:tcPr>
          <w:p>
            <w:pPr>
              <w:spacing w:after="0"/>
              <w:rPr>
                <w:rFonts w:ascii="Arial" w:cs="Arial" w:eastAsia="Arial" w:hAnsi="Arial"/>
                <w:sz w:val="18"/>
                <w:szCs w:val="18"/>
                <w:color w:val="0000FF"/>
              </w:rPr>
            </w:pPr>
            <w:hyperlink r:id="rId54">
              <w:r>
                <w:rPr>
                  <w:rFonts w:ascii="Arial" w:cs="Arial" w:eastAsia="Arial" w:hAnsi="Arial"/>
                  <w:sz w:val="18"/>
                  <w:szCs w:val="18"/>
                  <w:color w:val="0000FF"/>
                </w:rPr>
                <w:t>Certificate of Amendment to the Amended and Restated Certificate of Incorporation of Salarius Pharmaceuticals, Inc.,</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effective June 14, 2024, incorporated by reference to Exhibit 3.1 of the Form 8-K filed on June 14, 2024</w:t>
              </w:r>
            </w:hyperlink>
          </w:p>
        </w:tc>
        <w:tc>
          <w:tcPr>
            <w:tcW w:w="1120" w:type="dxa"/>
            <w:vAlign w:val="bottom"/>
            <w:tcBorders>
              <w:top w:val="single" w:sz="8" w:color="0000FF"/>
            </w:tcBorders>
            <w:gridSpan w:val="11"/>
          </w:tcPr>
          <w:p>
            <w:pPr>
              <w:spacing w:after="0"/>
              <w:rPr>
                <w:sz w:val="14"/>
                <w:szCs w:val="14"/>
                <w:color w:val="auto"/>
              </w:rPr>
            </w:pPr>
          </w:p>
        </w:tc>
        <w:tc>
          <w:tcPr>
            <w:tcW w:w="14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2"/>
          </w:tcPr>
          <w:p>
            <w:pPr>
              <w:spacing w:after="0"/>
              <w:rPr>
                <w:rFonts w:ascii="Arial" w:cs="Arial" w:eastAsia="Arial" w:hAnsi="Arial"/>
                <w:sz w:val="18"/>
                <w:szCs w:val="18"/>
                <w:color w:val="0000FF"/>
              </w:rPr>
            </w:pPr>
            <w:hyperlink r:id="rId55">
              <w:r>
                <w:rPr>
                  <w:rFonts w:ascii="Arial" w:cs="Arial" w:eastAsia="Arial" w:hAnsi="Arial"/>
                  <w:sz w:val="18"/>
                  <w:szCs w:val="18"/>
                  <w:color w:val="0000FF"/>
                </w:rPr>
                <w:t>Form of Certificate of Designation of Series A Non-Voting Convertible Preferred Stock (incorporated by reference to</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55">
              <w:r>
                <w:rPr>
                  <w:rFonts w:ascii="Arial" w:cs="Arial" w:eastAsia="Arial" w:hAnsi="Arial"/>
                  <w:sz w:val="18"/>
                  <w:szCs w:val="18"/>
                  <w:color w:val="0000FF"/>
                </w:rPr>
                <w:t>Exhibit 2.2 to the Registrant’s Current Report on Form 8-K filed with the SEC on July 29, 2025)</w:t>
              </w:r>
            </w:hyperlink>
          </w:p>
        </w:tc>
        <w:tc>
          <w:tcPr>
            <w:tcW w:w="30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4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2"/>
          </w:tcPr>
          <w:p>
            <w:pPr>
              <w:spacing w:after="0"/>
              <w:rPr>
                <w:rFonts w:ascii="Arial" w:cs="Arial" w:eastAsia="Arial" w:hAnsi="Arial"/>
                <w:sz w:val="18"/>
                <w:szCs w:val="18"/>
                <w:color w:val="0000FF"/>
              </w:rPr>
            </w:pPr>
            <w:hyperlink r:id="rId56">
              <w:r>
                <w:rPr>
                  <w:rFonts w:ascii="Arial" w:cs="Arial" w:eastAsia="Arial" w:hAnsi="Arial"/>
                  <w:sz w:val="18"/>
                  <w:szCs w:val="18"/>
                  <w:color w:val="0000FF"/>
                </w:rPr>
                <w:t>Form of Certificate of Designation of Series B Non-Voting Convertible Preferred Stock (incorporated by reference to</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8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Exhibit 2.3 to the Registrant’s Current Report on Form 8-K filed with the SEC on July 29, 2025).</w:t>
              </w:r>
            </w:hyperlink>
          </w:p>
        </w:tc>
        <w:tc>
          <w:tcPr>
            <w:tcW w:w="1600" w:type="dxa"/>
            <w:vAlign w:val="bottom"/>
            <w:tcBorders>
              <w:top w:val="single" w:sz="8" w:color="0000FF"/>
            </w:tcBorders>
            <w:gridSpan w:val="10"/>
          </w:tcPr>
          <w:p>
            <w:pPr>
              <w:spacing w:after="0"/>
              <w:rPr>
                <w:sz w:val="14"/>
                <w:szCs w:val="14"/>
                <w:color w:val="auto"/>
              </w:rPr>
            </w:pPr>
          </w:p>
        </w:tc>
        <w:tc>
          <w:tcPr>
            <w:tcW w:w="30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2"/>
          </w:tcPr>
          <w:p>
            <w:pPr>
              <w:spacing w:after="0"/>
              <w:rPr>
                <w:sz w:val="20"/>
                <w:szCs w:val="20"/>
                <w:color w:val="auto"/>
              </w:rPr>
            </w:pPr>
            <w:r>
              <w:rPr>
                <w:rFonts w:ascii="Arial" w:cs="Arial" w:eastAsia="Arial" w:hAnsi="Arial"/>
                <w:sz w:val="18"/>
                <w:szCs w:val="18"/>
                <w:color w:val="0000FF"/>
              </w:rPr>
              <w:t>Certification of the Principal Executive Officer pursuant to Rule 13a-14(a) or 15d-14(a) of the Securities Exchange Act of</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4"/>
              </w:rPr>
              <w:t>1934</w:t>
            </w:r>
          </w:p>
        </w:tc>
        <w:tc>
          <w:tcPr>
            <w:tcW w:w="30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4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right"/>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2"/>
          </w:tcPr>
          <w:p>
            <w:pPr>
              <w:spacing w:after="0"/>
              <w:rPr>
                <w:sz w:val="20"/>
                <w:szCs w:val="20"/>
                <w:color w:val="auto"/>
              </w:rPr>
            </w:pPr>
            <w:r>
              <w:rPr>
                <w:rFonts w:ascii="Arial" w:cs="Arial" w:eastAsia="Arial" w:hAnsi="Arial"/>
                <w:sz w:val="18"/>
                <w:szCs w:val="18"/>
                <w:color w:val="0000FF"/>
              </w:rPr>
              <w:t>Certification of the Principal Financial Officer pursuant to Rule 13a-14(a) or 15d-14(a) of the Securities Exchange Act of</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4"/>
              </w:rPr>
              <w:t>1934</w:t>
            </w:r>
          </w:p>
        </w:tc>
        <w:tc>
          <w:tcPr>
            <w:tcW w:w="30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4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2"/>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Rule 13a-14(b) or 15d-14(b) of the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top w:val="single" w:sz="8" w:color="0000FF"/>
            </w:tcBorders>
            <w:gridSpan w:val="27"/>
          </w:tcPr>
          <w:p>
            <w:pPr>
              <w:spacing w:after="0" w:line="169" w:lineRule="exact"/>
              <w:rPr>
                <w:sz w:val="20"/>
                <w:szCs w:val="20"/>
                <w:color w:val="auto"/>
              </w:rPr>
            </w:pPr>
            <w:r>
              <w:rPr>
                <w:rFonts w:ascii="Arial" w:cs="Arial" w:eastAsia="Arial" w:hAnsi="Arial"/>
                <w:sz w:val="18"/>
                <w:szCs w:val="18"/>
                <w:color w:val="0000FF"/>
              </w:rPr>
              <w:t>Exchange Act and 18 U.S.C. Section 1350</w:t>
            </w:r>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624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tcPr>
          <w:p>
            <w:pPr>
              <w:jc w:val="right"/>
              <w:spacing w:after="0" w:line="204" w:lineRule="exact"/>
              <w:rPr>
                <w:sz w:val="20"/>
                <w:szCs w:val="20"/>
                <w:color w:val="auto"/>
              </w:rPr>
            </w:pPr>
            <w:r>
              <w:rPr>
                <w:rFonts w:ascii="Arial" w:cs="Arial" w:eastAsia="Arial" w:hAnsi="Arial"/>
                <w:sz w:val="18"/>
                <w:szCs w:val="18"/>
                <w:color w:val="auto"/>
              </w:rPr>
              <w:t>101.0</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32"/>
          </w:tcPr>
          <w:p>
            <w:pPr>
              <w:spacing w:after="0" w:line="204" w:lineRule="exact"/>
              <w:rPr>
                <w:sz w:val="20"/>
                <w:szCs w:val="20"/>
                <w:color w:val="auto"/>
              </w:rPr>
            </w:pPr>
            <w:r>
              <w:rPr>
                <w:rFonts w:ascii="Arial" w:cs="Arial" w:eastAsia="Arial" w:hAnsi="Arial"/>
                <w:sz w:val="18"/>
                <w:szCs w:val="18"/>
                <w:color w:val="auto"/>
              </w:rPr>
              <w:t>The following materials from Salarius Pharmaceuticals, Inc.'s Quarterly Report on Form 10-Q for the quarter ended</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32"/>
          </w:tcPr>
          <w:p>
            <w:pPr>
              <w:spacing w:after="0" w:line="181" w:lineRule="exact"/>
              <w:rPr>
                <w:sz w:val="20"/>
                <w:szCs w:val="20"/>
                <w:color w:val="auto"/>
              </w:rPr>
            </w:pPr>
            <w:r>
              <w:rPr>
                <w:rFonts w:ascii="Arial" w:cs="Arial" w:eastAsia="Arial" w:hAnsi="Arial"/>
                <w:sz w:val="18"/>
                <w:szCs w:val="18"/>
                <w:color w:val="auto"/>
              </w:rPr>
              <w:t>June 30, 2025, formatted in XBRL (eXtensible Business Reporting Language):(i) Unaudited Condensed Consolidated</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32"/>
          </w:tcPr>
          <w:p>
            <w:pPr>
              <w:spacing w:after="0" w:line="176" w:lineRule="exact"/>
              <w:rPr>
                <w:sz w:val="20"/>
                <w:szCs w:val="20"/>
                <w:color w:val="auto"/>
              </w:rPr>
            </w:pPr>
            <w:r>
              <w:rPr>
                <w:rFonts w:ascii="Arial" w:cs="Arial" w:eastAsia="Arial" w:hAnsi="Arial"/>
                <w:sz w:val="18"/>
                <w:szCs w:val="18"/>
                <w:color w:val="auto"/>
              </w:rPr>
              <w:t>Balance Sheets, (ii) Unaudited Condensed Consolidated Statements of Operations (iii) Unaudited Condensed</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32"/>
          </w:tcPr>
          <w:p>
            <w:pPr>
              <w:spacing w:after="0" w:line="201" w:lineRule="exact"/>
              <w:rPr>
                <w:sz w:val="20"/>
                <w:szCs w:val="20"/>
                <w:color w:val="auto"/>
              </w:rPr>
            </w:pPr>
            <w:r>
              <w:rPr>
                <w:rFonts w:ascii="Arial" w:cs="Arial" w:eastAsia="Arial" w:hAnsi="Arial"/>
                <w:sz w:val="18"/>
                <w:szCs w:val="18"/>
                <w:color w:val="auto"/>
              </w:rPr>
              <w:t>Consolidated Statements of Stockholders' Equity (Deficit), (iv) Unaudited Condensed Consolidated Statements of Cash</w:t>
            </w:r>
          </w:p>
        </w:tc>
        <w:tc>
          <w:tcPr>
            <w:tcW w:w="0" w:type="dxa"/>
            <w:vAlign w:val="bottom"/>
          </w:tcPr>
          <w:p>
            <w:pPr>
              <w:spacing w:after="0"/>
              <w:rPr>
                <w:sz w:val="1"/>
                <w:szCs w:val="1"/>
                <w:color w:val="auto"/>
              </w:rPr>
            </w:pPr>
          </w:p>
        </w:tc>
      </w:tr>
    </w:tbl>
    <w:p>
      <w:pPr>
        <w:ind w:left="1620"/>
        <w:spacing w:after="0"/>
        <w:rPr>
          <w:sz w:val="20"/>
          <w:szCs w:val="20"/>
          <w:color w:val="auto"/>
        </w:rPr>
      </w:pPr>
      <w:r>
        <w:rPr>
          <w:rFonts w:ascii="Arial" w:cs="Arial" w:eastAsia="Arial" w:hAnsi="Arial"/>
          <w:sz w:val="18"/>
          <w:szCs w:val="18"/>
          <w:color w:val="auto"/>
        </w:rPr>
        <w:t>Flows, and (v) Notes to Condensed Unaudited Consolidated Financial Statements.</w:t>
      </w:r>
    </w:p>
    <w:p>
      <w:pPr>
        <w:spacing w:after="0" w:line="14" w:lineRule="exact"/>
        <w:rPr>
          <w:sz w:val="20"/>
          <w:szCs w:val="20"/>
          <w:color w:val="auto"/>
        </w:rPr>
      </w:pPr>
    </w:p>
    <w:p>
      <w:pPr>
        <w:ind w:left="1620" w:hanging="995"/>
        <w:spacing w:after="0"/>
        <w:tabs>
          <w:tab w:leader="none" w:pos="16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6"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27343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hanging="172"/>
        <w:spacing w:after="0" w:line="273" w:lineRule="auto"/>
        <w:tabs>
          <w:tab w:leader="none" w:pos="114"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61"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77"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17780</wp:posOffset>
            </wp:positionV>
            <wp:extent cx="33000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J. Arthur</w:t>
      </w:r>
    </w:p>
    <w:p>
      <w:pPr>
        <w:ind w:left="594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40"/>
        <w:spacing w:after="0"/>
        <w:rPr>
          <w:sz w:val="20"/>
          <w:szCs w:val="20"/>
          <w:color w:val="auto"/>
        </w:rPr>
      </w:pPr>
      <w:r>
        <w:rPr>
          <w:rFonts w:ascii="Arial" w:cs="Arial" w:eastAsia="Arial" w:hAnsi="Arial"/>
          <w:sz w:val="18"/>
          <w:szCs w:val="18"/>
          <w:i w:val="1"/>
          <w:iCs w:val="1"/>
          <w:color w:val="auto"/>
        </w:rPr>
        <w:t>Officer)</w:t>
      </w:r>
    </w:p>
    <w:p>
      <w:pPr>
        <w:spacing w:after="0" w:line="113"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17780</wp:posOffset>
            </wp:positionV>
            <wp:extent cx="3300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Mark J. Rosenblum</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Chief Financial Officer and Executive Vice President of Finance</w:t>
      </w:r>
    </w:p>
    <w:p>
      <w:pPr>
        <w:ind w:left="59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2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August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274" w:right="4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68" w:lineRule="auto"/>
        <w:tabs>
          <w:tab w:leader="none" w:pos="8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2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4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3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2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560" w:firstLine="4"/>
        <w:spacing w:after="0" w:line="273" w:lineRule="auto"/>
        <w:tabs>
          <w:tab w:leader="none" w:pos="15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5"/>
        </w:trPr>
        <w:tc>
          <w:tcPr>
            <w:tcW w:w="4800" w:type="dxa"/>
            <w:vAlign w:val="bottom"/>
          </w:tcPr>
          <w:p>
            <w:pPr>
              <w:spacing w:after="0"/>
              <w:rPr>
                <w:sz w:val="20"/>
                <w:szCs w:val="20"/>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c>
          <w:tcPr>
            <w:tcW w:w="0" w:type="dxa"/>
            <w:vAlign w:val="bottom"/>
          </w:tcPr>
          <w:p>
            <w:pPr>
              <w:spacing w:after="0"/>
              <w:rPr>
                <w:sz w:val="1"/>
                <w:szCs w:val="1"/>
                <w:color w:val="auto"/>
              </w:rPr>
            </w:pPr>
          </w:p>
        </w:tc>
      </w:tr>
      <w:tr>
        <w:trPr>
          <w:trHeight w:val="218"/>
        </w:trPr>
        <w:tc>
          <w:tcPr>
            <w:tcW w:w="48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David J. Arthur</w:t>
            </w:r>
          </w:p>
        </w:tc>
        <w:tc>
          <w:tcPr>
            <w:tcW w:w="0" w:type="dxa"/>
            <w:vAlign w:val="bottom"/>
          </w:tcPr>
          <w:p>
            <w:pPr>
              <w:spacing w:after="0"/>
              <w:rPr>
                <w:sz w:val="1"/>
                <w:szCs w:val="1"/>
                <w:color w:val="auto"/>
              </w:rPr>
            </w:pPr>
          </w:p>
        </w:tc>
      </w:tr>
      <w:tr>
        <w:trPr>
          <w:trHeight w:val="189"/>
        </w:trPr>
        <w:tc>
          <w:tcPr>
            <w:tcW w:w="4800" w:type="dxa"/>
            <w:vAlign w:val="bottom"/>
            <w:vMerge w:val="restart"/>
          </w:tcPr>
          <w:p>
            <w:pPr>
              <w:spacing w:after="0"/>
              <w:rPr>
                <w:sz w:val="20"/>
                <w:szCs w:val="20"/>
                <w:color w:val="auto"/>
              </w:rPr>
            </w:pPr>
            <w:r>
              <w:rPr>
                <w:rFonts w:ascii="Arial" w:cs="Arial" w:eastAsia="Arial" w:hAnsi="Arial"/>
                <w:sz w:val="18"/>
                <w:szCs w:val="18"/>
                <w:color w:val="auto"/>
              </w:rPr>
              <w:t>August 12, 2025</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9"/>
        </w:trPr>
        <w:tc>
          <w:tcPr>
            <w:tcW w:w="480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68" w:lineRule="auto"/>
        <w:tabs>
          <w:tab w:leader="none" w:pos="8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7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520" w:hanging="216"/>
        <w:spacing w:after="0"/>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27" w:lineRule="exact"/>
        <w:rPr>
          <w:rFonts w:ascii="Arial" w:cs="Arial" w:eastAsia="Arial" w:hAnsi="Arial"/>
          <w:sz w:val="18"/>
          <w:szCs w:val="18"/>
          <w:color w:val="auto"/>
        </w:rPr>
      </w:pPr>
    </w:p>
    <w:p>
      <w:pPr>
        <w:ind w:left="130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8"/>
          <w:szCs w:val="18"/>
          <w:color w:val="auto"/>
        </w:rPr>
      </w:pPr>
    </w:p>
    <w:p>
      <w:pPr>
        <w:jc w:val="both"/>
        <w:ind w:left="1300" w:right="540" w:firstLine="4"/>
        <w:spacing w:after="0" w:line="291" w:lineRule="auto"/>
        <w:tabs>
          <w:tab w:leader="none" w:pos="151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300" w:right="360" w:firstLine="4"/>
        <w:spacing w:after="0" w:line="268" w:lineRule="auto"/>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1300" w:right="200" w:firstLine="4"/>
        <w:spacing w:after="0" w:line="268" w:lineRule="auto"/>
        <w:tabs>
          <w:tab w:leader="none" w:pos="15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60" w:right="140" w:hanging="4"/>
        <w:spacing w:after="0" w:line="268"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1300" w:right="220" w:firstLine="4"/>
        <w:spacing w:after="0" w:line="268" w:lineRule="auto"/>
        <w:tabs>
          <w:tab w:leader="none" w:pos="15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560" w:firstLine="4"/>
        <w:spacing w:after="0" w:line="273" w:lineRule="auto"/>
        <w:tabs>
          <w:tab w:leader="none" w:pos="15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Mark J. Rosenblum</w:t>
            </w:r>
          </w:p>
        </w:tc>
        <w:tc>
          <w:tcPr>
            <w:tcW w:w="0" w:type="dxa"/>
            <w:vAlign w:val="bottom"/>
          </w:tcPr>
          <w:p>
            <w:pPr>
              <w:spacing w:after="0"/>
              <w:rPr>
                <w:sz w:val="1"/>
                <w:szCs w:val="1"/>
                <w:color w:val="auto"/>
              </w:rPr>
            </w:pPr>
          </w:p>
        </w:tc>
      </w:tr>
      <w:tr>
        <w:trPr>
          <w:trHeight w:val="189"/>
        </w:trPr>
        <w:tc>
          <w:tcPr>
            <w:tcW w:w="3240" w:type="dxa"/>
            <w:vAlign w:val="bottom"/>
            <w:vMerge w:val="restart"/>
          </w:tcPr>
          <w:p>
            <w:pPr>
              <w:spacing w:after="0"/>
              <w:rPr>
                <w:sz w:val="20"/>
                <w:szCs w:val="20"/>
                <w:color w:val="auto"/>
              </w:rPr>
            </w:pPr>
            <w:r>
              <w:rPr>
                <w:rFonts w:ascii="Arial" w:cs="Arial" w:eastAsia="Arial" w:hAnsi="Arial"/>
                <w:sz w:val="18"/>
                <w:szCs w:val="18"/>
                <w:color w:val="auto"/>
              </w:rPr>
              <w:t>August 12, 2025</w:t>
            </w:r>
          </w:p>
        </w:tc>
        <w:tc>
          <w:tcPr>
            <w:tcW w:w="506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39"/>
        </w:trPr>
        <w:tc>
          <w:tcPr>
            <w:tcW w:w="3240" w:type="dxa"/>
            <w:vAlign w:val="bottom"/>
            <w:vMerge w:val="continue"/>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June 30, 2025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98" w:lineRule="exact"/>
        <w:rPr>
          <w:sz w:val="20"/>
          <w:szCs w:val="20"/>
          <w:color w:val="auto"/>
        </w:rPr>
      </w:pPr>
    </w:p>
    <w:p>
      <w:pPr>
        <w:ind w:left="660" w:right="220" w:hanging="4"/>
        <w:spacing w:after="0" w:line="287" w:lineRule="auto"/>
        <w:tabs>
          <w:tab w:leader="none" w:pos="9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9" w:lineRule="exact"/>
        <w:rPr>
          <w:rFonts w:ascii="Arial" w:cs="Arial" w:eastAsia="Arial" w:hAnsi="Arial"/>
          <w:sz w:val="18"/>
          <w:szCs w:val="18"/>
          <w:color w:val="auto"/>
        </w:rPr>
      </w:pPr>
    </w:p>
    <w:p>
      <w:pPr>
        <w:ind w:left="660" w:right="40" w:hanging="4"/>
        <w:spacing w:after="0" w:line="287" w:lineRule="auto"/>
        <w:tabs>
          <w:tab w:leader="none" w:pos="9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440" w:type="dxa"/>
            <w:vAlign w:val="bottom"/>
          </w:tcPr>
          <w:p>
            <w:pPr>
              <w:spacing w:after="0"/>
              <w:rPr>
                <w:sz w:val="20"/>
                <w:szCs w:val="20"/>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c>
          <w:tcPr>
            <w:tcW w:w="0" w:type="dxa"/>
            <w:vAlign w:val="bottom"/>
          </w:tcPr>
          <w:p>
            <w:pPr>
              <w:spacing w:after="0"/>
              <w:rPr>
                <w:sz w:val="1"/>
                <w:szCs w:val="1"/>
                <w:color w:val="auto"/>
              </w:rPr>
            </w:pPr>
          </w:p>
        </w:tc>
      </w:tr>
      <w:tr>
        <w:trPr>
          <w:trHeight w:val="218"/>
        </w:trPr>
        <w:tc>
          <w:tcPr>
            <w:tcW w:w="54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Arthur</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Arial" w:cs="Arial" w:eastAsia="Arial" w:hAnsi="Arial"/>
                <w:sz w:val="18"/>
                <w:szCs w:val="18"/>
                <w:color w:val="auto"/>
              </w:rPr>
              <w:t>August 12, 2025</w:t>
            </w:r>
          </w:p>
        </w:tc>
        <w:tc>
          <w:tcPr>
            <w:tcW w:w="57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c>
          <w:tcPr>
            <w:tcW w:w="0" w:type="dxa"/>
            <w:vAlign w:val="bottom"/>
          </w:tcPr>
          <w:p>
            <w:pPr>
              <w:spacing w:after="0"/>
              <w:rPr>
                <w:sz w:val="1"/>
                <w:szCs w:val="1"/>
                <w:color w:val="auto"/>
              </w:rPr>
            </w:pPr>
          </w:p>
        </w:tc>
      </w:tr>
      <w:tr>
        <w:trPr>
          <w:trHeight w:val="333"/>
        </w:trPr>
        <w:tc>
          <w:tcPr>
            <w:tcW w:w="5440" w:type="dxa"/>
            <w:vAlign w:val="bottom"/>
          </w:tcPr>
          <w:p>
            <w:pPr>
              <w:spacing w:after="0"/>
              <w:rPr>
                <w:sz w:val="24"/>
                <w:szCs w:val="24"/>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c>
          <w:tcPr>
            <w:tcW w:w="0" w:type="dxa"/>
            <w:vAlign w:val="bottom"/>
          </w:tcPr>
          <w:p>
            <w:pPr>
              <w:spacing w:after="0"/>
              <w:rPr>
                <w:sz w:val="1"/>
                <w:szCs w:val="1"/>
                <w:color w:val="auto"/>
              </w:rPr>
            </w:pPr>
          </w:p>
        </w:tc>
      </w:tr>
      <w:tr>
        <w:trPr>
          <w:trHeight w:val="218"/>
        </w:trPr>
        <w:tc>
          <w:tcPr>
            <w:tcW w:w="54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Mark J. Rosenblum</w:t>
            </w:r>
          </w:p>
        </w:tc>
        <w:tc>
          <w:tcPr>
            <w:tcW w:w="0" w:type="dxa"/>
            <w:vAlign w:val="bottom"/>
          </w:tcPr>
          <w:p>
            <w:pPr>
              <w:spacing w:after="0"/>
              <w:rPr>
                <w:sz w:val="1"/>
                <w:szCs w:val="1"/>
                <w:color w:val="auto"/>
              </w:rPr>
            </w:pPr>
          </w:p>
        </w:tc>
      </w:tr>
      <w:tr>
        <w:trPr>
          <w:trHeight w:val="189"/>
        </w:trPr>
        <w:tc>
          <w:tcPr>
            <w:tcW w:w="5440" w:type="dxa"/>
            <w:vAlign w:val="bottom"/>
            <w:vMerge w:val="restart"/>
          </w:tcPr>
          <w:p>
            <w:pPr>
              <w:spacing w:after="0"/>
              <w:rPr>
                <w:sz w:val="20"/>
                <w:szCs w:val="20"/>
                <w:color w:val="auto"/>
              </w:rPr>
            </w:pPr>
            <w:r>
              <w:rPr>
                <w:rFonts w:ascii="Arial" w:cs="Arial" w:eastAsia="Arial" w:hAnsi="Arial"/>
                <w:sz w:val="18"/>
                <w:szCs w:val="18"/>
                <w:color w:val="auto"/>
              </w:rPr>
              <w:t>August 12, 2025</w:t>
            </w:r>
          </w:p>
        </w:tc>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39"/>
        </w:trPr>
        <w:tc>
          <w:tcPr>
            <w:tcW w:w="5440" w:type="dxa"/>
            <w:vAlign w:val="bottom"/>
            <w:vMerge w:val="continue"/>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4"/>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44" Type="http://schemas.openxmlformats.org/officeDocument/2006/relationships/hyperlink" Target="https://www.sec.gov/Archives/edgar/data/1615219/000161521925000004/markedex21agreementandplan.htm" TargetMode="External"/><Relationship Id="rId45" Type="http://schemas.openxmlformats.org/officeDocument/2006/relationships/hyperlink" Target="https://www.sec.gov/Archives/edgar/data/1615219/000161521925000040/projectsierra-conformedame.htm" TargetMode="External"/><Relationship Id="rId46" Type="http://schemas.openxmlformats.org/officeDocument/2006/relationships/hyperlink" Target="https://www.sec.gov/Archives/edgar/data/1615219/000161521925000062/projectsierra-secondamendm.htm" TargetMode="External"/><Relationship Id="rId47" Type="http://schemas.openxmlformats.org/officeDocument/2006/relationships/hyperlink" Target="https://www.sec.gov/Archives/edgar/data/1615219/000161521925000072/projectsierra-thirdamendme.htm" TargetMode="External"/><Relationship Id="rId48" Type="http://schemas.openxmlformats.org/officeDocument/2006/relationships/hyperlink" Target="https://www.sec.gov/Archives/edgar/data/1615219/000161521925000078/projectsierra-fourthamendm.htm" TargetMode="External"/><Relationship Id="rId49" Type="http://schemas.openxmlformats.org/officeDocument/2006/relationships/hyperlink" Target="https://www.sec.gov/Archives/edgar/data/1615219/000110465915007801/a15-4061_1ex3d1.htm" TargetMode="External"/><Relationship Id="rId50" Type="http://schemas.openxmlformats.org/officeDocument/2006/relationships/hyperlink" Target="https://www.sec.gov/Archives/edgar/data/1615219/000119312519199074/d754556dex31.htm" TargetMode="External"/><Relationship Id="rId51" Type="http://schemas.openxmlformats.org/officeDocument/2006/relationships/hyperlink" Target="https://www.sec.gov/Archives/edgar/data/1615219/000161521922000135/exhibit31.htm" TargetMode="External"/><Relationship Id="rId52" Type="http://schemas.openxmlformats.org/officeDocument/2006/relationships/hyperlink" Target="https://www.sec.gov/Archives/edgar/data/1615219/000119312519199074/d754556dex32.htm" TargetMode="External"/><Relationship Id="rId53" Type="http://schemas.openxmlformats.org/officeDocument/2006/relationships/hyperlink" Target="https://www.sec.gov/Archives/edgar/data/1615219/000161521922000034/salarius-bylawsamendment33.htm" TargetMode="External"/><Relationship Id="rId54" Type="http://schemas.openxmlformats.org/officeDocument/2006/relationships/hyperlink" Target="https://www.sec.gov/Archives/edgar/data/1615219/000161521924000045/slrx-certificateofamendm.htm" TargetMode="External"/><Relationship Id="rId55" Type="http://schemas.openxmlformats.org/officeDocument/2006/relationships/hyperlink" Target="https://www.sec.gov/Archives/edgar/data/1615219/000161521925000078/certificateofdesignations-.htm" TargetMode="External"/><Relationship Id="rId56" Type="http://schemas.openxmlformats.org/officeDocument/2006/relationships/hyperlink" Target="https://www.sec.gov/Archives/edgar/data/1615219/000161521925000078/seriesbpreferredstock-xp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2025-08-12T16:44:27Z</dcterms:created>
  <dcterms:modified xsi:type="dcterms:W3CDTF">2025-08-12T16:44:27Z</dcterms:modified>
</cp:coreProperties>
</file>