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354965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9" w:lineRule="exact"/>
        <w:rPr>
          <w:sz w:val="24"/>
          <w:szCs w:val="24"/>
          <w:color w:val="auto"/>
        </w:rPr>
      </w:pPr>
    </w:p>
    <w:p>
      <w:pPr>
        <w:ind w:left="3860" w:right="1060" w:hanging="3744"/>
        <w:spacing w:after="0" w:line="273" w:lineRule="auto"/>
        <w:tabs>
          <w:tab w:leader="none" w:pos="1414"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jc w:val="center"/>
        <w:ind w:left="4360" w:right="1060" w:hanging="4244"/>
        <w:spacing w:after="0" w:line="306"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2600" w:type="dxa"/>
        <w:tblCellMar>
          <w:top w:w="0" w:type="dxa"/>
          <w:left w:w="0" w:type="dxa"/>
          <w:bottom w:w="0" w:type="dxa"/>
          <w:right w:w="0" w:type="dxa"/>
        </w:tblCellMar>
      </w:tblPr>
      <w:tr>
        <w:trPr>
          <w:trHeight w:val="196"/>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1"/>
        </w:trPr>
        <w:tc>
          <w:tcPr>
            <w:tcW w:w="3120" w:type="dxa"/>
            <w:vAlign w:val="bottom"/>
          </w:tcPr>
          <w:p>
            <w:pPr>
              <w:jc w:val="center"/>
              <w:ind w:right="1168"/>
              <w:spacing w:after="0" w:line="151"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1" w:lineRule="exact"/>
              <w:rPr>
                <w:sz w:val="20"/>
                <w:szCs w:val="20"/>
                <w:color w:val="auto"/>
              </w:rPr>
            </w:pPr>
            <w:r>
              <w:rPr>
                <w:rFonts w:ascii="Arial" w:cs="Arial" w:eastAsia="Arial" w:hAnsi="Arial"/>
                <w:sz w:val="14"/>
                <w:szCs w:val="14"/>
                <w:color w:val="auto"/>
              </w:rPr>
              <w:t>(I.R.S. Employer</w:t>
            </w:r>
          </w:p>
        </w:tc>
      </w:t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(832)804-9144</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59"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-48895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Pr>
          <w:p>
            <w:pPr>
              <w:spacing w:after="0"/>
              <w:rPr>
                <w:sz w:val="16"/>
                <w:szCs w:val="16"/>
                <w:color w:val="auto"/>
              </w:rPr>
            </w:pPr>
          </w:p>
        </w:tc>
      </w:tr>
      <w:tr>
        <w:trPr>
          <w:trHeight w:val="21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line="161"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w:t>
      </w:r>
    </w:p>
    <w:p>
      <w:pPr>
        <w:spacing w:after="0" w:line="29" w:lineRule="exact"/>
        <w:rPr>
          <w:sz w:val="24"/>
          <w:szCs w:val="24"/>
          <w:color w:val="auto"/>
        </w:rPr>
      </w:pPr>
    </w:p>
    <w:p>
      <w:pPr>
        <w:spacing w:after="0" w:line="161" w:lineRule="exact"/>
        <w:tabs>
          <w:tab w:leader="none" w:pos="9400" w:val="left"/>
        </w:tabs>
        <w:rPr>
          <w:sz w:val="20"/>
          <w:szCs w:val="20"/>
          <w:color w:val="auto"/>
        </w:rPr>
      </w:pP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99" w:lineRule="exact"/>
        <w:rPr>
          <w:sz w:val="24"/>
          <w:szCs w:val="24"/>
          <w:color w:val="auto"/>
        </w:rPr>
      </w:pPr>
    </w:p>
    <w:p>
      <w:pPr>
        <w:ind w:right="280"/>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As of May 10, 2024, there were 4,776,433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2"/>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5"/>
              </w:rPr>
              <w:t>PART I.</w:t>
            </w:r>
          </w:p>
        </w:tc>
        <w:tc>
          <w:tcPr>
            <w:tcW w:w="740" w:type="dxa"/>
            <w:vAlign w:val="bottom"/>
            <w:gridSpan w:val="4"/>
          </w:tcPr>
          <w:p>
            <w:pPr>
              <w:spacing w:after="0"/>
              <w:rPr>
                <w:sz w:val="24"/>
                <w:szCs w:val="24"/>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Information</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2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Financial Statements (Unaudited)</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9"/>
          </w:tcPr>
          <w:p>
            <w:pPr>
              <w:spacing w:after="0"/>
              <w:rPr>
                <w:sz w:val="20"/>
                <w:szCs w:val="20"/>
                <w:color w:val="auto"/>
              </w:rPr>
            </w:pPr>
            <w:r>
              <w:rPr>
                <w:rFonts w:ascii="Arial" w:cs="Arial" w:eastAsia="Arial" w:hAnsi="Arial"/>
                <w:sz w:val="18"/>
                <w:szCs w:val="18"/>
                <w:color w:val="0000FF"/>
                <w:w w:val="99"/>
              </w:rPr>
              <w:t>Condensed Consolidated Balance Sheets</w:t>
            </w:r>
          </w:p>
        </w:tc>
        <w:tc>
          <w:tcPr>
            <w:tcW w:w="5380" w:type="dxa"/>
            <w:vAlign w:val="bottom"/>
            <w:gridSpan w:val="6"/>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0"/>
          </w:tcPr>
          <w:p>
            <w:pPr>
              <w:spacing w:after="0"/>
              <w:rPr>
                <w:sz w:val="20"/>
                <w:szCs w:val="20"/>
                <w:color w:val="auto"/>
              </w:rPr>
            </w:pPr>
            <w:r>
              <w:rPr>
                <w:rFonts w:ascii="Arial" w:cs="Arial" w:eastAsia="Arial" w:hAnsi="Arial"/>
                <w:sz w:val="18"/>
                <w:szCs w:val="18"/>
                <w:color w:val="0000FF"/>
                <w:w w:val="97"/>
              </w:rPr>
              <w:t>Condensed Consolidated Statements of Cash Flows</w:t>
            </w:r>
          </w:p>
        </w:tc>
        <w:tc>
          <w:tcPr>
            <w:tcW w:w="460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1"/>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80" w:type="dxa"/>
            <w:vAlign w:val="bottom"/>
            <w:gridSpan w:val="2"/>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2.</w:t>
            </w:r>
          </w:p>
        </w:tc>
        <w:tc>
          <w:tcPr>
            <w:tcW w:w="86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3.</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4.</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Controls and Procedures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1.</w:t>
            </w:r>
          </w:p>
        </w:tc>
        <w:tc>
          <w:tcPr>
            <w:tcW w:w="16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680" w:type="dxa"/>
            <w:vAlign w:val="bottom"/>
            <w:gridSpan w:val="2"/>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3</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Defaults Upon Senior Securities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4</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Mine Safety Disclosures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5</w:t>
            </w: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Other Information</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0000FF"/>
                <w:w w:val="83"/>
              </w:rPr>
              <w:t>Item 6.</w:t>
            </w:r>
          </w:p>
        </w:tc>
        <w:tc>
          <w:tcPr>
            <w:tcW w:w="860" w:type="dxa"/>
            <w:vAlign w:val="bottom"/>
            <w:gridSpan w:val="5"/>
          </w:tcPr>
          <w:p>
            <w:pPr>
              <w:spacing w:after="0"/>
              <w:rPr>
                <w:sz w:val="18"/>
                <w:szCs w:val="18"/>
                <w:color w:val="auto"/>
              </w:rPr>
            </w:pPr>
          </w:p>
        </w:tc>
        <w:tc>
          <w:tcPr>
            <w:tcW w:w="9120" w:type="dxa"/>
            <w:vAlign w:val="bottom"/>
            <w:gridSpan w:val="17"/>
          </w:tcPr>
          <w:p>
            <w:pPr>
              <w:ind w:left="200"/>
              <w:spacing w:after="0"/>
              <w:rPr>
                <w:sz w:val="20"/>
                <w:szCs w:val="20"/>
                <w:color w:val="auto"/>
              </w:rPr>
            </w:pPr>
            <w:r>
              <w:rPr>
                <w:rFonts w:ascii="Arial" w:cs="Arial" w:eastAsia="Arial" w:hAnsi="Arial"/>
                <w:sz w:val="18"/>
                <w:szCs w:val="18"/>
                <w:color w:val="0000FF"/>
              </w:rPr>
              <w:t>Exhibits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0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ability to continue as a going concern and its ability to support it operations into the first half of 2025;</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regarding the exploration of strategic alternatives;</w:t>
      </w:r>
    </w:p>
    <w:p>
      <w:pPr>
        <w:spacing w:after="0" w:line="20" w:lineRule="exact"/>
        <w:rPr>
          <w:rFonts w:ascii="Arial" w:cs="Arial" w:eastAsia="Arial" w:hAnsi="Arial"/>
          <w:sz w:val="22"/>
          <w:szCs w:val="22"/>
          <w:color w:val="auto"/>
        </w:rPr>
      </w:pPr>
    </w:p>
    <w:p>
      <w:pPr>
        <w:ind w:left="660" w:right="2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strategy, including significantly reducing its expenditures on operational and research and development activities and taking other cost savings measures in connection with the Company’s ongoing review of strategic alternatives;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regarding the benefits of its cost-saving measures;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ability to preserve capital while it continues to await clinical data and assess potential strategic alternatives;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expected timing for incurring costs associated with the cost savings measures;</w:t>
      </w:r>
    </w:p>
    <w:p>
      <w:pPr>
        <w:spacing w:after="0" w:line="20"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regarding its clinical trials and any investigator-initiated clinical trials, including expected costs, goals, timing and other expectations related thereto;</w:t>
      </w:r>
    </w:p>
    <w:p>
      <w:pPr>
        <w:spacing w:after="0" w:line="20"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its lead compound, seclidemstat or SP-2577, as a treatment for Ewing sarcoma, and other cancers and its ability to improve the life of patients;</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for seclidemstat to target the epigenetic dysregulation underlying Ewing sarcoma;</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potential advantages of protein degraders including the value of SP-3164 as a cancer treatment;</w:t>
      </w:r>
    </w:p>
    <w:p>
      <w:pPr>
        <w:spacing w:after="0" w:line="34"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commercial or market opportunity and expansion for each therapeutic option, including the availability and value of a pediatric priority review voucher for in-clinic treatments and potential for accelerated approval;</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expectations as to revenue, cash flow, and expenses;</w:t>
      </w:r>
    </w:p>
    <w:p>
      <w:pPr>
        <w:spacing w:after="0" w:line="19" w:lineRule="exact"/>
        <w:rPr>
          <w:rFonts w:ascii="Arial" w:cs="Arial" w:eastAsia="Arial" w:hAnsi="Arial"/>
          <w:sz w:val="22"/>
          <w:szCs w:val="22"/>
          <w:color w:val="auto"/>
        </w:rPr>
      </w:pPr>
    </w:p>
    <w:p>
      <w:pPr>
        <w:ind w:left="66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i w:val="1"/>
          <w:iCs w:val="1"/>
          <w:color w:val="auto"/>
        </w:rPr>
        <w:t>the Company's liquidity position, the expected sufficiency of such position for anticipated operating and capital requirements into the first half of 2025;</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ability to remain listed on Nasdaq;</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w:t>
      </w:r>
    </w:p>
    <w:p>
      <w:pPr>
        <w:spacing w:after="0" w:line="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 “target”, “potential,” “evaluate,” “proceeding.”</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156" w:lineRule="exact"/>
        <w:rPr>
          <w:sz w:val="20"/>
          <w:szCs w:val="20"/>
          <w:color w:val="auto"/>
        </w:rPr>
      </w:pPr>
    </w:p>
    <w:p>
      <w:pPr>
        <w:ind w:left="660" w:hanging="328"/>
        <w:spacing w:after="0" w:line="251"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risk that if we do not successfully complete a strategic transaction or obtain financing in the near term, the company will need to pursue a dissolution and liquidation of our company;</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regarding the timing and results of additional clinical data from ongoing clinical trials evaluating seclidemstat;</w:t>
      </w:r>
    </w:p>
    <w:p>
      <w:pPr>
        <w:spacing w:after="0" w:line="9" w:lineRule="exact"/>
        <w:rPr>
          <w:rFonts w:ascii="Arial" w:cs="Arial" w:eastAsia="Arial" w:hAnsi="Arial"/>
          <w:sz w:val="18"/>
          <w:szCs w:val="18"/>
          <w:i w:val="1"/>
          <w:iCs w:val="1"/>
          <w:color w:val="auto"/>
        </w:rPr>
      </w:pPr>
    </w:p>
    <w:p>
      <w:pPr>
        <w:jc w:val="both"/>
        <w:ind w:left="660" w:hanging="328"/>
        <w:spacing w:after="0" w:line="258"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about the exploration and evaluation of strategic alternatives, including that they may not result in a definitive transaction or enhance stockholder value and may create a distraction or uncertainty that may adversely affect our operating results, business or investor perceptions;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660" w:hanging="328"/>
        <w:spacing w:after="0" w:line="256"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impacts regarding our announcement regarding our implementation of a series of additional cost-savings measures designed to extend our expected cash runway into the first half of 2025, including the cessation of employment of David Arthur, our Chief Executive Officer, who is continuing to serve in such role as a part-time consulting basis;</w:t>
      </w:r>
    </w:p>
    <w:p>
      <w:pPr>
        <w:spacing w:after="0" w:line="1" w:lineRule="exact"/>
        <w:rPr>
          <w:rFonts w:ascii="Arial" w:cs="Arial" w:eastAsia="Arial" w:hAnsi="Arial"/>
          <w:sz w:val="18"/>
          <w:szCs w:val="18"/>
          <w:i w:val="1"/>
          <w:iCs w:val="1"/>
          <w:color w:val="auto"/>
        </w:rPr>
      </w:pPr>
    </w:p>
    <w:p>
      <w:pPr>
        <w:ind w:left="660" w:hanging="328"/>
        <w:spacing w:after="0" w:line="250"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risk that the Company’s cost saving initiatives and exploration of strategic alternatives are not successful and do not increase stockholder value;</w:t>
      </w: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unanticipated difficulties with preserving capital;</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unanticipated charges not currently contemplated that may occur as a result of the Company’s cost savings plan;</w:t>
      </w:r>
    </w:p>
    <w:p>
      <w:pPr>
        <w:spacing w:after="0" w:line="9" w:lineRule="exact"/>
        <w:rPr>
          <w:rFonts w:ascii="Arial" w:cs="Arial" w:eastAsia="Arial" w:hAnsi="Arial"/>
          <w:sz w:val="18"/>
          <w:szCs w:val="18"/>
          <w:i w:val="1"/>
          <w:iCs w:val="1"/>
          <w:color w:val="auto"/>
        </w:rPr>
      </w:pPr>
    </w:p>
    <w:p>
      <w:pPr>
        <w:ind w:left="660" w:hanging="328"/>
        <w:spacing w:after="0" w:line="250"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uncertainties about the paths of our programs and our ability to evaluate and identify a path forward for those programs, particularly given the constraints we have as a small company with limited financial, personnel and other operating resources;</w:t>
      </w:r>
    </w:p>
    <w:p>
      <w:pPr>
        <w:ind w:left="660" w:hanging="328"/>
        <w:spacing w:after="0" w:line="250"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effectiveness and timeliness of limited ongoing clinical trials, and the usefulness of the data; the adequacy of our capital to support our future operations;</w:t>
      </w: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our operating results;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current and future license and collaboration agreements;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dependence on contract research organizations, vendors and investigators;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effects of competition and other developments affecting development of products;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market acceptance of our product candidates;</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protection of intellectual property and avoiding intellectual property infringement;</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product liability;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described in our filings with the SEC.</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2023,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2024</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(Audited)</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4,373,205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5,899,910</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457,064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619,763</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4,830,269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6,519,673</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66,850</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4,883,659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6,586,523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713,957</w:t>
            </w:r>
          </w:p>
        </w:tc>
        <w:tc>
          <w:tcPr>
            <w:tcW w:w="1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602,853</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403,309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406,745</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Notes payable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116,855</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289,643</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1,234,121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1,299,241</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18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4,314,433 and</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3,938,433 shares issued and outstanding at March 31, 2024 and December 31, 2023,</w:t>
            </w:r>
          </w:p>
        </w:tc>
        <w:tc>
          <w:tcPr>
            <w:tcW w:w="18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81,712,238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81,634,730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(78,063,131)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(76,347,841)</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3,649,538</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5,287,282</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4,883,659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6,586,523</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4"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540" w:right="700"/>
        <w:spacing w:after="0" w:line="284" w:lineRule="auto"/>
        <w:rPr>
          <w:sz w:val="20"/>
          <w:szCs w:val="20"/>
          <w:color w:val="auto"/>
        </w:rPr>
      </w:pPr>
      <w:r>
        <w:rPr>
          <w:rFonts w:ascii="Arial" w:cs="Arial" w:eastAsia="Arial" w:hAnsi="Arial"/>
          <w:sz w:val="18"/>
          <w:szCs w:val="18"/>
          <w:b w:val="1"/>
          <w:bCs w:val="1"/>
          <w:color w:val="auto"/>
        </w:rPr>
        <w:t>SALARIUS PHARMACEUTICALS, INC. CONDENSED CONSOLIDATED STATEMENTS OF OPERATIONS (Unaudited)</w:t>
      </w:r>
    </w:p>
    <w:p>
      <w:pPr>
        <w:spacing w:after="0" w:line="166" w:lineRule="exact"/>
        <w:rPr>
          <w:sz w:val="20"/>
          <w:szCs w:val="20"/>
          <w:color w:val="auto"/>
        </w:rPr>
      </w:pPr>
    </w:p>
    <w:tbl>
      <w:tblPr>
        <w:tblLayout w:type="fixed"/>
        <w:tblInd w:w="222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gridSpan w:val="5"/>
          </w:tcPr>
          <w:p>
            <w:pPr>
              <w:ind w:left="600"/>
              <w:spacing w:after="0"/>
              <w:rPr>
                <w:sz w:val="20"/>
                <w:szCs w:val="20"/>
                <w:color w:val="auto"/>
              </w:rPr>
            </w:pPr>
            <w:r>
              <w:rPr>
                <w:rFonts w:ascii="Arial" w:cs="Arial" w:eastAsia="Arial" w:hAnsi="Arial"/>
                <w:sz w:val="20"/>
                <w:szCs w:val="20"/>
                <w:b w:val="1"/>
                <w:bCs w:val="1"/>
                <w:color w:val="auto"/>
              </w:rPr>
              <w:t>Three Months Ended</w:t>
            </w: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60" w:type="dxa"/>
            <w:vAlign w:val="bottom"/>
            <w:gridSpan w:val="3"/>
          </w:tcPr>
          <w:p>
            <w:pPr>
              <w:jc w:val="right"/>
              <w:ind w:right="70"/>
              <w:spacing w:after="0"/>
              <w:rPr>
                <w:sz w:val="20"/>
                <w:szCs w:val="20"/>
                <w:color w:val="auto"/>
              </w:rPr>
            </w:pPr>
            <w:r>
              <w:rPr>
                <w:rFonts w:ascii="Arial" w:cs="Arial" w:eastAsia="Arial" w:hAnsi="Arial"/>
                <w:sz w:val="20"/>
                <w:szCs w:val="20"/>
                <w:b w:val="1"/>
                <w:bCs w:val="1"/>
                <w:color w:val="auto"/>
              </w:rPr>
              <w:t>March 31</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49"/>
              <w:spacing w:after="0"/>
              <w:rPr>
                <w:sz w:val="20"/>
                <w:szCs w:val="20"/>
                <w:color w:val="auto"/>
              </w:rPr>
            </w:pPr>
            <w:r>
              <w:rPr>
                <w:rFonts w:ascii="Arial" w:cs="Arial" w:eastAsia="Arial" w:hAnsi="Arial"/>
                <w:sz w:val="18"/>
                <w:szCs w:val="18"/>
                <w:b w:val="1"/>
                <w:bCs w:val="1"/>
                <w:color w:val="auto"/>
              </w:rPr>
              <w:t>2024</w:t>
            </w: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243,002</w:t>
            </w: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3,725,588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1,528,613</w:t>
            </w: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1,695,075</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1,771,615</w:t>
            </w:r>
          </w:p>
        </w:tc>
        <w:tc>
          <w:tcPr>
            <w:tcW w:w="3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5,420,663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(1,771,615)</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(5,420,663)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 and other</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56,325</w:t>
            </w:r>
          </w:p>
        </w:tc>
        <w:tc>
          <w:tcPr>
            <w:tcW w:w="3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(1,715,290)</w:t>
            </w:r>
          </w:p>
        </w:tc>
        <w:tc>
          <w:tcPr>
            <w:tcW w:w="3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(5,340,773)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(1,715,290)</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(5,340,773)</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Loss per common share — basic</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3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940" w:type="dxa"/>
            <w:vAlign w:val="bottom"/>
          </w:tcPr>
          <w:p>
            <w:pPr>
              <w:ind w:left="20"/>
              <w:spacing w:after="0" w:line="164" w:lineRule="exact"/>
              <w:rPr>
                <w:sz w:val="20"/>
                <w:szCs w:val="20"/>
                <w:color w:val="auto"/>
              </w:rPr>
            </w:pPr>
            <w:r>
              <w:rPr>
                <w:rFonts w:ascii="Arial" w:cs="Arial" w:eastAsia="Arial" w:hAnsi="Arial"/>
                <w:sz w:val="18"/>
                <w:szCs w:val="18"/>
                <w:color w:val="auto"/>
              </w:rPr>
              <w:t>Weighted-average number of</w:t>
            </w: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40" w:type="dxa"/>
            <w:vAlign w:val="bottom"/>
          </w:tcPr>
          <w:p>
            <w:pPr>
              <w:ind w:left="100"/>
              <w:spacing w:after="0" w:line="181" w:lineRule="exact"/>
              <w:rPr>
                <w:sz w:val="20"/>
                <w:szCs w:val="20"/>
                <w:color w:val="auto"/>
              </w:rPr>
            </w:pPr>
            <w:r>
              <w:rPr>
                <w:rFonts w:ascii="Arial" w:cs="Arial" w:eastAsia="Arial" w:hAnsi="Arial"/>
                <w:sz w:val="18"/>
                <w:szCs w:val="18"/>
                <w:color w:val="auto"/>
              </w:rPr>
              <w:t>common shares outstanding —</w:t>
            </w: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4,194,609</w:t>
            </w: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2,391,964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40" w:type="dxa"/>
            <w:vAlign w:val="bottom"/>
          </w:tcPr>
          <w:p>
            <w:pPr>
              <w:ind w:left="100"/>
              <w:spacing w:after="0" w:line="202" w:lineRule="exact"/>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 w:lineRule="exact"/>
        <w:rPr>
          <w:sz w:val="20"/>
          <w:szCs w:val="20"/>
          <w:color w:val="auto"/>
        </w:rPr>
      </w:pPr>
    </w:p>
    <w:p>
      <w:pPr>
        <w:jc w:val="center"/>
        <w:ind w:left="7820"/>
        <w:spacing w:after="0"/>
        <w:rPr>
          <w:sz w:val="20"/>
          <w:szCs w:val="20"/>
          <w:color w:val="auto"/>
        </w:rPr>
      </w:pPr>
      <w:r>
        <w:rPr>
          <w:rFonts w:ascii="Arial" w:cs="Arial" w:eastAsia="Arial" w:hAnsi="Arial"/>
          <w:sz w:val="18"/>
          <w:szCs w:val="18"/>
          <w:b w:val="1"/>
          <w:bCs w:val="1"/>
          <w:color w:val="auto"/>
        </w:rPr>
        <w:t>Three Months Ended</w:t>
      </w:r>
    </w:p>
    <w:p>
      <w:pPr>
        <w:jc w:val="center"/>
        <w:ind w:left="78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2023</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(5,340,773)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77,508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203,345</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1,480,490</w:t>
            </w:r>
          </w:p>
        </w:tc>
      </w:tr>
      <w:tr>
        <w:trPr>
          <w:trHeight w:val="230"/>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280,728</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111,104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627,576</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(422,470)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(1,353,955)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(3,169,435)</w:t>
            </w:r>
          </w:p>
        </w:tc>
      </w:tr>
      <w:tr>
        <w:trPr>
          <w:trHeight w:val="257"/>
        </w:trPr>
        <w:tc>
          <w:tcPr>
            <w:tcW w:w="78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336,682</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336,682</w:t>
            </w:r>
          </w:p>
        </w:tc>
      </w:tr>
      <w:tr>
        <w:trPr>
          <w:trHeight w:val="108"/>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(2,832,753)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5,899,910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12,106,435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9,273,682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840" w:type="dxa"/>
            <w:vAlign w:val="bottom"/>
          </w:tcPr>
          <w:p>
            <w:pPr>
              <w:ind w:left="140"/>
              <w:spacing w:after="0"/>
              <w:rPr>
                <w:sz w:val="20"/>
                <w:szCs w:val="20"/>
                <w:color w:val="auto"/>
              </w:rPr>
            </w:pPr>
            <w:r>
              <w:rPr>
                <w:rFonts w:ascii="Arial" w:cs="Arial" w:eastAsia="Arial" w:hAnsi="Arial"/>
                <w:sz w:val="18"/>
                <w:szCs w:val="18"/>
                <w:color w:val="auto"/>
              </w:rPr>
              <w:t>Common stock issued for in-process research and development technology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740" w:type="dxa"/>
            <w:vAlign w:val="bottom"/>
            <w:gridSpan w:val="10"/>
          </w:tcPr>
          <w:p>
            <w:pPr>
              <w:jc w:val="center"/>
              <w:ind w:left="91"/>
              <w:spacing w:after="0"/>
              <w:rPr>
                <w:sz w:val="20"/>
                <w:szCs w:val="20"/>
                <w:color w:val="auto"/>
              </w:rPr>
            </w:pPr>
            <w:r>
              <w:rPr>
                <w:rFonts w:ascii="Arial" w:cs="Arial" w:eastAsia="Arial" w:hAnsi="Arial"/>
                <w:sz w:val="18"/>
                <w:szCs w:val="18"/>
                <w:b w:val="1"/>
                <w:bCs w:val="1"/>
                <w:color w:val="auto"/>
                <w:w w:val="99"/>
              </w:rPr>
              <w:t>SALARIUS PHARMACEUTICALS, INC.</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13"/>
          </w:tcPr>
          <w:p>
            <w:pPr>
              <w:jc w:val="center"/>
              <w:ind w:left="1950"/>
              <w:spacing w:after="0"/>
              <w:rPr>
                <w:sz w:val="20"/>
                <w:szCs w:val="20"/>
                <w:color w:val="auto"/>
              </w:rPr>
            </w:pPr>
            <w:r>
              <w:rPr>
                <w:rFonts w:ascii="Arial" w:cs="Arial" w:eastAsia="Arial" w:hAnsi="Arial"/>
                <w:sz w:val="18"/>
                <w:szCs w:val="18"/>
                <w:b w:val="1"/>
                <w:bCs w:val="1"/>
                <w:color w:val="auto"/>
                <w:w w:val="99"/>
              </w:rPr>
              <w:t>CONDENSED CONSOLIDATED STATEMENTS OF STOCKHOLDERS' EQUITY</w:t>
            </w:r>
          </w:p>
        </w:tc>
        <w:tc>
          <w:tcPr>
            <w:tcW w:w="0" w:type="dxa"/>
            <w:vAlign w:val="bottom"/>
          </w:tcPr>
          <w:p>
            <w:pPr>
              <w:spacing w:after="0"/>
              <w:rPr>
                <w:sz w:val="1"/>
                <w:szCs w:val="1"/>
                <w:color w:val="auto"/>
              </w:rPr>
            </w:pPr>
          </w:p>
        </w:tc>
      </w:tr>
      <w:tr>
        <w:trPr>
          <w:trHeight w:val="247"/>
        </w:trPr>
        <w:tc>
          <w:tcPr>
            <w:tcW w:w="3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4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(Unaudited)</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160" w:type="dxa"/>
            <w:vAlign w:val="bottom"/>
          </w:tcPr>
          <w:p>
            <w:pPr>
              <w:spacing w:after="0"/>
              <w:rPr>
                <w:sz w:val="23"/>
                <w:szCs w:val="23"/>
                <w:color w:val="auto"/>
              </w:rPr>
            </w:pPr>
          </w:p>
        </w:tc>
        <w:tc>
          <w:tcPr>
            <w:tcW w:w="194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center"/>
              <w:ind w:right="91"/>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restart"/>
          </w:tcPr>
          <w:p>
            <w:pPr>
              <w:jc w:val="center"/>
              <w:ind w:right="80"/>
              <w:spacing w:after="0" w:line="108" w:lineRule="exact"/>
              <w:rPr>
                <w:sz w:val="20"/>
                <w:szCs w:val="20"/>
                <w:color w:val="auto"/>
              </w:rPr>
            </w:pPr>
            <w:r>
              <w:rPr>
                <w:rFonts w:ascii="Arial" w:cs="Arial" w:eastAsia="Arial" w:hAnsi="Arial"/>
                <w:sz w:val="12"/>
                <w:szCs w:val="12"/>
                <w:b w:val="1"/>
                <w:bCs w:val="1"/>
                <w:color w:val="auto"/>
              </w:rPr>
              <w:t>Additional</w:t>
            </w:r>
          </w:p>
        </w:tc>
        <w:tc>
          <w:tcPr>
            <w:tcW w:w="1360" w:type="dxa"/>
            <w:vAlign w:val="bottom"/>
            <w:gridSpan w:val="2"/>
            <w:vMerge w:val="restart"/>
          </w:tcPr>
          <w:p>
            <w:pPr>
              <w:jc w:val="center"/>
              <w:ind w:right="60"/>
              <w:spacing w:after="0" w:line="108" w:lineRule="exact"/>
              <w:rPr>
                <w:sz w:val="20"/>
                <w:szCs w:val="20"/>
                <w:color w:val="auto"/>
              </w:rPr>
            </w:pPr>
            <w:r>
              <w:rPr>
                <w:rFonts w:ascii="Arial" w:cs="Arial" w:eastAsia="Arial" w:hAnsi="Arial"/>
                <w:sz w:val="12"/>
                <w:szCs w:val="12"/>
                <w:b w:val="1"/>
                <w:bCs w:val="1"/>
                <w:color w:val="auto"/>
              </w:rPr>
              <w:t>Accumulated</w:t>
            </w:r>
          </w:p>
        </w:tc>
        <w:tc>
          <w:tcPr>
            <w:tcW w:w="130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2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Paid-In Capital</w:t>
            </w:r>
          </w:p>
        </w:tc>
        <w:tc>
          <w:tcPr>
            <w:tcW w:w="13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Deficit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2,255,899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$ 74,189,531</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$(63,805,148)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10,384,608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142,499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311,667</w:t>
            </w:r>
          </w:p>
        </w:tc>
        <w:tc>
          <w:tcPr>
            <w:tcW w:w="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311,681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203,338</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203,345</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(5,340,773)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(5,340,773)</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2,468,297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$ 74,704,536</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$(69,145,921)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5,558,861</w:t>
            </w: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3,938,433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$ 81,634,730</w:t>
            </w:r>
          </w:p>
        </w:tc>
        <w:tc>
          <w:tcPr>
            <w:tcW w:w="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$(76,347,841)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5,287,282</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376,000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expense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77,508</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77,508</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(1,715,290)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(1,715,290)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4,314,433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8"/>
              </w:rPr>
              <w:t>$ 81,712,238</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$(78,063,131)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3,649,538</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4" w:right="1440"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340" w:right="2680"/>
        <w:spacing w:after="0" w:line="284"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concentrated on developing treatments for cancers caused by dysregulated gene expression, i.e., genes that are incorrectly turned on or off. The Company has two classes of drugs that address gene dysregulation: targeted protein inhibitors and targeted protein degraders. The Company's technologies have the potential to work in both liquid and solid tumors. The Company's current pipeline consists of two small molecule drugs: 1) SP-3164, a targeted protein degrader, and 2) seclidemstat (SP-2577), a targeted protein inhibitor. The Company is located in Houston, Texas.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pipeline including SP-3164 and seclidemstat. Based on Salarius’ expected cash requirements, Salarius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the Company is currently exploring various strategic alternatives, these strategic alternatives may not be successful in the next several months prior to its cash position getting to the point that it will need to pursue the winding down and dissolution of the Company. If the Company does not raise capital or successfully engage a strategic partner before the first half of 2025, it will be forced to cease operations, liquidate assets and possibly seek bankruptcy protection or engage in a similar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2023 included elsewhere in the Company's Annual Report on Form 10-K filed with the SEC on March 22, 2024, as amended on April 22, 2024. In the opinion of management, the unaudited interim financial statements reflect all the adjustments (consisting of normal recurring adjustments) necessary to state fairly the Company’s financial position as of March 31, 2024 and the results of operations for the three months ended March 31, 2024 and 2023. The interim results of operations are not necessarily indicative of the results that may occur for the full fiscal year. The December 31, 2023 balance sheet included herein was derived from the audited financial statements, but does not include all disclosures, including notes, required by GAAP for complete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 liquid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2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when qualifying costs are incurred. Final reimbursement from the grant was received in the first quarter of 2023. The Company's CPRIT grant expired during 2023 and no additional amounts are expected to be recognized or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valuation model to estimate the fair value of stock options granted to employees and directors. Assumptions utilized in these models including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10,701,757 and 716,840 shares as of March 31, 2024 and 2023,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2024 and December 31, 2023,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 RECEIVABLE FROM CPRIT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Grants receivable balances are zero at March 31, 2024 and December 31, 2023. During the three months ended March 31, 2024 and 2023, the Company received $ 0.1 million and $ 1.5 million from CPRIT, respectively. We recorded $0.1 million received during the current quarter as a reduction of bad debt expense. Since inception, the Company has received approximately $16.1 million under the grant. The grant was closed in 2023.</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2024 and December 31, 2023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2024</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2023</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468,495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178,068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151,268</w:t>
            </w:r>
          </w:p>
        </w:tc>
      </w:tr>
      <w:tr>
        <w:trPr>
          <w:trHeight w:val="248"/>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619,763</w:t>
            </w:r>
          </w:p>
        </w:tc>
      </w:tr>
      <w:tr>
        <w:trPr>
          <w:trHeight w:val="20"/>
        </w:trPr>
        <w:tc>
          <w:tcPr>
            <w:tcW w:w="736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Insurance is mainly comprised of prepaid directors' and officers' insurance. In July 2023, the Company financed its directors and officers' insurance premium with a short term note, the principal amount of which is approximately $0.6 million bearing interest at a rate of 7.87%. The note payable balance, which was included within Current Liabilities on the Condensed Consolidated Balance Sheet is $0.1 million at March 31, 2024.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up to $18.7 million, further modified to $16.1 million to fund development of LSD 1 inhibitor. The grant expired in 2023.</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month-to-month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6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 Issuances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three months ended March 31, 2023, the Company sold 142,499 shares of common stock in an "at the market offering" ("ATM") under the Purchase Agreement, as defined below with gross proceeds of $0.3 million. The Company did not sell any shares pursuant to the ATM during the three months ended March 31, 2024.</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11, 2023, the Company entered into a Securities Purchase Agreement (the “Purchase Agreement”) with an accredited investor (the “Investor”), pursuant to which the Company agreed to issue and sell to the Investor in a private placement (the “Offering”) (i) 330,000 shares (the “Shares”) of the Company’s common stock, par value $0.0001 per share (the “Common Stock”), (ii) pre-funded warrants (the “Pre-Funded Warrants”) to purchase up to 3,306,364 shares of Common Stock, (iii) Series A-1 warrants (the “Series A-1 Warrants”) to purchase up to 3,636,364 shares of Common Stock and (iv) Series A-2 warrants (the “Series A-2 Warrants”) and together with the Series A-1 Warrants, the “Common Stock Warrants,” and together with the Pre-Funded Warrants, the “Warrants”) to purchase up to 3,636,364 shares of Common Stock, at a purchase price of (a) $ 1.65 per Share and accompanying Common Stock Warrants and (b) $1.6499 per Pre-Funded Warrant and accompanying Common Stock Warrants. The aggregate gross proceeds from the Offering were approximately $6.0 million, exclusive of placement agent fees and expenses and other offering expenses. The Offering closed on May 16, 2023.</w:t>
      </w:r>
    </w:p>
    <w:p>
      <w:pPr>
        <w:spacing w:after="0" w:line="1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three months ended March 31, 2024, the Company issued 376,000 shares of its Common Stock upon the exercise of Pre-Funded Warrants.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Exercisable for Cash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five-year (5)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$ 29.55. The Company has five-and-one-half-year (5.5) year warrants outstanding that were issued in April 2022, with an exercise price of $8.4975 per share. The warrants became exercisable six months following the issuance date and will expire five and one-half years from the issuance date.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Series A-1 Warrants are exercisable for a period of five and one-half (5.5) years from the issuance date at an exercise price of $1.40 per share. Series A-2 Warrants are exercisable for a period of eighteen (18) months from the issuance date at an exercise price of $1.40 per share. Each Pre-Funded Warrant was sold in lieu</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shares of Common Stock, are exercisable immediately upon issuance, have an exercise price of $0.0001 per share and expire when exercised in full.</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above mentioned Offering, the Company issued warrants to its exclusive placement agency H.C Wainwright &amp; Co., LLC to purchase up to 254,454 shares of common stock at an exercise price per share of $2.0625 and a term of five and one-half (5.5) years.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2024 and 2023, approximately 10,468,785 (2,344,000 are Pre-Funded Warrants) and 597,512 warrants remain outstanding, respectively.</w:t>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2024, there were approximately 99,258 shares remaining available for grant awards under the 2015 Plan.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three-month periods ended March 31, 2024 and 2023, the Company awarded 148,500 </w:t>
      </w:r>
      <w:r>
        <w:rPr>
          <w:rFonts w:ascii="Times New Roman" w:cs="Times New Roman" w:eastAsia="Times New Roman" w:hAnsi="Times New Roman"/>
          <w:sz w:val="18"/>
          <w:szCs w:val="18"/>
          <w:color w:val="auto"/>
        </w:rPr>
        <w:t>and</w:t>
      </w:r>
      <w:r>
        <w:rPr>
          <w:rFonts w:ascii="Arial" w:cs="Arial" w:eastAsia="Arial" w:hAnsi="Arial"/>
          <w:sz w:val="18"/>
          <w:szCs w:val="18"/>
          <w:color w:val="auto"/>
        </w:rPr>
        <w:t xml:space="preserve"> 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the three - month period ended March 31, 2024 was $0.1 million, which has been estimated with the following assumptions on the grant date.</w:t>
      </w:r>
    </w:p>
    <w:p>
      <w:pPr>
        <w:spacing w:after="0" w:line="200" w:lineRule="exact"/>
        <w:rPr>
          <w:sz w:val="20"/>
          <w:szCs w:val="20"/>
          <w:color w:val="auto"/>
        </w:rPr>
      </w:pPr>
    </w:p>
    <w:p>
      <w:pPr>
        <w:spacing w:after="0" w:line="317" w:lineRule="exact"/>
        <w:rPr>
          <w:sz w:val="20"/>
          <w:szCs w:val="20"/>
          <w:color w:val="auto"/>
        </w:rPr>
      </w:pPr>
    </w:p>
    <w:tbl>
      <w:tblPr>
        <w:tblLayout w:type="fixed"/>
        <w:tblInd w:w="3200" w:type="dxa"/>
        <w:tblCellMar>
          <w:top w:w="0" w:type="dxa"/>
          <w:left w:w="0" w:type="dxa"/>
          <w:bottom w:w="0" w:type="dxa"/>
          <w:right w:w="0" w:type="dxa"/>
        </w:tblCellMar>
      </w:tblPr>
      <w:tr>
        <w:trPr>
          <w:trHeight w:val="207"/>
        </w:trPr>
        <w:tc>
          <w:tcPr>
            <w:tcW w:w="29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Three Months Ended</w:t>
            </w:r>
          </w:p>
        </w:tc>
      </w:tr>
      <w:tr>
        <w:trPr>
          <w:trHeight w:val="235"/>
        </w:trPr>
        <w:tc>
          <w:tcPr>
            <w:tcW w:w="29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March 31</w:t>
            </w:r>
          </w:p>
        </w:tc>
      </w:tr>
      <w:tr>
        <w:trPr>
          <w:trHeight w:val="230"/>
        </w:trPr>
        <w:tc>
          <w:tcPr>
            <w:tcW w:w="294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2024</w:t>
            </w:r>
          </w:p>
        </w:tc>
        <w:tc>
          <w:tcPr>
            <w:tcW w:w="140" w:type="dxa"/>
            <w:vAlign w:val="bottom"/>
            <w:shd w:val="clear" w:color="auto" w:fill="CCEEFF"/>
          </w:tcPr>
          <w:p>
            <w:pPr>
              <w:spacing w:after="0"/>
              <w:rPr>
                <w:sz w:val="19"/>
                <w:szCs w:val="19"/>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4.25%-4.27%</w:t>
            </w:r>
          </w:p>
        </w:tc>
        <w:tc>
          <w:tcPr>
            <w:tcW w:w="140" w:type="dxa"/>
            <w:vAlign w:val="bottom"/>
          </w:tcPr>
          <w:p>
            <w:pPr>
              <w:spacing w:after="0"/>
              <w:rPr>
                <w:sz w:val="19"/>
                <w:szCs w:val="19"/>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123.31%</w:t>
            </w:r>
          </w:p>
        </w:tc>
        <w:tc>
          <w:tcPr>
            <w:tcW w:w="140" w:type="dxa"/>
            <w:vAlign w:val="bottom"/>
            <w:shd w:val="clear" w:color="auto" w:fill="CCEEFF"/>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5.00-6.00</w:t>
            </w:r>
          </w:p>
        </w:tc>
        <w:tc>
          <w:tcPr>
            <w:tcW w:w="140" w:type="dxa"/>
            <w:vAlign w:val="bottom"/>
          </w:tcPr>
          <w:p>
            <w:pPr>
              <w:spacing w:after="0"/>
              <w:rPr>
                <w:sz w:val="19"/>
                <w:szCs w:val="19"/>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0" w:type="dxa"/>
            <w:vAlign w:val="bottom"/>
            <w:shd w:val="clear" w:color="auto" w:fill="CCEEFF"/>
          </w:tcPr>
          <w:p>
            <w:pPr>
              <w:spacing w:after="0"/>
              <w:rPr>
                <w:sz w:val="19"/>
                <w:szCs w:val="19"/>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2023, the Company awarded 12,220 restricted stock units to its employees and 36,640 restricted stock awards to its officers and directors, pursuant to the plan described above. Both the restricted stock units and restricted stock awards are valued at the closing price $1.57 of the Company's common stock on the grant date, and generally vest over one to four years. Total fair value of the restricted stock awards and restricted stock units awarded during the three - month period ended March 31, 2023 is $76,679.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2024 and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0" w:type="dxa"/>
            <w:vAlign w:val="bottom"/>
          </w:tcPr>
          <w:p>
            <w:pPr>
              <w:spacing w:after="0"/>
              <w:rPr>
                <w:sz w:val="1"/>
                <w:szCs w:val="1"/>
                <w:color w:val="auto"/>
              </w:rPr>
            </w:pPr>
          </w:p>
        </w:tc>
      </w:tr>
      <w:tr>
        <w:trPr>
          <w:trHeight w:val="181"/>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8"/>
              </w:rPr>
              <w:t>Weighted-</w:t>
            </w:r>
          </w:p>
        </w:tc>
        <w:tc>
          <w:tcPr>
            <w:tcW w:w="1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Remaining</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4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6"/>
                <w:szCs w:val="16"/>
                <w:color w:val="auto"/>
              </w:rPr>
            </w:pPr>
          </w:p>
        </w:tc>
        <w:tc>
          <w:tcPr>
            <w:tcW w:w="14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8"/>
              </w:rPr>
              <w:t>Average</w:t>
            </w: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rPr>
              <w:t>Exercise Price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23.67</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Outstanding at March 31, 2023</w:t>
            </w:r>
          </w:p>
        </w:tc>
        <w:tc>
          <w:tcPr>
            <w:tcW w:w="1420" w:type="dxa"/>
            <w:vAlign w:val="bottom"/>
          </w:tcPr>
          <w:p>
            <w:pPr>
              <w:jc w:val="right"/>
              <w:spacing w:after="0"/>
              <w:rPr>
                <w:sz w:val="20"/>
                <w:szCs w:val="20"/>
                <w:color w:val="auto"/>
              </w:rPr>
            </w:pPr>
            <w:r>
              <w:rPr>
                <w:rFonts w:ascii="Arial" w:cs="Arial" w:eastAsia="Arial" w:hAnsi="Arial"/>
                <w:sz w:val="18"/>
                <w:szCs w:val="18"/>
                <w:color w:val="auto"/>
              </w:rPr>
              <w:t>107,128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23.75</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28.30</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23.78</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148,500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0.57</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5,882</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Outstanding at March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231,922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30"/>
        </w:trPr>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7"/>
              </w:rPr>
              <w:t>2023:</w:t>
            </w:r>
          </w:p>
        </w:tc>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26.66</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112"/>
        </w:trPr>
        <w:tc>
          <w:tcPr>
            <w:tcW w:w="500" w:type="dxa"/>
            <w:vAlign w:val="bottom"/>
            <w:vMerge w:val="continue"/>
          </w:tcPr>
          <w:p>
            <w:pPr>
              <w:spacing w:after="0"/>
              <w:rPr>
                <w:sz w:val="9"/>
                <w:szCs w:val="9"/>
                <w:color w:val="auto"/>
              </w:rPr>
            </w:pPr>
          </w:p>
        </w:tc>
        <w:tc>
          <w:tcPr>
            <w:tcW w:w="4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and 2023, there was approximately $0.3 million and $0.7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1.25 years.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9, 2024, the Company held a Special Meeting of Stockholders (the “Special Meeting”). At the Special Meeting, the Company’s stockholders approved an amendment to the Company’s Certificate of Incorporation to effect a reverse stock split of the Company’s outstanding shares of common stock at a ratio in the range of 1:4 to 1:8,. as determined by the Company’s Board of Directors, and with such reverse stock split to be effected at such time and date, if at all, as determined by the Company's Board of Directors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2023, filed with the SEC on March 22, 2024, as amended on April 22, 2024.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2023,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3, 2024 we announced that the hematologic cancer Phase 1/2 clinical trial being conducted at MD Anderson Cancer Center (MDACC) is listed as active and recruiting on clinical trials.gov – trial NCT04734990. We also announced that an additional Ewing sarcoma patient treated with seclidemstat, topotecan and cyclophosphamide (TC) had achieved a partial response as demonstrated by at least a 30% decrease in the sum of diameters of the patient’s target lesions, bringing the objective response rate (ORR) in Ewing sarcoma first-relapse patients to 60%, with a 60% disease control rate (DCR).</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January 5, 2024 we announced the issuance of U.S. Patent No. 11,535,603, which covers our novel cereblon-binding protein degrader, SP-3204. SP-3204 is a GSPT1 protein degrader and has potential in hematological cancers.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January 16, 2024, we announced the expansion of our intellectual property portfolio with composition-of-matter protection into 2039 for our novel molecular glue. Our protein degrader patent portfolio now includes seventeen issued patents across six patent families.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22, 2024, our Board of Directors implemented a series of additional cost-savings measures designed to extend our expected cash runway into the first half of 2025. These measures are intended to allow us to support the generation of additional clinical data for seclidemstat in the ongoing MDACC investigator-initiated Phase 1/2 clinical trial in hematologic cancers and Salarius’ Phase 1/2 trial in Ewing sarcoma.</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cost-savings measures, David Arthur, the Company’s President and Chief Executive Officer, ended his full-time employment and transitioned to a part-time consultant role, effective February 20, 2024. He will continue to serve as Chief Executive Officer and support our ongoing activities. The cost-savings measures also included reducing operating expenses and reducing the cash compensation payable to our non-employee directors beginning in the second quarter of 2024.</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May 9, 2024, the Company held a Special Meeting of Stockholders (the “Special Meeting”). At the Special Meeting, the Company’s stockholders approved an amendment to the Company’s Certificate of Incorporation to effect a reverse stock split of the Company’s outstanding shares of common stock at a ratio in the range of 1:4 to 1:8,. as determined by the Company’s Board of Directors, and with such reverse stock split to be effected at such time and date, if at all, as determined by the Company's Board of Directors in its sole discretion.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clinical-stage biopharmaceutical company focused on developing effective treatments for parties with cancer with high, unmet medical need. Specifically, we are concentrated on developing treatments for cancers caused by dysregulated gene expression, i.e., genes which are incorrectly turned on or off. We have two classes of drugs that address gene dysregulation: targeted protein inhibitors and targeted protein degraders. Our technologies have the potential to work in both liquid and solid tumors. Our current pipeline consists of two small molecule drugs: 1) SP-3164, targeted protein degrader, and 2) seclidemstat (SP-2577), a targeted inhibitor. The Company is located in Houston, Texas.</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$78.1 million as of March 31, 2024. Substantially all of our operating losses resulted from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expenses incurred in connection with our research and development programs and from general and administrative costs associated with our operations. As of March 31, 2024, we had cash and cash equivalents of $4.4 million.</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believe that there is presently insufficient funding available to allow us to continue our current and planned clinical programs for a period exceeding 12 months from the date of this filing with the SEC.</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operation and clinical development activities and will need such additional capital within the next several months to continue to fund our operations beyond the first half of 2025. The amount and timing of our future funding requirements will depend on many factors, including the results of our evaluation of strategic alternatives, the pace and results of our clinical development, regulatory activities, and market conditions. Failure to raise capital as and when needed, on favorable terms or at all, would have a material negative impact on our financial condition and our ability to continue our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attempt obtain additional capital through the sale of equity securities in one or more offerings or through issuances of debt instruments, which will likely cause significant dilution to our existing shareholders.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Although we are currently exploring various strategic alternatives, these strategic alternatives may not be successful in the next several</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months prior to our cash position getting to the point that we will need to pursue the winding down and dissolution of the Company. If we do not raise capital or successfully engage a strategic partner in the next several months, we will be forced to cease operations, liquidate our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assets and possibly seek bankruptcy protection or engage in a similar process.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Development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goal is to develop SP-3164 and SP-2577 for treatment of cancers; however, due to limited financial and operational resources our Board of Directors continues to explore strategic alternatives to maximize return for investors, which includes selling or out licensing SP-3164 and/or SP-2577 to a third party. We have significantly reduced costs in both programs. For SP-2577, we plan to evaluate information from the investigator-initiated trial at MDACC and that data to augment our ongoing work in seeking strategic alternatives.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 Targeted Protein Degradation</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plan has been to develop SP-3164 in high unmet need hematological indications and solid tumors. Our goal was to file an IND application with the U.S. Food and Drug Administration for SP-3164 in the first half of 2023, and begin a Phase 1/2 clinical trial in the second half of 2023, however the lack of funding required us to curtail spending necessary to begin the clinical trial program.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SP-2577 in Ewing Sarcoma Patients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Ewing sarcoma is a devastating pediatric and young adult cancer for which there are no approved targeted therapies. The cause of Ewing sarcoma is a chromosomal translocation involving the Ewing sarcoma breakpoint region 1 (EWSR1) gene and ETS family genes, resulting in expression of a fusion oncoprotein. The resulting oncoprotein has been found to co-localize with LSD1 throughout the genome, making LSD1 an attractive therapeutic target for Ewing sarcoma. Based on data from the National Institute of Health (NIH) and physician collaborators, we believe there are approximately 500 Ewing sarcoma patients diagnosed annually in the United States. Current treatment for Ewing sarcoma consists of an intensive chemotherapy regime, radiation and often disfiguring surgeries. Due to the harshness of current treatment options, children and adolescents often experience long-term side effects such as slowed growth and development, learning problems and an increased risk of developing second cancers. According to published literature, including “Management of recurrent Ewing sarcoma: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challenges and approaches” by David Van Mater and Lars Wagner, patients with overt metastasis (20-30% of patients) or recurrent disease (~20%) have poor prognosis, with less than a 30% chance of experiencing disease-free survival, and there is currently not a standardized treatment available for recurrent Ewing sarcoma. These are the patients that we aim to help.</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SP-2577 Market by Pursuing Large Market Indications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LSD1 can interact with over 60 regulatory proteins other than FET-fusion oncoproteins, we believe that LSD1 may also play a critical role in progression of various other cancer types.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solid tumors, SP-2577 has shown promising preclinical activity in hematologic cancers. In 2021 we announced the initiation of an MD Anderson Cancer Center sponsored Investigator Initiated Trial studying SP-2577 in combination with azacitidine for the treatment of patients with myelodysplastic syndromes (MDS) or chronic myelomonocytic leukemia (CMML). Myelodysplastic syndromes can progress into Acute Myeloid Leukemia (AML) and data from our ongoing trial could inform development of SP-2577 in hematologic cancers (also referred to as liquid tumors or blood cancer), including AML. The American Cancer Society estimates there were almost 20,000 new cases of AML in the US alone in 2020. MDACC is currently active and enrolling new patients in this investigator initiated clinical trial. We plan to evaluate information from the MDACC trial related to hematological cancers and use that data to augment our ongoing work regarding the consideration of strategic alternatives.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2024 Compared to the Three months ended March 31, 2023</w:t>
      </w:r>
    </w:p>
    <w:p>
      <w:pPr>
        <w:spacing w:after="0" w:line="21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2024 compared to March 31, 2023.</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92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1"/>
                <w:szCs w:val="21"/>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53"/>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243,002</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3,725,588</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(3,482,586)</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1,528,613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1,695,075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(166,462)</w:t>
            </w:r>
          </w:p>
        </w:tc>
      </w:tr>
      <w:tr>
        <w:trPr>
          <w:trHeight w:val="235"/>
        </w:trPr>
        <w:tc>
          <w:tcPr>
            <w:tcW w:w="3740" w:type="dxa"/>
            <w:vAlign w:val="bottom"/>
          </w:tcPr>
          <w:p>
            <w:pPr>
              <w:spacing w:after="0"/>
              <w:rPr>
                <w:sz w:val="20"/>
                <w:szCs w:val="20"/>
                <w:color w:val="auto"/>
              </w:rPr>
            </w:pPr>
            <w:r>
              <w:rPr>
                <w:rFonts w:ascii="Arial" w:cs="Arial" w:eastAsia="Arial" w:hAnsi="Arial"/>
                <w:sz w:val="18"/>
                <w:szCs w:val="18"/>
                <w:color w:val="auto"/>
              </w:rPr>
              <w:t>Interest income, net and other</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56,325</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(23,565)</w:t>
            </w:r>
          </w:p>
        </w:tc>
      </w:tr>
      <w:tr>
        <w:trPr>
          <w:trHeight w:val="223"/>
        </w:trPr>
        <w:tc>
          <w:tcPr>
            <w:tcW w:w="3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(1,715,290)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(5,340,773)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3,625,483</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decreased during the three months ended March 31, 2024 compared to the same period in 2023</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primarily related to the cost-savings plan including significant reductions in operating personnel implemented beginning during the third quarter of 2023.</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gridSpan w:val="4"/>
          </w:tcPr>
          <w:p>
            <w:pPr>
              <w:spacing w:after="0"/>
              <w:rPr>
                <w:sz w:val="20"/>
                <w:szCs w:val="20"/>
                <w:color w:val="auto"/>
              </w:rPr>
            </w:pPr>
            <w:r>
              <w:rPr>
                <w:rFonts w:ascii="Arial" w:cs="Arial" w:eastAsia="Arial" w:hAnsi="Arial"/>
                <w:sz w:val="18"/>
                <w:szCs w:val="18"/>
                <w:b w:val="1"/>
                <w:bCs w:val="1"/>
                <w:color w:val="auto"/>
                <w:w w:val="99"/>
              </w:rPr>
              <w:t>SP-2577</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4"/>
          </w:tcPr>
          <w:p>
            <w:pPr>
              <w:spacing w:after="0"/>
              <w:rPr>
                <w:sz w:val="20"/>
                <w:szCs w:val="20"/>
                <w:color w:val="auto"/>
              </w:rPr>
            </w:pPr>
            <w:r>
              <w:rPr>
                <w:rFonts w:ascii="Arial" w:cs="Arial" w:eastAsia="Arial" w:hAnsi="Arial"/>
                <w:sz w:val="18"/>
                <w:szCs w:val="18"/>
                <w:b w:val="1"/>
                <w:bCs w:val="1"/>
                <w:color w:val="auto"/>
              </w:rPr>
              <w:t>SP-3164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360" w:type="dxa"/>
            <w:vAlign w:val="bottom"/>
          </w:tcPr>
          <w:p>
            <w:pPr>
              <w:spacing w:after="0"/>
              <w:rPr>
                <w:sz w:val="20"/>
                <w:szCs w:val="20"/>
                <w:color w:val="auto"/>
              </w:rPr>
            </w:pPr>
            <w:r>
              <w:rPr>
                <w:rFonts w:ascii="Arial" w:cs="Arial" w:eastAsia="Arial" w:hAnsi="Arial"/>
                <w:sz w:val="18"/>
                <w:szCs w:val="18"/>
                <w:b w:val="1"/>
                <w:bCs w:val="1"/>
                <w:color w:val="auto"/>
              </w:rPr>
              <w:t>Research and development costs by candidates</w:t>
            </w:r>
          </w:p>
        </w:tc>
        <w:tc>
          <w:tcPr>
            <w:tcW w:w="300" w:type="dxa"/>
            <w:vAlign w:val="bottom"/>
          </w:tcPr>
          <w:p>
            <w:pPr>
              <w:spacing w:after="0"/>
              <w:rPr>
                <w:sz w:val="24"/>
                <w:szCs w:val="24"/>
                <w:color w:val="auto"/>
              </w:rPr>
            </w:pPr>
          </w:p>
        </w:tc>
        <w:tc>
          <w:tcPr>
            <w:tcW w:w="7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b w:val="1"/>
                <w:bCs w:val="1"/>
                <w:color w:val="auto"/>
              </w:rPr>
              <w:t>and by categories:</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140,846</w:t>
            </w:r>
          </w:p>
        </w:tc>
        <w:tc>
          <w:tcPr>
            <w:tcW w:w="20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712,825</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36,537</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1,770,124</w:t>
            </w: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Employee-related costs</w:t>
            </w:r>
          </w:p>
        </w:tc>
        <w:tc>
          <w:tcPr>
            <w:tcW w:w="300" w:type="dxa"/>
            <w:vAlign w:val="bottom"/>
          </w:tcPr>
          <w:p>
            <w:pPr>
              <w:spacing w:after="0"/>
              <w:rPr>
                <w:sz w:val="19"/>
                <w:szCs w:val="19"/>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540,376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50,974</w:t>
            </w: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15,270</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90,822</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50,349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560,467</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156,116</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1,344,023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86,886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2,381,565</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 and administrative expenses were $1.5 million during the three months ended March 31, 2024, compared to $1.7 million for the three months ended March 31, 2023. The decrease is related to cost savings plan activities since the third quarter of 2023 including lower personnel cost and a one time reduction of bad debt expense, offset by contracture separation costs of $0.5 million incurred and paid during the period paid in connection with our Company’s President and Chief Executive Officer, ending his full-time employment and transitioning to a part-time consultant role, effective February 20, 2024. There were zero separation costs during the first quarter of 2023.</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In August 2023, we commenced a process to explore and evaluate strategic alternatives to enhance shareholder value, which could result in a fundamental transaction as defined by the warrant agreement. The terms of the outstanding warrants require us, upon the consummation of any fundamental transaction to, among other obligations, cause any successor entity resulting from the fundamental transaction to assume our obligations under the warrants and the associated transaction documents. In addition, holders of warrants are entitled to participate in any fundamental transaction on an as-converted or as-exercised basis, which could result in the holders of our common stock receiving a lesser portion of the consideration from a fundamental transaction. The terms of the warrants could also impede our ability to enter into certain transactions or obtain additional financing in the future. In conjunction with our exploration of strategic alternatives, we are exploring opportunities to extend our resources.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2024, we had $3.6 million of working capital and our cash and cash equivalents totaled $4.4 million, which were held in bank deposit accounts and a money market account. Our cash and cash equivalents balance decreased during the three months ended March 31, 2024, primarily due to cash used in operating activities and financing activities. As recently announced, our cost savings plan extends our expected cash runway with a goal to provide us time to evaluate and implement strategic alternatives. We believe that our $4.4 million in cash and cash equivalents on hand as of March 31, 2024, is sufficient to fund our current and restructured operations into the first half of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To provide the maximum degree of financial flexibility, and subject to our exploration of strategic alternatives, we may consider various</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potential opportunities to fund future operations and/or modulate liquidity needs, including: (i) seeking various strategic transactions, including a merger, licensing arrangement or sale that provide funding for our programs; (ii) entering into one or more collaborations to offset costs; (iii)</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reducing our expenditures on all business activities and/or restructuring our operations and reducing staff. If we are unable to execute on these activities, we may be forced to evaluate additional alternatives including a wind down of our operations.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 our product candidate. At the same time, in connection with our exploration of strategic alternatives, we expect to continue to incur significant expenses and expect that our operating losses may fluctuate significantly from quarter-to-quarter and year-to-year.</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discontinue the development or commercialization of our product candidate. Furthermore, we may be unable to complete a collaboration, or if we do, we may be forced to relinquish valuable future product rights.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are currently exploring various strategic alternatives, these strategic alternatives may not be successful in the next several months prior to our cash position getting to the point that we will need to pursue the winding down and dissolution of the Company. If we do not raise capital or successfully engage a strategic partner in the next several months, we will be forced to cease operations, liquidate our assets and possibly seek bankruptcy protection or engage in a similar process.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4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2023</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400" w:type="dxa"/>
            <w:vAlign w:val="bottom"/>
            <w:shd w:val="clear" w:color="auto" w:fill="CCEEFF"/>
          </w:tcPr>
          <w:p>
            <w:pPr>
              <w:jc w:val="center"/>
              <w:ind w:right="449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(1,353,955)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(3,169,435)</w:t>
            </w:r>
          </w:p>
        </w:tc>
      </w:tr>
      <w:tr>
        <w:trPr>
          <w:trHeight w:val="230"/>
        </w:trPr>
        <w:tc>
          <w:tcPr>
            <w:tcW w:w="6400" w:type="dxa"/>
            <w:vAlign w:val="bottom"/>
            <w:tcBorders>
              <w:bottom w:val="single" w:sz="8" w:color="CCEEFF"/>
            </w:tcBorders>
          </w:tcPr>
          <w:p>
            <w:pPr>
              <w:jc w:val="center"/>
              <w:ind w:right="4430"/>
              <w:spacing w:after="0"/>
              <w:rPr>
                <w:sz w:val="20"/>
                <w:szCs w:val="20"/>
                <w:color w:val="auto"/>
              </w:rPr>
            </w:pPr>
            <w:r>
              <w:rPr>
                <w:rFonts w:ascii="Arial" w:cs="Arial" w:eastAsia="Arial" w:hAnsi="Arial"/>
                <w:sz w:val="18"/>
                <w:szCs w:val="18"/>
                <w:color w:val="auto"/>
                <w:w w:val="99"/>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(172,750)</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336,682</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(1,526,705)</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(2,832,753)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 was $1.4 million in the current period, a decrease of approximately $1.8 million from the same period 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year ago. The decrease is primarily due to significantly reduced operating expenses during the current quarter compared to the same period last year.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by financing activities for the three months ended March 31, 2024 was $0.2 million, mainly resulting from the repayments on notes payable for D&amp;O insurance. Net cash provided by financing activities for the three months ended March 31, 2023 was $0.3 million, resulting from the Company's sale of common shares under its ATM offering. Please refer to Notes 4 and 7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3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22, 2024, as amended on April 22, 2024.</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Readers should refer to our Annual Report on Form 10-K, Note 2, Basis of Presentation and Significant Accounting Policies to the accompanying financial statements for descriptions of these policies and estimates.</w:t>
      </w: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2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Exchange Act, as of March 31, 2024.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2024, our principal executive officer and principal financial officer concluded that, as of such date,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there was no significant change in our internal control over financial reporting that has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46"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35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3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12529"/>
        </w:rPr>
        <w:t>There have been no material changes in our risk factors set forth in Part I, “ Item 1A. Risk Factors” in our 2023 Form 10-K. The risk factors disclosed in Part I, “ Item 1A. Risk Factors” in our 2023 Form 10-K could materially adversely affect our business, financial condition, or results of operations. This Quarterly Report on Form 10-Q also contains forward-looking statements that involve risks and uncertainties. Our actual results could differ materially from those anticipated in these forward-looking statements as a result of certain factors, including these risks. Additional risks not currently known or currently material to us may also harm our business.</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212529"/>
        </w:rPr>
        <w:t>No sales or issuances of unregistered securities occurred that have not previously been disclosed in a Current Report on Form 8-K.</w:t>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212529"/>
        </w:rPr>
        <w:t>None.</w:t>
      </w:r>
    </w:p>
    <w:p>
      <w:pPr>
        <w:spacing w:after="0" w:line="27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212529"/>
        </w:rPr>
        <w:t>Not Applicable</w:t>
      </w:r>
    </w:p>
    <w:p>
      <w:pPr>
        <w:spacing w:after="0" w:line="27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12529"/>
        </w:rPr>
        <w:t>Salarius Pharmaceuticals, Inc. (the “Company”) held a Special Meeting of Stockholders on May 9, 2024 via live webcast (the “Special Meeting”). On March 12, 2024, the record date for the Special Meeting, there were 4,314,433 shares of common stock of the Company (the “Common Stock”) issued and outstanding and entitled to vote on the proposals presented at the Special Meeting, of which 2,535,543, or 58.77%, were present in person or voted by proxy, which constituted a quorum. The holders of shares of the Company’s Common Stock are entitled to one vote for each share held and cumulative voting is not permitted. The final results of the voting for each matter submitted to a vote of stockholders at the Special Meeting are set forth below:</w:t>
      </w:r>
    </w:p>
    <w:p>
      <w:pPr>
        <w:sectPr>
          <w:pgSz w:w="11900" w:h="16838" w:orient="portrait"/>
          <w:cols w:equalWidth="0" w:num="1">
            <w:col w:w="11240"/>
          </w:cols>
          <w:pgMar w:left="320" w:top="2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No. 1. Reverse Stock Split Proposal</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stockholders approved an amendment to the Company’s Certificate of Incorporation, as amended, to effect a reverse stock split of the Company’s Common Stock at a ratio in the range of 1:4 to 1:8, as determined by the Company’s Board of Directors, (the “Board”), and with such reverse stock split to be effected at such time and date, if at all, as determined by the Board in its sole discretion (the “Reverse Stock Split Proposal”). The voting on this proposal is set forth below:</w:t>
      </w:r>
    </w:p>
    <w:p>
      <w:pPr>
        <w:spacing w:after="0" w:line="282" w:lineRule="exact"/>
        <w:rPr>
          <w:sz w:val="20"/>
          <w:szCs w:val="20"/>
          <w:color w:val="auto"/>
        </w:rPr>
      </w:pPr>
    </w:p>
    <w:tbl>
      <w:tblPr>
        <w:tblLayout w:type="fixed"/>
        <w:tblInd w:w="1820" w:type="dxa"/>
        <w:tblCellMar>
          <w:top w:w="0" w:type="dxa"/>
          <w:left w:w="0" w:type="dxa"/>
          <w:bottom w:w="0" w:type="dxa"/>
          <w:right w:w="0" w:type="dxa"/>
        </w:tblCellMar>
      </w:tblPr>
      <w:tr>
        <w:trPr>
          <w:trHeight w:val="255"/>
        </w:trPr>
        <w:tc>
          <w:tcPr>
            <w:tcW w:w="3040" w:type="dxa"/>
            <w:vAlign w:val="bottom"/>
          </w:tcPr>
          <w:p>
            <w:pPr>
              <w:spacing w:after="0"/>
              <w:rPr>
                <w:sz w:val="20"/>
                <w:szCs w:val="20"/>
                <w:color w:val="auto"/>
              </w:rPr>
            </w:pPr>
            <w:r>
              <w:rPr>
                <w:rFonts w:ascii="Arial" w:cs="Arial" w:eastAsia="Arial" w:hAnsi="Arial"/>
                <w:sz w:val="18"/>
                <w:szCs w:val="18"/>
                <w:b w:val="1"/>
                <w:bCs w:val="1"/>
                <w:color w:val="auto"/>
              </w:rPr>
              <w:t>Vote type</w:t>
            </w:r>
          </w:p>
        </w:tc>
        <w:tc>
          <w:tcPr>
            <w:tcW w:w="4580" w:type="dxa"/>
            <w:vAlign w:val="bottom"/>
            <w:gridSpan w:val="2"/>
          </w:tcPr>
          <w:p>
            <w:pPr>
              <w:ind w:left="980"/>
              <w:spacing w:after="0"/>
              <w:rPr>
                <w:sz w:val="20"/>
                <w:szCs w:val="20"/>
                <w:color w:val="auto"/>
              </w:rPr>
            </w:pPr>
            <w:r>
              <w:rPr>
                <w:rFonts w:ascii="Arial" w:cs="Arial" w:eastAsia="Arial" w:hAnsi="Arial"/>
                <w:sz w:val="18"/>
                <w:szCs w:val="18"/>
                <w:b w:val="1"/>
                <w:bCs w:val="1"/>
                <w:color w:val="auto"/>
              </w:rPr>
              <w:t>Vote Results</w:t>
            </w:r>
          </w:p>
        </w:tc>
      </w:tr>
      <w:tr>
        <w:trPr>
          <w:trHeight w:val="25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t>
            </w:r>
          </w:p>
        </w:tc>
        <w:tc>
          <w:tcPr>
            <w:tcW w:w="3060" w:type="dxa"/>
            <w:vAlign w:val="bottom"/>
            <w:tcBorders>
              <w:top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rPr>
              <w:t>2,014,325</w:t>
            </w:r>
          </w:p>
        </w:tc>
        <w:tc>
          <w:tcPr>
            <w:tcW w:w="1520" w:type="dxa"/>
            <w:vAlign w:val="bottom"/>
            <w:tcBorders>
              <w:top w:val="single" w:sz="8" w:color="CCEEFF"/>
            </w:tcBorders>
            <w:shd w:val="clear" w:color="auto" w:fill="CCEEFF"/>
          </w:tcPr>
          <w:p>
            <w:pPr>
              <w:spacing w:after="0"/>
              <w:rPr>
                <w:sz w:val="22"/>
                <w:szCs w:val="22"/>
                <w:color w:val="auto"/>
              </w:rPr>
            </w:pPr>
          </w:p>
        </w:tc>
      </w:tr>
      <w:tr>
        <w:trPr>
          <w:trHeight w:val="248"/>
        </w:trPr>
        <w:tc>
          <w:tcPr>
            <w:tcW w:w="3040" w:type="dxa"/>
            <w:vAlign w:val="bottom"/>
          </w:tcPr>
          <w:p>
            <w:pPr>
              <w:spacing w:after="0"/>
              <w:rPr>
                <w:sz w:val="20"/>
                <w:szCs w:val="20"/>
                <w:color w:val="auto"/>
              </w:rPr>
            </w:pPr>
            <w:r>
              <w:rPr>
                <w:rFonts w:ascii="Arial" w:cs="Arial" w:eastAsia="Arial" w:hAnsi="Arial"/>
                <w:sz w:val="18"/>
                <w:szCs w:val="18"/>
                <w:color w:val="auto"/>
              </w:rPr>
              <w:t>Against</w:t>
            </w:r>
          </w:p>
        </w:tc>
        <w:tc>
          <w:tcPr>
            <w:tcW w:w="3060" w:type="dxa"/>
            <w:vAlign w:val="bottom"/>
          </w:tcPr>
          <w:p>
            <w:pPr>
              <w:jc w:val="right"/>
              <w:ind w:right="1470"/>
              <w:spacing w:after="0"/>
              <w:rPr>
                <w:sz w:val="20"/>
                <w:szCs w:val="20"/>
                <w:color w:val="auto"/>
              </w:rPr>
            </w:pPr>
            <w:r>
              <w:rPr>
                <w:rFonts w:ascii="Arial" w:cs="Arial" w:eastAsia="Arial" w:hAnsi="Arial"/>
                <w:sz w:val="18"/>
                <w:szCs w:val="18"/>
                <w:color w:val="auto"/>
              </w:rPr>
              <w:t>510,832</w:t>
            </w:r>
          </w:p>
        </w:tc>
        <w:tc>
          <w:tcPr>
            <w:tcW w:w="1520" w:type="dxa"/>
            <w:vAlign w:val="bottom"/>
          </w:tcPr>
          <w:p>
            <w:pPr>
              <w:spacing w:after="0"/>
              <w:rPr>
                <w:sz w:val="21"/>
                <w:szCs w:val="21"/>
                <w:color w:val="auto"/>
              </w:rPr>
            </w:pPr>
          </w:p>
        </w:tc>
      </w:tr>
      <w:tr>
        <w:trPr>
          <w:trHeight w:val="265"/>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0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10,385</w:t>
            </w:r>
          </w:p>
        </w:tc>
        <w:tc>
          <w:tcPr>
            <w:tcW w:w="1520" w:type="dxa"/>
            <w:vAlign w:val="bottom"/>
            <w:shd w:val="clear" w:color="auto" w:fill="CCEEFF"/>
          </w:tcPr>
          <w:p>
            <w:pPr>
              <w:spacing w:after="0"/>
              <w:rPr>
                <w:sz w:val="23"/>
                <w:szCs w:val="23"/>
                <w:color w:val="auto"/>
              </w:rPr>
            </w:pPr>
          </w:p>
        </w:tc>
      </w:tr>
      <w:tr>
        <w:trPr>
          <w:trHeight w:val="239"/>
        </w:trPr>
        <w:tc>
          <w:tcPr>
            <w:tcW w:w="3040" w:type="dxa"/>
            <w:vAlign w:val="bottom"/>
          </w:tcPr>
          <w:p>
            <w:pPr>
              <w:spacing w:after="0"/>
              <w:rPr>
                <w:sz w:val="20"/>
                <w:szCs w:val="20"/>
                <w:color w:val="auto"/>
              </w:rPr>
            </w:pPr>
            <w:r>
              <w:rPr>
                <w:rFonts w:ascii="Arial" w:cs="Arial" w:eastAsia="Arial" w:hAnsi="Arial"/>
                <w:sz w:val="18"/>
                <w:szCs w:val="18"/>
                <w:color w:val="auto"/>
              </w:rPr>
              <w:t>Non Votes</w:t>
            </w:r>
          </w:p>
        </w:tc>
        <w:tc>
          <w:tcPr>
            <w:tcW w:w="3060" w:type="dxa"/>
            <w:vAlign w:val="bottom"/>
          </w:tcPr>
          <w:p>
            <w:pPr>
              <w:jc w:val="right"/>
              <w:ind w:right="1470"/>
              <w:spacing w:after="0"/>
              <w:rPr>
                <w:sz w:val="20"/>
                <w:szCs w:val="20"/>
                <w:color w:val="auto"/>
              </w:rPr>
            </w:pPr>
            <w:r>
              <w:rPr>
                <w:rFonts w:ascii="Arial" w:cs="Arial" w:eastAsia="Arial" w:hAnsi="Arial"/>
                <w:sz w:val="18"/>
                <w:szCs w:val="18"/>
                <w:color w:val="auto"/>
              </w:rPr>
              <w:t>0</w:t>
            </w:r>
          </w:p>
        </w:tc>
        <w:tc>
          <w:tcPr>
            <w:tcW w:w="1520" w:type="dxa"/>
            <w:vAlign w:val="bottom"/>
          </w:tcPr>
          <w:p>
            <w:pPr>
              <w:spacing w:after="0"/>
              <w:rPr>
                <w:sz w:val="20"/>
                <w:szCs w:val="20"/>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No. 2. Adjournment Proposal</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stockholders approved the adjournment of the Special Meeting, if necessary, if a quorum is present, to solicit additional proxies if there are not sufficient votes to approve the Reverse Stock Split Proposal. The voting on this proposal is set forth below:</w:t>
      </w:r>
    </w:p>
    <w:p>
      <w:pPr>
        <w:spacing w:after="0" w:line="200" w:lineRule="exact"/>
        <w:rPr>
          <w:sz w:val="20"/>
          <w:szCs w:val="20"/>
          <w:color w:val="auto"/>
        </w:rPr>
      </w:pPr>
    </w:p>
    <w:p>
      <w:pPr>
        <w:spacing w:after="0" w:line="290" w:lineRule="exact"/>
        <w:rPr>
          <w:sz w:val="20"/>
          <w:szCs w:val="20"/>
          <w:color w:val="auto"/>
        </w:rPr>
      </w:pPr>
    </w:p>
    <w:tbl>
      <w:tblPr>
        <w:tblLayout w:type="fixed"/>
        <w:tblInd w:w="1820" w:type="dxa"/>
        <w:tblCellMar>
          <w:top w:w="0" w:type="dxa"/>
          <w:left w:w="0" w:type="dxa"/>
          <w:bottom w:w="0" w:type="dxa"/>
          <w:right w:w="0" w:type="dxa"/>
        </w:tblCellMar>
      </w:tblPr>
      <w:tr>
        <w:trPr>
          <w:trHeight w:val="255"/>
        </w:trPr>
        <w:tc>
          <w:tcPr>
            <w:tcW w:w="3040" w:type="dxa"/>
            <w:vAlign w:val="bottom"/>
          </w:tcPr>
          <w:p>
            <w:pPr>
              <w:spacing w:after="0"/>
              <w:rPr>
                <w:sz w:val="20"/>
                <w:szCs w:val="20"/>
                <w:color w:val="auto"/>
              </w:rPr>
            </w:pPr>
            <w:r>
              <w:rPr>
                <w:rFonts w:ascii="Arial" w:cs="Arial" w:eastAsia="Arial" w:hAnsi="Arial"/>
                <w:sz w:val="18"/>
                <w:szCs w:val="18"/>
                <w:b w:val="1"/>
                <w:bCs w:val="1"/>
                <w:color w:val="auto"/>
              </w:rPr>
              <w:t>Vote type</w:t>
            </w:r>
          </w:p>
        </w:tc>
        <w:tc>
          <w:tcPr>
            <w:tcW w:w="4580" w:type="dxa"/>
            <w:vAlign w:val="bottom"/>
            <w:gridSpan w:val="2"/>
          </w:tcPr>
          <w:p>
            <w:pPr>
              <w:ind w:left="980"/>
              <w:spacing w:after="0"/>
              <w:rPr>
                <w:sz w:val="20"/>
                <w:szCs w:val="20"/>
                <w:color w:val="auto"/>
              </w:rPr>
            </w:pPr>
            <w:r>
              <w:rPr>
                <w:rFonts w:ascii="Arial" w:cs="Arial" w:eastAsia="Arial" w:hAnsi="Arial"/>
                <w:sz w:val="18"/>
                <w:szCs w:val="18"/>
                <w:b w:val="1"/>
                <w:bCs w:val="1"/>
                <w:color w:val="auto"/>
              </w:rPr>
              <w:t>Vote Results</w:t>
            </w:r>
          </w:p>
        </w:tc>
      </w:tr>
      <w:tr>
        <w:trPr>
          <w:trHeight w:val="257"/>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w:t>
            </w:r>
          </w:p>
        </w:tc>
        <w:tc>
          <w:tcPr>
            <w:tcW w:w="3060" w:type="dxa"/>
            <w:vAlign w:val="bottom"/>
            <w:tcBorders>
              <w:top w:val="single" w:sz="8" w:color="auto"/>
            </w:tcBorders>
            <w:shd w:val="clear" w:color="auto" w:fill="CCEEFF"/>
          </w:tcPr>
          <w:p>
            <w:pPr>
              <w:jc w:val="right"/>
              <w:ind w:right="1470"/>
              <w:spacing w:after="0"/>
              <w:rPr>
                <w:sz w:val="20"/>
                <w:szCs w:val="20"/>
                <w:color w:val="auto"/>
              </w:rPr>
            </w:pPr>
            <w:r>
              <w:rPr>
                <w:rFonts w:ascii="Arial" w:cs="Arial" w:eastAsia="Arial" w:hAnsi="Arial"/>
                <w:sz w:val="18"/>
                <w:szCs w:val="18"/>
                <w:color w:val="auto"/>
              </w:rPr>
              <w:t>2,182,297</w:t>
            </w:r>
          </w:p>
        </w:tc>
        <w:tc>
          <w:tcPr>
            <w:tcW w:w="1520" w:type="dxa"/>
            <w:vAlign w:val="bottom"/>
            <w:tcBorders>
              <w:top w:val="single" w:sz="8" w:color="CCEEFF"/>
            </w:tcBorders>
            <w:shd w:val="clear" w:color="auto" w:fill="CCEEFF"/>
          </w:tcPr>
          <w:p>
            <w:pPr>
              <w:spacing w:after="0"/>
              <w:rPr>
                <w:sz w:val="22"/>
                <w:szCs w:val="22"/>
                <w:color w:val="auto"/>
              </w:rPr>
            </w:pPr>
          </w:p>
        </w:tc>
      </w:tr>
      <w:tr>
        <w:trPr>
          <w:trHeight w:val="248"/>
        </w:trPr>
        <w:tc>
          <w:tcPr>
            <w:tcW w:w="3040" w:type="dxa"/>
            <w:vAlign w:val="bottom"/>
          </w:tcPr>
          <w:p>
            <w:pPr>
              <w:spacing w:after="0"/>
              <w:rPr>
                <w:sz w:val="20"/>
                <w:szCs w:val="20"/>
                <w:color w:val="auto"/>
              </w:rPr>
            </w:pPr>
            <w:r>
              <w:rPr>
                <w:rFonts w:ascii="Arial" w:cs="Arial" w:eastAsia="Arial" w:hAnsi="Arial"/>
                <w:sz w:val="18"/>
                <w:szCs w:val="18"/>
                <w:color w:val="auto"/>
              </w:rPr>
              <w:t>Against</w:t>
            </w:r>
          </w:p>
        </w:tc>
        <w:tc>
          <w:tcPr>
            <w:tcW w:w="3060" w:type="dxa"/>
            <w:vAlign w:val="bottom"/>
          </w:tcPr>
          <w:p>
            <w:pPr>
              <w:jc w:val="right"/>
              <w:ind w:right="1470"/>
              <w:spacing w:after="0"/>
              <w:rPr>
                <w:sz w:val="20"/>
                <w:szCs w:val="20"/>
                <w:color w:val="auto"/>
              </w:rPr>
            </w:pPr>
            <w:r>
              <w:rPr>
                <w:rFonts w:ascii="Arial" w:cs="Arial" w:eastAsia="Arial" w:hAnsi="Arial"/>
                <w:sz w:val="18"/>
                <w:szCs w:val="18"/>
                <w:color w:val="auto"/>
              </w:rPr>
              <w:t>346,546</w:t>
            </w:r>
          </w:p>
        </w:tc>
        <w:tc>
          <w:tcPr>
            <w:tcW w:w="1520" w:type="dxa"/>
            <w:vAlign w:val="bottom"/>
          </w:tcPr>
          <w:p>
            <w:pPr>
              <w:spacing w:after="0"/>
              <w:rPr>
                <w:sz w:val="21"/>
                <w:szCs w:val="21"/>
                <w:color w:val="auto"/>
              </w:rPr>
            </w:pPr>
          </w:p>
        </w:tc>
      </w:tr>
      <w:tr>
        <w:trPr>
          <w:trHeight w:val="265"/>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306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rPr>
              <w:t>6,700</w:t>
            </w:r>
          </w:p>
        </w:tc>
        <w:tc>
          <w:tcPr>
            <w:tcW w:w="1520" w:type="dxa"/>
            <w:vAlign w:val="bottom"/>
            <w:shd w:val="clear" w:color="auto" w:fill="CCEEFF"/>
          </w:tcPr>
          <w:p>
            <w:pPr>
              <w:spacing w:after="0"/>
              <w:rPr>
                <w:sz w:val="23"/>
                <w:szCs w:val="23"/>
                <w:color w:val="auto"/>
              </w:rPr>
            </w:pPr>
          </w:p>
        </w:tc>
      </w:tr>
      <w:tr>
        <w:trPr>
          <w:trHeight w:val="239"/>
        </w:trPr>
        <w:tc>
          <w:tcPr>
            <w:tcW w:w="3040" w:type="dxa"/>
            <w:vAlign w:val="bottom"/>
          </w:tcPr>
          <w:p>
            <w:pPr>
              <w:spacing w:after="0"/>
              <w:rPr>
                <w:sz w:val="20"/>
                <w:szCs w:val="20"/>
                <w:color w:val="auto"/>
              </w:rPr>
            </w:pPr>
            <w:r>
              <w:rPr>
                <w:rFonts w:ascii="Arial" w:cs="Arial" w:eastAsia="Arial" w:hAnsi="Arial"/>
                <w:sz w:val="18"/>
                <w:szCs w:val="18"/>
                <w:color w:val="auto"/>
              </w:rPr>
              <w:t>Non Votes</w:t>
            </w:r>
          </w:p>
        </w:tc>
        <w:tc>
          <w:tcPr>
            <w:tcW w:w="3060" w:type="dxa"/>
            <w:vAlign w:val="bottom"/>
          </w:tcPr>
          <w:p>
            <w:pPr>
              <w:jc w:val="right"/>
              <w:ind w:right="1470"/>
              <w:spacing w:after="0"/>
              <w:rPr>
                <w:sz w:val="20"/>
                <w:szCs w:val="20"/>
                <w:color w:val="auto"/>
              </w:rPr>
            </w:pPr>
            <w:r>
              <w:rPr>
                <w:rFonts w:ascii="Arial" w:cs="Arial" w:eastAsia="Arial" w:hAnsi="Arial"/>
                <w:sz w:val="18"/>
                <w:szCs w:val="18"/>
                <w:color w:val="auto"/>
              </w:rPr>
              <w:t>0</w:t>
            </w:r>
          </w:p>
        </w:tc>
        <w:tc>
          <w:tcPr>
            <w:tcW w:w="1520" w:type="dxa"/>
            <w:vAlign w:val="bottom"/>
          </w:tcPr>
          <w:p>
            <w:pPr>
              <w:spacing w:after="0"/>
              <w:rPr>
                <w:sz w:val="20"/>
                <w:szCs w:val="20"/>
                <w:color w:val="auto"/>
              </w:rPr>
            </w:pPr>
          </w:p>
        </w:tc>
      </w:tr>
    </w:tbl>
    <w:p>
      <w:pPr>
        <w:spacing w:after="0" w:line="2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Adjournment of the Special Meeting was not necessary or appropriate because there were sufficient votes in favor of the Reverse Stock Split Proposal.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23"/>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40" w:type="dxa"/>
            <w:vAlign w:val="bottom"/>
            <w:gridSpan w:val="15"/>
            <w:vMerge w:val="restart"/>
          </w:tcPr>
          <w:p>
            <w:pPr>
              <w:ind w:left="36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number</w:t>
            </w:r>
          </w:p>
        </w:tc>
        <w:tc>
          <w:tcPr>
            <w:tcW w:w="6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gridSpan w:val="1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tcBorders>
              <w:bottom w:val="single" w:sz="8" w:color="0000FF"/>
            </w:tcBorders>
            <w:gridSpan w:val="8"/>
          </w:tcPr>
          <w:p>
            <w:pPr>
              <w:spacing w:after="0"/>
              <w:rPr>
                <w:rFonts w:ascii="Arial" w:cs="Arial" w:eastAsia="Arial" w:hAnsi="Arial"/>
                <w:sz w:val="18"/>
                <w:szCs w:val="18"/>
                <w:color w:val="0000FF"/>
                <w:w w:val="99"/>
              </w:rPr>
            </w:pPr>
            <w:hyperlink r:id="rId33">
              <w:r>
                <w:rPr>
                  <w:rFonts w:ascii="Arial" w:cs="Arial" w:eastAsia="Arial" w:hAnsi="Arial"/>
                  <w:sz w:val="18"/>
                  <w:szCs w:val="18"/>
                  <w:color w:val="0000FF"/>
                  <w:w w:val="99"/>
                </w:rPr>
                <w:t>Amended and Restated Certificate of Incorporation of the Registrant</w:t>
              </w:r>
            </w:hyperlink>
          </w:p>
        </w:tc>
        <w:tc>
          <w:tcPr>
            <w:tcW w:w="42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21"/>
          </w:tcPr>
          <w:p>
            <w:pPr>
              <w:spacing w:after="0"/>
              <w:rPr>
                <w:rFonts w:ascii="Arial" w:cs="Arial" w:eastAsia="Arial" w:hAnsi="Arial"/>
                <w:sz w:val="18"/>
                <w:szCs w:val="18"/>
                <w:color w:val="0000FF"/>
              </w:rPr>
            </w:pPr>
            <w:hyperlink r:id="rId34">
              <w:r>
                <w:rPr>
                  <w:rFonts w:ascii="Arial" w:cs="Arial" w:eastAsia="Arial" w:hAnsi="Arial"/>
                  <w:sz w:val="18"/>
                  <w:szCs w:val="18"/>
                  <w:color w:val="0000FF"/>
                </w:rPr>
                <w:t>Certificate of Amendment to the Amended and Restated Certificate of Incorporation of the Registrant filed with the</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34">
              <w:r>
                <w:rPr>
                  <w:rFonts w:ascii="Arial" w:cs="Arial" w:eastAsia="Arial" w:hAnsi="Arial"/>
                  <w:sz w:val="18"/>
                  <w:szCs w:val="18"/>
                  <w:color w:val="0000FF"/>
                  <w:w w:val="99"/>
                </w:rPr>
                <w:t>Secretary of State of Delaware on July 18, 2019</w:t>
              </w:r>
            </w:hyperlink>
          </w:p>
        </w:tc>
        <w:tc>
          <w:tcPr>
            <w:tcW w:w="524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21"/>
          </w:tcPr>
          <w:p>
            <w:pPr>
              <w:spacing w:after="0"/>
              <w:rPr>
                <w:rFonts w:ascii="Arial" w:cs="Arial" w:eastAsia="Arial" w:hAnsi="Arial"/>
                <w:sz w:val="18"/>
                <w:szCs w:val="18"/>
                <w:color w:val="0000FF"/>
              </w:rPr>
            </w:pPr>
            <w:hyperlink r:id="rId35">
              <w:r>
                <w:rPr>
                  <w:rFonts w:ascii="Arial" w:cs="Arial" w:eastAsia="Arial" w:hAnsi="Arial"/>
                  <w:sz w:val="18"/>
                  <w:szCs w:val="18"/>
                  <w:color w:val="0000FF"/>
                </w:rPr>
                <w:t>Certificate of Amendment to the Amended and Restated Certificate of Incorporation filed with the Secretary of State of</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35">
              <w:r>
                <w:rPr>
                  <w:rFonts w:ascii="Arial" w:cs="Arial" w:eastAsia="Arial" w:hAnsi="Arial"/>
                  <w:sz w:val="18"/>
                  <w:szCs w:val="18"/>
                  <w:color w:val="0000FF"/>
                </w:rPr>
                <w:t>Delaware on October 14, 2022</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1"/>
          </w:tcPr>
          <w:p>
            <w:pPr>
              <w:spacing w:after="0"/>
              <w:rPr>
                <w:rFonts w:ascii="Arial" w:cs="Arial" w:eastAsia="Arial" w:hAnsi="Arial"/>
                <w:sz w:val="18"/>
                <w:szCs w:val="18"/>
                <w:color w:val="0000FF"/>
              </w:rPr>
            </w:pPr>
            <w:hyperlink r:id="rId36">
              <w:r>
                <w:rPr>
                  <w:rFonts w:ascii="Arial" w:cs="Arial" w:eastAsia="Arial" w:hAnsi="Arial"/>
                  <w:sz w:val="18"/>
                  <w:szCs w:val="18"/>
                  <w:color w:val="0000FF"/>
                </w:rPr>
                <w:t>Amended and Restated Bylaws of the Registrant, effective July 19, 2019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21"/>
          </w:tcPr>
          <w:p>
            <w:pPr>
              <w:spacing w:after="0"/>
              <w:rPr>
                <w:rFonts w:ascii="Arial" w:cs="Arial" w:eastAsia="Arial" w:hAnsi="Arial"/>
                <w:sz w:val="18"/>
                <w:szCs w:val="18"/>
                <w:color w:val="0000FF"/>
              </w:rPr>
            </w:pPr>
            <w:hyperlink r:id="rId37">
              <w:r>
                <w:rPr>
                  <w:rFonts w:ascii="Arial" w:cs="Arial" w:eastAsia="Arial" w:hAnsi="Arial"/>
                  <w:sz w:val="18"/>
                  <w:szCs w:val="18"/>
                  <w:color w:val="0000FF"/>
                </w:rPr>
                <w:t>Amendment to Amended and Restated Bylaws of the Registrant, effective April 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540" w:type="dxa"/>
            <w:vAlign w:val="bottom"/>
            <w:gridSpan w:val="4"/>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(1)+</w:t>
            </w:r>
          </w:p>
        </w:tc>
        <w:tc>
          <w:tcPr>
            <w:tcW w:w="20" w:type="dxa"/>
            <w:vAlign w:val="bottom"/>
          </w:tcPr>
          <w:p>
            <w:pPr>
              <w:spacing w:after="0"/>
              <w:rPr>
                <w:sz w:val="18"/>
                <w:szCs w:val="18"/>
                <w:color w:val="auto"/>
              </w:rPr>
            </w:pPr>
          </w:p>
        </w:tc>
        <w:tc>
          <w:tcPr>
            <w:tcW w:w="9620" w:type="dxa"/>
            <w:vAlign w:val="bottom"/>
            <w:gridSpan w:val="21"/>
          </w:tcPr>
          <w:p>
            <w:pPr>
              <w:spacing w:after="0"/>
              <w:rPr>
                <w:rFonts w:ascii="Arial" w:cs="Arial" w:eastAsia="Arial" w:hAnsi="Arial"/>
                <w:sz w:val="18"/>
                <w:szCs w:val="18"/>
                <w:color w:val="0000FF"/>
              </w:rPr>
            </w:pPr>
            <w:hyperlink r:id="rId38">
              <w:r>
                <w:rPr>
                  <w:rFonts w:ascii="Arial" w:cs="Arial" w:eastAsia="Arial" w:hAnsi="Arial"/>
                  <w:sz w:val="18"/>
                  <w:szCs w:val="18"/>
                  <w:color w:val="0000FF"/>
                </w:rPr>
                <w:t>Separation and Release Agreement, dated February 20, 2024, by and between Salarius Pharmaceuticals, Inc. and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r:id="rId38">
              <w:r>
                <w:rPr>
                  <w:rFonts w:ascii="Arial" w:cs="Arial" w:eastAsia="Arial" w:hAnsi="Arial"/>
                  <w:sz w:val="16"/>
                  <w:szCs w:val="16"/>
                  <w:color w:val="0000FF"/>
                </w:rPr>
                <w:t>David J. Arthur</w:t>
              </w:r>
            </w:hyperlink>
          </w:p>
        </w:tc>
        <w:tc>
          <w:tcPr>
            <w:tcW w:w="16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680" w:type="dxa"/>
            <w:vAlign w:val="bottom"/>
          </w:tcPr>
          <w:p>
            <w:pPr>
              <w:jc w:val="right"/>
              <w:ind w:right="250"/>
              <w:spacing w:after="0"/>
              <w:rPr>
                <w:sz w:val="20"/>
                <w:szCs w:val="20"/>
                <w:color w:val="auto"/>
              </w:rPr>
            </w:pPr>
            <w:r>
              <w:rPr>
                <w:rFonts w:ascii="Arial" w:cs="Arial" w:eastAsia="Arial" w:hAnsi="Arial"/>
                <w:sz w:val="18"/>
                <w:szCs w:val="18"/>
                <w:color w:val="auto"/>
                <w:w w:val="98"/>
              </w:rPr>
              <w:t>(2)+</w:t>
            </w:r>
          </w:p>
        </w:tc>
        <w:tc>
          <w:tcPr>
            <w:tcW w:w="20" w:type="dxa"/>
            <w:vAlign w:val="bottom"/>
          </w:tcPr>
          <w:p>
            <w:pPr>
              <w:spacing w:after="0"/>
              <w:rPr>
                <w:sz w:val="19"/>
                <w:szCs w:val="19"/>
                <w:color w:val="auto"/>
              </w:rPr>
            </w:pPr>
          </w:p>
        </w:tc>
        <w:tc>
          <w:tcPr>
            <w:tcW w:w="9620" w:type="dxa"/>
            <w:vAlign w:val="bottom"/>
            <w:gridSpan w:val="21"/>
          </w:tcPr>
          <w:p>
            <w:pPr>
              <w:spacing w:after="0"/>
              <w:rPr>
                <w:rFonts w:ascii="Arial" w:cs="Arial" w:eastAsia="Arial" w:hAnsi="Arial"/>
                <w:sz w:val="18"/>
                <w:szCs w:val="18"/>
                <w:color w:val="0000FF"/>
              </w:rPr>
            </w:pPr>
            <w:hyperlink r:id="rId39">
              <w:r>
                <w:rPr>
                  <w:rFonts w:ascii="Arial" w:cs="Arial" w:eastAsia="Arial" w:hAnsi="Arial"/>
                  <w:sz w:val="18"/>
                  <w:szCs w:val="18"/>
                  <w:color w:val="0000FF"/>
                </w:rPr>
                <w:t>Consulting Agreement, dated February 20, 2024, by and between Salarius Pharmaceuticals, Inc. and David J. Arthur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72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(3)+</w:t>
            </w:r>
          </w:p>
        </w:tc>
        <w:tc>
          <w:tcPr>
            <w:tcW w:w="20" w:type="dxa"/>
            <w:vAlign w:val="bottom"/>
          </w:tcPr>
          <w:p>
            <w:pPr>
              <w:spacing w:after="0"/>
              <w:rPr>
                <w:sz w:val="18"/>
                <w:szCs w:val="18"/>
                <w:color w:val="auto"/>
              </w:rPr>
            </w:pPr>
          </w:p>
        </w:tc>
        <w:tc>
          <w:tcPr>
            <w:tcW w:w="9620" w:type="dxa"/>
            <w:vAlign w:val="bottom"/>
            <w:gridSpan w:val="21"/>
          </w:tcPr>
          <w:p>
            <w:pPr>
              <w:spacing w:after="0"/>
              <w:rPr>
                <w:rFonts w:ascii="Arial" w:cs="Arial" w:eastAsia="Arial" w:hAnsi="Arial"/>
                <w:sz w:val="18"/>
                <w:szCs w:val="18"/>
                <w:color w:val="0000FF"/>
              </w:rPr>
            </w:pPr>
            <w:hyperlink r:id="rId40">
              <w:r>
                <w:rPr>
                  <w:rFonts w:ascii="Arial" w:cs="Arial" w:eastAsia="Arial" w:hAnsi="Arial"/>
                  <w:sz w:val="18"/>
                  <w:szCs w:val="18"/>
                  <w:color w:val="0000FF"/>
                </w:rPr>
                <w:t>Notice of Stock Option Amendment, dated February 20, 2024, by and between Salarius Pharmaceuticals, Inc. and David</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J. Arthur</w:t>
              </w:r>
            </w:hyperlink>
          </w:p>
        </w:tc>
        <w:tc>
          <w:tcPr>
            <w:tcW w:w="890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(4)+</w:t>
            </w:r>
          </w:p>
        </w:tc>
        <w:tc>
          <w:tcPr>
            <w:tcW w:w="20" w:type="dxa"/>
            <w:vAlign w:val="bottom"/>
          </w:tcPr>
          <w:p>
            <w:pPr>
              <w:spacing w:after="0"/>
              <w:rPr>
                <w:sz w:val="19"/>
                <w:szCs w:val="19"/>
                <w:color w:val="auto"/>
              </w:rPr>
            </w:pPr>
          </w:p>
        </w:tc>
        <w:tc>
          <w:tcPr>
            <w:tcW w:w="9620" w:type="dxa"/>
            <w:vAlign w:val="bottom"/>
            <w:gridSpan w:val="21"/>
          </w:tcPr>
          <w:p>
            <w:pPr>
              <w:spacing w:after="0"/>
              <w:rPr>
                <w:rFonts w:ascii="Arial" w:cs="Arial" w:eastAsia="Arial" w:hAnsi="Arial"/>
                <w:sz w:val="18"/>
                <w:szCs w:val="18"/>
                <w:color w:val="0000FF"/>
              </w:rPr>
            </w:pPr>
            <w:hyperlink r:id="rId41">
              <w:r>
                <w:rPr>
                  <w:rFonts w:ascii="Arial" w:cs="Arial" w:eastAsia="Arial" w:hAnsi="Arial"/>
                  <w:sz w:val="18"/>
                  <w:szCs w:val="18"/>
                  <w:color w:val="0000FF"/>
                </w:rPr>
                <w:t>Indemnification Agreement, dated February 20, 2024, by and between Salarius Pharmaceuticals, Inc. and David J.</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Arthur</w:t>
              </w:r>
            </w:hyperlink>
          </w:p>
        </w:tc>
        <w:tc>
          <w:tcPr>
            <w:tcW w:w="3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10.5</w:t>
            </w:r>
          </w:p>
        </w:tc>
        <w:tc>
          <w:tcPr>
            <w:tcW w:w="680" w:type="dxa"/>
            <w:vAlign w:val="bottom"/>
            <w:vMerge w:val="restart"/>
          </w:tcPr>
          <w:p>
            <w:pPr>
              <w:jc w:val="right"/>
              <w:ind w:right="250"/>
              <w:spacing w:after="0"/>
              <w:rPr>
                <w:sz w:val="20"/>
                <w:szCs w:val="20"/>
                <w:color w:val="auto"/>
              </w:rPr>
            </w:pPr>
            <w:r>
              <w:rPr>
                <w:rFonts w:ascii="Arial" w:cs="Arial" w:eastAsia="Arial" w:hAnsi="Arial"/>
                <w:sz w:val="18"/>
                <w:szCs w:val="18"/>
                <w:color w:val="auto"/>
                <w:w w:val="98"/>
              </w:rPr>
              <w:t>(5)+</w:t>
            </w:r>
          </w:p>
        </w:tc>
        <w:tc>
          <w:tcPr>
            <w:tcW w:w="20" w:type="dxa"/>
            <w:vAlign w:val="bottom"/>
          </w:tcPr>
          <w:p>
            <w:pPr>
              <w:spacing w:after="0"/>
              <w:rPr>
                <w:sz w:val="19"/>
                <w:szCs w:val="19"/>
                <w:color w:val="auto"/>
              </w:rPr>
            </w:pPr>
          </w:p>
        </w:tc>
        <w:tc>
          <w:tcPr>
            <w:tcW w:w="9620" w:type="dxa"/>
            <w:vAlign w:val="bottom"/>
            <w:gridSpan w:val="21"/>
          </w:tcPr>
          <w:p>
            <w:pPr>
              <w:spacing w:after="0"/>
              <w:rPr>
                <w:rFonts w:ascii="Arial" w:cs="Arial" w:eastAsia="Arial" w:hAnsi="Arial"/>
                <w:sz w:val="18"/>
                <w:szCs w:val="18"/>
                <w:color w:val="0000FF"/>
              </w:rPr>
            </w:pPr>
            <w:hyperlink r:id="rId42">
              <w:r>
                <w:rPr>
                  <w:rFonts w:ascii="Arial" w:cs="Arial" w:eastAsia="Arial" w:hAnsi="Arial"/>
                  <w:sz w:val="18"/>
                  <w:szCs w:val="18"/>
                  <w:color w:val="0000FF"/>
                </w:rPr>
                <w:t>Amendment to Executive Employment Agreement, dated February 20, 2024, by and between Salarius Pharmaceuticals,</w:t>
              </w:r>
            </w:hyperlink>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42">
              <w:r>
                <w:rPr>
                  <w:rFonts w:ascii="Arial" w:cs="Arial" w:eastAsia="Arial" w:hAnsi="Arial"/>
                  <w:sz w:val="16"/>
                  <w:szCs w:val="16"/>
                  <w:color w:val="0000FF"/>
                </w:rPr>
                <w:t>Inc. and Mark J. Rosenblum</w:t>
              </w:r>
            </w:hyperlink>
          </w:p>
        </w:tc>
        <w:tc>
          <w:tcPr>
            <w:tcW w:w="7320" w:type="dxa"/>
            <w:vAlign w:val="bottom"/>
            <w:tcBorders>
              <w:top w:val="single" w:sz="8" w:color="0000FF"/>
            </w:tcBorders>
            <w:gridSpan w:val="15"/>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21"/>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1934.</w:t>
            </w:r>
          </w:p>
        </w:tc>
        <w:tc>
          <w:tcPr>
            <w:tcW w:w="2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21"/>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1934.</w:t>
            </w:r>
          </w:p>
        </w:tc>
        <w:tc>
          <w:tcPr>
            <w:tcW w:w="2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21"/>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Exchange Act and 18 U.S.C. Section 1350</w:t>
            </w:r>
            <w:r>
              <w:rPr>
                <w:rFonts w:ascii="Arial" w:cs="Arial" w:eastAsia="Arial" w:hAnsi="Arial"/>
                <w:sz w:val="18"/>
                <w:szCs w:val="18"/>
                <w:color w:val="000000"/>
              </w:rPr>
              <w:t>.</w:t>
            </w: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62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right"/>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21"/>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21"/>
          </w:tcPr>
          <w:p>
            <w:pPr>
              <w:spacing w:after="0" w:line="176" w:lineRule="exact"/>
              <w:rPr>
                <w:sz w:val="20"/>
                <w:szCs w:val="20"/>
                <w:color w:val="auto"/>
              </w:rPr>
            </w:pPr>
            <w:r>
              <w:rPr>
                <w:rFonts w:ascii="Arial" w:cs="Arial" w:eastAsia="Arial" w:hAnsi="Arial"/>
                <w:sz w:val="18"/>
                <w:szCs w:val="18"/>
                <w:color w:val="auto"/>
              </w:rPr>
              <w:t>March 31, 2024, formatted in XBRL (eXtensible Business Reporting Language):(i) Unaudited Condensed Consolidated</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21"/>
          </w:tcPr>
          <w:p>
            <w:pPr>
              <w:spacing w:after="0" w:line="201" w:lineRule="exact"/>
              <w:rPr>
                <w:sz w:val="20"/>
                <w:szCs w:val="20"/>
                <w:color w:val="auto"/>
              </w:rPr>
            </w:pPr>
            <w:r>
              <w:rPr>
                <w:rFonts w:ascii="Arial" w:cs="Arial" w:eastAsia="Arial" w:hAnsi="Arial"/>
                <w:sz w:val="18"/>
                <w:szCs w:val="18"/>
                <w:color w:val="auto"/>
              </w:rPr>
              <w:t>Balance Sheets, (ii) Unaudited Condensed Consolidated Statements of Operations (iii) Unaudited Condensed</w:t>
            </w:r>
          </w:p>
        </w:tc>
        <w:tc>
          <w:tcPr>
            <w:tcW w:w="0" w:type="dxa"/>
            <w:vAlign w:val="bottom"/>
          </w:tcPr>
          <w:p>
            <w:pPr>
              <w:spacing w:after="0"/>
              <w:rPr>
                <w:sz w:val="1"/>
                <w:szCs w:val="1"/>
                <w:color w:val="auto"/>
              </w:rPr>
            </w:pPr>
          </w:p>
        </w:tc>
      </w:tr>
    </w:tbl>
    <w:p>
      <w:pPr>
        <w:ind w:left="1620" w:right="140"/>
        <w:spacing w:after="0" w:line="229" w:lineRule="auto"/>
        <w:rPr>
          <w:sz w:val="20"/>
          <w:szCs w:val="20"/>
          <w:color w:val="auto"/>
        </w:rPr>
      </w:pPr>
      <w:r>
        <w:rPr>
          <w:rFonts w:ascii="Arial" w:cs="Arial" w:eastAsia="Arial" w:hAnsi="Arial"/>
          <w:sz w:val="18"/>
          <w:szCs w:val="18"/>
          <w:color w:val="auto"/>
        </w:rPr>
        <w:t>Consolidated Statements of Stockholders' Equity (Deficit), (iv) Unaudited Condensed Consolidated Statements of Cash Flows, and (v) Notes to Condensed Unaudited Consolidated Financial Statements.</w:t>
      </w:r>
    </w:p>
    <w:p>
      <w:pPr>
        <w:spacing w:after="0" w:line="6" w:lineRule="exact"/>
        <w:rPr>
          <w:sz w:val="20"/>
          <w:szCs w:val="20"/>
          <w:color w:val="auto"/>
        </w:rPr>
      </w:pPr>
    </w:p>
    <w:p>
      <w:pPr>
        <w:ind w:left="1620" w:hanging="995"/>
        <w:spacing w:after="0"/>
        <w:tabs>
          <w:tab w:leader="none" w:pos="162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80" w:hanging="162"/>
        <w:spacing w:after="0" w:line="263" w:lineRule="auto"/>
        <w:rPr>
          <w:rFonts w:ascii="Times New Roman" w:cs="Times New Roman" w:eastAsia="Times New Roman" w:hAnsi="Times New Roman"/>
          <w:sz w:val="18"/>
          <w:szCs w:val="18"/>
          <w:color w:val="auto"/>
        </w:rPr>
      </w:pPr>
      <w:r>
        <w:rPr>
          <w:rFonts w:ascii="Arial" w:cs="Arial" w:eastAsia="Arial" w:hAnsi="Arial"/>
          <w:sz w:val="14"/>
          <w:szCs w:val="14"/>
          <w:color w:val="auto"/>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27343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00" w:lineRule="exact"/>
        <w:rPr>
          <w:sz w:val="20"/>
          <w:szCs w:val="20"/>
          <w:color w:val="auto"/>
        </w:rPr>
      </w:pPr>
    </w:p>
    <w:p>
      <w:pPr>
        <w:spacing w:after="0" w:line="28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Incorporated by reference to Exhibit 10.1 to the Registrant's Current Report on Form 8-K (File No. 001-36812), filed with the SEC on February 23, 2024.</w:t>
      </w:r>
    </w:p>
    <w:p>
      <w:pPr>
        <w:spacing w:after="0" w:line="244"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Incorporated by reference to Exhibit 10.2 to the Registrant's Current Report on Form 8-K (File No. 001-36812), filed with the SEC on February 23, 2024.</w:t>
      </w:r>
    </w:p>
    <w:p>
      <w:pPr>
        <w:spacing w:after="0" w:line="257"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Incorporated by reference to Exhibit 10.3 to the Registrant's Current Report on Form 8-K (File No. 001-36812), filed with the SEC on February 23, 2024.</w:t>
      </w:r>
    </w:p>
    <w:p>
      <w:pPr>
        <w:spacing w:after="0" w:line="244"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Incorporated by reference to Exhibit 10.4 to the Registrant's Current Report on Form 8-K (File No. 001-36812), filed with the SEC on February 23, 2024.</w:t>
      </w:r>
    </w:p>
    <w:p>
      <w:pPr>
        <w:spacing w:after="0" w:line="244"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Incorporated by reference to Exhibit 10.5 to the Registrant's Current Report on Form 8-K (File No. 001-36812), filed with the SEC on February 23, 2024.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61"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77"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13"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17780</wp:posOffset>
            </wp:positionV>
            <wp:extent cx="3300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6"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May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274" w:right="4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4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3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firstLine="4"/>
        <w:spacing w:after="0" w:line="268" w:lineRule="auto"/>
        <w:tabs>
          <w:tab w:leader="none" w:pos="152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4800" w:type="dxa"/>
            <w:vAlign w:val="bottom"/>
          </w:tcPr>
          <w:p>
            <w:pPr>
              <w:spacing w:after="0"/>
              <w:rPr>
                <w:sz w:val="20"/>
                <w:szCs w:val="20"/>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48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189"/>
        </w:trPr>
        <w:tc>
          <w:tcPr>
            <w:tcW w:w="4800" w:type="dxa"/>
            <w:vAlign w:val="bottom"/>
            <w:vMerge w:val="restart"/>
          </w:tcPr>
          <w:p>
            <w:pPr>
              <w:spacing w:after="0"/>
              <w:rPr>
                <w:sz w:val="20"/>
                <w:szCs w:val="20"/>
                <w:color w:val="auto"/>
              </w:rPr>
            </w:pPr>
            <w:r>
              <w:rPr>
                <w:rFonts w:ascii="Arial" w:cs="Arial" w:eastAsia="Arial" w:hAnsi="Arial"/>
                <w:sz w:val="18"/>
                <w:szCs w:val="18"/>
                <w:color w:val="auto"/>
              </w:rPr>
              <w:t>May 13, 2024</w:t>
            </w: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9"/>
        </w:trPr>
        <w:tc>
          <w:tcPr>
            <w:tcW w:w="480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68" w:lineRule="auto"/>
        <w:tabs>
          <w:tab w:leader="none" w:pos="88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4"/>
        <w:spacing w:after="0" w:line="268" w:lineRule="auto"/>
        <w:tabs>
          <w:tab w:leader="none" w:pos="8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27" w:lineRule="exact"/>
        <w:rPr>
          <w:rFonts w:ascii="Arial" w:cs="Arial" w:eastAsia="Arial" w:hAnsi="Arial"/>
          <w:sz w:val="18"/>
          <w:szCs w:val="18"/>
          <w:color w:val="auto"/>
        </w:rPr>
      </w:pPr>
    </w:p>
    <w:p>
      <w:pPr>
        <w:ind w:left="130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8" w:lineRule="exact"/>
        <w:rPr>
          <w:rFonts w:ascii="Arial" w:cs="Arial" w:eastAsia="Arial" w:hAnsi="Arial"/>
          <w:sz w:val="18"/>
          <w:szCs w:val="18"/>
          <w:color w:val="auto"/>
        </w:rPr>
      </w:pPr>
    </w:p>
    <w:p>
      <w:pPr>
        <w:jc w:val="both"/>
        <w:ind w:left="1300" w:right="540" w:firstLine="4"/>
        <w:spacing w:after="0" w:line="291" w:lineRule="auto"/>
        <w:tabs>
          <w:tab w:leader="none" w:pos="15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300" w:right="360" w:firstLine="4"/>
        <w:spacing w:after="0" w:line="268"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1300" w:right="200" w:firstLine="4"/>
        <w:spacing w:after="0" w:line="268"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660" w:right="140" w:hanging="4"/>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1300" w:right="220" w:firstLine="4"/>
        <w:spacing w:after="0" w:line="268"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5"/>
        </w:trPr>
        <w:tc>
          <w:tcPr>
            <w:tcW w:w="3240" w:type="dxa"/>
            <w:vAlign w:val="bottom"/>
          </w:tcPr>
          <w:p>
            <w:pPr>
              <w:spacing w:after="0"/>
              <w:rPr>
                <w:sz w:val="20"/>
                <w:szCs w:val="20"/>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3240" w:type="dxa"/>
            <w:vAlign w:val="bottom"/>
            <w:vMerge w:val="restart"/>
          </w:tcPr>
          <w:p>
            <w:pPr>
              <w:spacing w:after="0"/>
              <w:rPr>
                <w:sz w:val="20"/>
                <w:szCs w:val="20"/>
                <w:color w:val="auto"/>
              </w:rPr>
            </w:pPr>
            <w:r>
              <w:rPr>
                <w:rFonts w:ascii="Arial" w:cs="Arial" w:eastAsia="Arial" w:hAnsi="Arial"/>
                <w:sz w:val="18"/>
                <w:szCs w:val="18"/>
                <w:color w:val="auto"/>
              </w:rPr>
              <w:t>May 13, 2024</w:t>
            </w:r>
          </w:p>
        </w:tc>
        <w:tc>
          <w:tcPr>
            <w:tcW w:w="506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324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March 31, 2024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21" w:lineRule="exact"/>
        <w:rPr>
          <w:sz w:val="20"/>
          <w:szCs w:val="20"/>
          <w:color w:val="auto"/>
        </w:rPr>
      </w:pPr>
    </w:p>
    <w:p>
      <w:pPr>
        <w:ind w:left="660" w:right="220" w:hanging="4"/>
        <w:spacing w:after="0" w:line="287"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9" w:lineRule="exact"/>
        <w:rPr>
          <w:rFonts w:ascii="Arial" w:cs="Arial" w:eastAsia="Arial" w:hAnsi="Arial"/>
          <w:sz w:val="18"/>
          <w:szCs w:val="18"/>
          <w:color w:val="auto"/>
        </w:rPr>
      </w:pPr>
    </w:p>
    <w:p>
      <w:pPr>
        <w:ind w:left="660" w:right="40" w:hanging="4"/>
        <w:spacing w:after="0" w:line="287"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May 13, 2024</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333"/>
        </w:trPr>
        <w:tc>
          <w:tcPr>
            <w:tcW w:w="544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8"/>
        </w:trPr>
        <w:tc>
          <w:tcPr>
            <w:tcW w:w="54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9"/>
        </w:trPr>
        <w:tc>
          <w:tcPr>
            <w:tcW w:w="5440" w:type="dxa"/>
            <w:vAlign w:val="bottom"/>
            <w:vMerge w:val="restart"/>
          </w:tcPr>
          <w:p>
            <w:pPr>
              <w:spacing w:after="0"/>
              <w:rPr>
                <w:sz w:val="20"/>
                <w:szCs w:val="20"/>
                <w:color w:val="auto"/>
              </w:rPr>
            </w:pPr>
            <w:r>
              <w:rPr>
                <w:rFonts w:ascii="Arial" w:cs="Arial" w:eastAsia="Arial" w:hAnsi="Arial"/>
                <w:sz w:val="18"/>
                <w:szCs w:val="18"/>
                <w:color w:val="auto"/>
              </w:rPr>
              <w:t>May 13, 2024</w:t>
            </w: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39"/>
        </w:trPr>
        <w:tc>
          <w:tcPr>
            <w:tcW w:w="5440" w:type="dxa"/>
            <w:vAlign w:val="bottom"/>
            <w:vMerge w:val="continue"/>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2"/>
      <w:numFmt w:val="decimal"/>
      <w:start w:val="104"/>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33" Type="http://schemas.openxmlformats.org/officeDocument/2006/relationships/hyperlink" Target="https://www.sec.gov/Archives/edgar/data/1615219/000110465915007801/a15-4061_1ex3d1.htm" TargetMode="External"/><Relationship Id="rId34" Type="http://schemas.openxmlformats.org/officeDocument/2006/relationships/hyperlink" Target="https://www.sec.gov/Archives/edgar/data/1615219/000119312519199074/d754556dex31.htm" TargetMode="External"/><Relationship Id="rId35" Type="http://schemas.openxmlformats.org/officeDocument/2006/relationships/hyperlink" Target="https://www.sec.gov/Archives/edgar/data/1615219/000161521922000135/exhibit31.htm" TargetMode="External"/><Relationship Id="rId36" Type="http://schemas.openxmlformats.org/officeDocument/2006/relationships/hyperlink" Target="https://www.sec.gov/Archives/edgar/data/1615219/000119312519199074/d754556dex32.htm" TargetMode="External"/><Relationship Id="rId37" Type="http://schemas.openxmlformats.org/officeDocument/2006/relationships/hyperlink" Target="https://www.sec.gov/Archives/edgar/data/1615219/000161521922000034/salarius-bylawsamendment33.htm" TargetMode="External"/><Relationship Id="rId38" Type="http://schemas.openxmlformats.org/officeDocument/2006/relationships/hyperlink" Target="https://www.sec.gov/Archives/edgar/data/1615219/000161521924000017/exhibit1012.htm" TargetMode="External"/><Relationship Id="rId39" Type="http://schemas.openxmlformats.org/officeDocument/2006/relationships/hyperlink" Target="https://www.sec.gov/Archives/edgar/data/1615219/000161521924000017/exhibit1022.htm" TargetMode="External"/><Relationship Id="rId40" Type="http://schemas.openxmlformats.org/officeDocument/2006/relationships/hyperlink" Target="https://www.sec.gov/Archives/edgar/data/1615219/000161521924000017/exhibit103.htm" TargetMode="External"/><Relationship Id="rId41" Type="http://schemas.openxmlformats.org/officeDocument/2006/relationships/hyperlink" Target="https://www.sec.gov/Archives/edgar/data/1615219/000161521924000017/exhibit104.htm" TargetMode="External"/><Relationship Id="rId42" Type="http://schemas.openxmlformats.org/officeDocument/2006/relationships/hyperlink" Target="https://www.sec.gov/Archives/edgar/data/1615219/000161521924000017/exhibit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2024-05-13T15:44:55Z</dcterms:created>
  <dcterms:modified xsi:type="dcterms:W3CDTF">2024-05-13T15:44:55Z</dcterms:modified>
</cp:coreProperties>
</file>