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3860" w:right="1060" w:hanging="3744"/>
        <w:spacing w:after="0" w:line="266" w:lineRule="auto"/>
        <w:tabs>
          <w:tab w:leader="none" w:pos="1414"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2021</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jc w:val="center"/>
        <w:ind w:left="4360" w:right="1060" w:hanging="4244"/>
        <w:spacing w:after="0" w:line="290"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tbl>
      <w:tblPr>
        <w:tblLayout w:type="fixed"/>
        <w:tblInd w:w="2600" w:type="dxa"/>
        <w:tblCellMar>
          <w:top w:w="0" w:type="dxa"/>
          <w:left w:w="0" w:type="dxa"/>
          <w:bottom w:w="0" w:type="dxa"/>
          <w:right w:w="0" w:type="dxa"/>
        </w:tblCellMar>
      </w:tblP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2"/>
        </w:trPr>
        <w:tc>
          <w:tcPr>
            <w:tcW w:w="3120" w:type="dxa"/>
            <w:vAlign w:val="bottom"/>
          </w:tcPr>
          <w:p>
            <w:pPr>
              <w:jc w:val="center"/>
              <w:ind w:right="1168"/>
              <w:spacing w:after="0" w:line="152"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2" w:lineRule="exact"/>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(832)834-6992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83"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-64770</wp:posOffset>
            </wp:positionV>
            <wp:extent cx="416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0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77"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May 10, 2021, there were 44,772,606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0"/>
        </w:trPr>
        <w:tc>
          <w:tcPr>
            <w:tcW w:w="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PART I.</w:t>
              </w:r>
            </w:hyperlink>
          </w:p>
        </w:tc>
        <w:tc>
          <w:tcPr>
            <w:tcW w:w="740" w:type="dxa"/>
            <w:vAlign w:val="bottom"/>
            <w:gridSpan w:val="4"/>
          </w:tcPr>
          <w:p>
            <w:pPr>
              <w:spacing w:after="0"/>
              <w:rPr>
                <w:sz w:val="24"/>
                <w:szCs w:val="24"/>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Item 1.</w:t>
              </w:r>
            </w:hyperlink>
          </w:p>
        </w:tc>
        <w:tc>
          <w:tcPr>
            <w:tcW w:w="6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8"/>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Balance Sheets</w:t>
              </w:r>
            </w:hyperlink>
          </w:p>
        </w:tc>
        <w:tc>
          <w:tcPr>
            <w:tcW w:w="5380" w:type="dxa"/>
            <w:vAlign w:val="bottom"/>
            <w:gridSpan w:val="5"/>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Operations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Statements of Cash Flows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w:t>
              </w:r>
            </w:hyperlink>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3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Item 2.</w:t>
              </w:r>
            </w:hyperlink>
          </w:p>
        </w:tc>
        <w:tc>
          <w:tcPr>
            <w:tcW w:w="80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2"/>
          </w:tcPr>
          <w:p>
            <w:pP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Management’s Discussion and Analysis of Financial Condition and Results of Operations</w:t>
              </w:r>
            </w:hyperlink>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Item 3.</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1">
              <w:r>
                <w:rPr>
                  <w:rFonts w:ascii="Arial" w:cs="Arial" w:eastAsia="Arial" w:hAnsi="Arial"/>
                  <w:sz w:val="18"/>
                  <w:szCs w:val="18"/>
                  <w:color w:val="0000FF"/>
                </w:rPr>
                <w:t>Quantitative and Qualitative Disclosures about Market Risk</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Item 4.</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PART II.</w:t>
              </w:r>
            </w:hyperlink>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1A.</w:t>
              </w:r>
            </w:hyperlink>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Item 6.</w:t>
              </w:r>
            </w:hyperlink>
          </w:p>
        </w:tc>
        <w:tc>
          <w:tcPr>
            <w:tcW w:w="12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i w:val="1"/>
          <w:iCs w:val="1"/>
          <w:color w:val="auto"/>
        </w:rPr>
        <w:t xml:space="preserve">The information in this Quarterly Report on Form 10-Q, including the information and exhibits incorporated herein by reference, include forward-looking statements within the meaning of Section 27A of the Securities Act of 1933, as amended, and Section 21E of the Securities Exchange Act of 1934, as amended (the “Exchange Act”). Statements other than statements of historical fact constitute forward-looking statements.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and intellectual property; the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ability of seclidemstat to demonstrate drug activity the nature, strategy and focus of the Company; the development and commercial potential of any product candidates; the Company's ability and plan to regain and maintain compliance with Nasdaq's continued listing standards; the Company’s expectations as to revenue, cash flow, and expenses; critical accounting policies; the potential impact of the COVID-19 pandemic on the Company’s business, operations, cash flow and ability to obtain additional financing; the sufficiency of the Company's cash on hand for future operating and capital requirements; the Company's liquidity position, future capital requirements, and need for, and ability to secure, additional financing; the ability of the Company to access additional financing under the Grant Contract with Cancer Prevention and Research Institute of Texas; the Company's operating losses and ability to continue as a going concern and management plan to </w:t>
      </w:r>
      <w:r>
        <w:rPr>
          <w:rFonts w:ascii="Arial" w:cs="Arial" w:eastAsia="Arial" w:hAnsi="Arial"/>
          <w:sz w:val="17"/>
          <w:szCs w:val="17"/>
          <w:color w:val="auto"/>
        </w:rPr>
        <w:t>obtain additional capital through the sale of equity securities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offerings or through issuances of debt instruments; and the Company's decision to engage in any new collaborations or selectively partnering its technology to improve the Company's ability to continue as a going concern</w:t>
      </w:r>
      <w:r>
        <w:rPr>
          <w:rFonts w:ascii="Arial" w:cs="Arial" w:eastAsia="Arial" w:hAnsi="Arial"/>
          <w:sz w:val="17"/>
          <w:szCs w:val="17"/>
          <w:i w:val="1"/>
          <w:iCs w:val="1"/>
          <w:color w:val="auto"/>
        </w:rPr>
        <w:t>. These forward-looking statements are</w:t>
      </w:r>
      <w:r>
        <w:rPr>
          <w:rFonts w:ascii="Arial" w:cs="Arial" w:eastAsia="Arial" w:hAnsi="Arial"/>
          <w:sz w:val="17"/>
          <w:szCs w:val="17"/>
          <w:color w:val="auto"/>
        </w:rPr>
        <w:t xml:space="preserve"> </w:t>
      </w:r>
      <w:r>
        <w:rPr>
          <w:rFonts w:ascii="Arial" w:cs="Arial" w:eastAsia="Arial" w:hAnsi="Arial"/>
          <w:sz w:val="17"/>
          <w:szCs w:val="17"/>
          <w:i w:val="1"/>
          <w:iCs w:val="1"/>
          <w:color w:val="auto"/>
        </w:rPr>
        <w:t>based on current expectations and beliefs and involve numerous risks and uncertainties, including those discussed under “Part I — Item 1A</w:t>
      </w:r>
    </w:p>
    <w:p>
      <w:pPr>
        <w:spacing w:after="0" w:line="2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i w:val="1"/>
          <w:iCs w:val="1"/>
          <w:color w:val="auto"/>
        </w:rPr>
        <w:t>— Risk Factors,” in our Annual Report on Form 10-K for the year ended December 31, 2020,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“target”, “potential,” “evaluate,” “proceeding”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3/31/2021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36,612,288</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11,118,614</w:t>
            </w: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Grants receivable from CPRIT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4,223,532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3,855,996</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814,816</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822,050</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41,650,636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15,796,660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8,865,909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232,027</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247,113</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50,767,522</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24,932,321</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1,573,961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1,853,756</w:t>
            </w: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118,858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383,138</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191,395</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477,028</w:t>
            </w:r>
          </w:p>
        </w:tc>
      </w:tr>
      <w:tr>
        <w:trPr>
          <w:trHeight w:val="230"/>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Warrant liability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105,265</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59,211</w:t>
            </w:r>
          </w:p>
        </w:tc>
      </w:tr>
      <w:tr>
        <w:trPr>
          <w:trHeight w:val="221"/>
        </w:trPr>
        <w:tc>
          <w:tcPr>
            <w:tcW w:w="7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1,989,479</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2,773,133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44,734,328 and</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23,810,541 shares issued at March 31, 2021 and December 31, 2020, and 44,734,328 and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23,808,546 shares outstanding at March 31, 2021 and December 31, 2020, respectively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70,054,420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41,585,761</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(21,280,850)</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(19,428,954)</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48,778,043</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22,159,188</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50,767,522</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24,932,321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2020" w:right="1220"/>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OPERATIONS (Unaudited)</w:t>
      </w:r>
    </w:p>
    <w:p>
      <w:pPr>
        <w:spacing w:after="0" w:line="200" w:lineRule="exact"/>
        <w:rPr>
          <w:sz w:val="20"/>
          <w:szCs w:val="20"/>
          <w:color w:val="auto"/>
        </w:rPr>
      </w:pPr>
    </w:p>
    <w:p>
      <w:pPr>
        <w:jc w:val="center"/>
        <w:ind w:left="3980"/>
        <w:spacing w:after="0"/>
        <w:rPr>
          <w:sz w:val="20"/>
          <w:szCs w:val="20"/>
          <w:color w:val="auto"/>
        </w:rPr>
      </w:pPr>
      <w:r>
        <w:rPr>
          <w:rFonts w:ascii="Arial" w:cs="Arial" w:eastAsia="Arial" w:hAnsi="Arial"/>
          <w:sz w:val="18"/>
          <w:szCs w:val="18"/>
          <w:b w:val="1"/>
          <w:bCs w:val="1"/>
          <w:color w:val="auto"/>
        </w:rPr>
        <w:t>Three Months Ended</w:t>
      </w:r>
    </w:p>
    <w:p>
      <w:pPr>
        <w:jc w:val="center"/>
        <w:ind w:left="39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4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CCEEFF"/>
            </w:tcBorders>
            <w:shd w:val="clear" w:color="auto" w:fill="CCEEFF"/>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1,268,829</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1,132,830</w:t>
            </w:r>
          </w:p>
        </w:tc>
        <w:tc>
          <w:tcPr>
            <w:tcW w:w="180" w:type="dxa"/>
            <w:vAlign w:val="bottom"/>
            <w:shd w:val="clear" w:color="auto" w:fill="CCEEFF"/>
          </w:tcPr>
          <w:p>
            <w:pPr>
              <w:spacing w:after="0"/>
              <w:rPr>
                <w:sz w:val="19"/>
                <w:szCs w:val="19"/>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1,740,655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1,643,371</w:t>
            </w:r>
          </w:p>
        </w:tc>
        <w:tc>
          <w:tcPr>
            <w:tcW w:w="180" w:type="dxa"/>
            <w:vAlign w:val="bottom"/>
            <w:shd w:val="clear" w:color="auto" w:fill="CCEEFF"/>
          </w:tcPr>
          <w:p>
            <w:pPr>
              <w:spacing w:after="0"/>
              <w:rPr>
                <w:sz w:val="19"/>
                <w:szCs w:val="19"/>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1,332,769</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1,859,017</w:t>
            </w:r>
          </w:p>
        </w:tc>
        <w:tc>
          <w:tcPr>
            <w:tcW w:w="180" w:type="dxa"/>
            <w:vAlign w:val="bottom"/>
            <w:tcBorders>
              <w:bottom w:val="single" w:sz="8" w:color="CCEEFF"/>
            </w:tcBorders>
          </w:tcPr>
          <w:p>
            <w:pPr>
              <w:spacing w:after="0"/>
              <w:rPr>
                <w:sz w:val="19"/>
                <w:szCs w:val="19"/>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3,073,424</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3,502,388</w:t>
            </w:r>
          </w:p>
        </w:tc>
        <w:tc>
          <w:tcPr>
            <w:tcW w:w="180" w:type="dxa"/>
            <w:vAlign w:val="bottom"/>
            <w:shd w:val="clear" w:color="auto" w:fill="CCEEFF"/>
          </w:tcPr>
          <w:p>
            <w:pPr>
              <w:spacing w:after="0"/>
              <w:rPr>
                <w:sz w:val="19"/>
                <w:szCs w:val="19"/>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(1,804,595)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(2,369,558)</w:t>
            </w:r>
          </w:p>
        </w:tc>
        <w:tc>
          <w:tcPr>
            <w:tcW w:w="180" w:type="dxa"/>
            <w:vAlign w:val="bottom"/>
          </w:tcPr>
          <w:p>
            <w:pPr>
              <w:spacing w:after="0"/>
              <w:rPr>
                <w:sz w:val="19"/>
                <w:szCs w:val="19"/>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283,070</w:t>
            </w:r>
          </w:p>
        </w:tc>
        <w:tc>
          <w:tcPr>
            <w:tcW w:w="180" w:type="dxa"/>
            <w:vAlign w:val="bottom"/>
            <w:shd w:val="clear" w:color="auto" w:fill="CCEEFF"/>
          </w:tcPr>
          <w:p>
            <w:pPr>
              <w:spacing w:after="0"/>
              <w:rPr>
                <w:sz w:val="19"/>
                <w:szCs w:val="19"/>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80" w:type="dxa"/>
            <w:vAlign w:val="bottom"/>
            <w:tcBorders>
              <w:bottom w:val="single" w:sz="8" w:color="CCEEFF"/>
            </w:tcBorders>
          </w:tcPr>
          <w:p>
            <w:pPr>
              <w:spacing w:after="0"/>
              <w:rPr>
                <w:sz w:val="19"/>
                <w:szCs w:val="19"/>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(1,851,896)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(2,083,816)</w:t>
            </w:r>
          </w:p>
        </w:tc>
        <w:tc>
          <w:tcPr>
            <w:tcW w:w="180" w:type="dxa"/>
            <w:vAlign w:val="bottom"/>
            <w:shd w:val="clear" w:color="auto" w:fill="CCEEFF"/>
          </w:tcPr>
          <w:p>
            <w:pPr>
              <w:spacing w:after="0"/>
              <w:rPr>
                <w:sz w:val="19"/>
                <w:szCs w:val="19"/>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(1,851,896)</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(2,083,816)</w:t>
            </w:r>
          </w:p>
        </w:tc>
        <w:tc>
          <w:tcPr>
            <w:tcW w:w="180" w:type="dxa"/>
            <w:vAlign w:val="bottom"/>
          </w:tcPr>
          <w:p>
            <w:pPr>
              <w:spacing w:after="0"/>
              <w:rPr>
                <w:sz w:val="19"/>
                <w:szCs w:val="19"/>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50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155"/>
        </w:trPr>
        <w:tc>
          <w:tcPr>
            <w:tcW w:w="41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Weighted-average number of common shares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217"/>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 basic and diluted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30,551,316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9,534,842</w:t>
            </w:r>
          </w:p>
        </w:tc>
        <w:tc>
          <w:tcPr>
            <w:tcW w:w="180" w:type="dxa"/>
            <w:vAlign w:val="bottom"/>
            <w:shd w:val="clear" w:color="auto" w:fill="CCEEFF"/>
          </w:tcPr>
          <w:p>
            <w:pPr>
              <w:spacing w:after="0"/>
              <w:rPr>
                <w:sz w:val="18"/>
                <w:szCs w:val="18"/>
                <w:color w:val="auto"/>
              </w:rPr>
            </w:pPr>
          </w:p>
        </w:tc>
      </w:tr>
    </w:tbl>
    <w:p>
      <w:pPr>
        <w:spacing w:after="0" w:line="33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Three Months Ended</w:t>
      </w:r>
    </w:p>
    <w:p>
      <w:pPr>
        <w:jc w:val="center"/>
        <w:ind w:left="78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(2,083,816)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135,379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38,409</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(283,070)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(591,129)</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298,959</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(911,301)</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(264,280)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361,382</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(541,701)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(2,722,790)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(3,708,034)</w:t>
            </w:r>
          </w:p>
        </w:tc>
      </w:tr>
      <w:tr>
        <w:trPr>
          <w:trHeight w:val="148"/>
        </w:trPr>
        <w:tc>
          <w:tcPr>
            <w:tcW w:w="7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27,016,746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9,865,727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1,485,351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(249,653)</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28,216,464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9,616,074</w:t>
            </w:r>
          </w:p>
        </w:tc>
      </w:tr>
      <w:tr>
        <w:trPr>
          <w:trHeight w:val="108"/>
        </w:trPr>
        <w:tc>
          <w:tcPr>
            <w:tcW w:w="78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25,493,674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5,908,040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11,118,614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3,738,900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36,612,288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9,646,940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1"/>
        </w:trPr>
        <w:tc>
          <w:tcPr>
            <w:tcW w:w="7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398,561</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760" w:right="1940"/>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8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700" w:type="dxa"/>
            <w:vAlign w:val="bottom"/>
            <w:gridSpan w:val="3"/>
            <w:vMerge w:val="restart"/>
          </w:tcPr>
          <w:p>
            <w:pPr>
              <w:jc w:val="right"/>
              <w:ind w:right="171"/>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7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9"/>
              </w:rPr>
              <w:t>Additional</w:t>
            </w:r>
          </w:p>
        </w:tc>
        <w:tc>
          <w:tcPr>
            <w:tcW w:w="138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Accumulated</w:t>
            </w:r>
          </w:p>
        </w:tc>
        <w:tc>
          <w:tcPr>
            <w:tcW w:w="12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8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7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Paid-In Capital</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Deficit</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49"/>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4,511,174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$ 22,657,103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$(12,076,700)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ind w:left="20"/>
              <w:spacing w:after="0" w:line="203" w:lineRule="exact"/>
              <w:rPr>
                <w:sz w:val="20"/>
                <w:szCs w:val="20"/>
                <w:color w:val="auto"/>
              </w:rPr>
            </w:pPr>
            <w:r>
              <w:rPr>
                <w:rFonts w:ascii="Arial" w:cs="Arial" w:eastAsia="Arial" w:hAnsi="Arial"/>
                <w:sz w:val="18"/>
                <w:szCs w:val="18"/>
                <w:color w:val="auto"/>
              </w:rPr>
              <w:t>Issuance of equity securities, net</w:t>
            </w:r>
          </w:p>
        </w:tc>
        <w:tc>
          <w:tcPr>
            <w:tcW w:w="10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8,353,480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835</w:t>
            </w: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7"/>
              </w:rPr>
              <w:t>1,246,519</w:t>
            </w:r>
          </w:p>
        </w:tc>
        <w:tc>
          <w:tcPr>
            <w:tcW w:w="100" w:type="dxa"/>
            <w:vAlign w:val="bottom"/>
          </w:tcPr>
          <w:p>
            <w:pPr>
              <w:spacing w:after="0"/>
              <w:rPr>
                <w:sz w:val="17"/>
                <w:szCs w:val="17"/>
                <w:color w:val="auto"/>
              </w:rPr>
            </w:pPr>
          </w:p>
        </w:tc>
        <w:tc>
          <w:tcPr>
            <w:tcW w:w="7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7"/>
                <w:szCs w:val="17"/>
                <w:color w:val="auto"/>
              </w:rPr>
            </w:pPr>
          </w:p>
        </w:tc>
        <w:tc>
          <w:tcPr>
            <w:tcW w:w="11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9,466,206</w:t>
            </w:r>
          </w:p>
        </w:tc>
        <w:tc>
          <w:tcPr>
            <w:tcW w:w="80" w:type="dxa"/>
            <w:vAlign w:val="bottom"/>
          </w:tcPr>
          <w:p>
            <w:pPr>
              <w:spacing w:after="0"/>
              <w:rPr>
                <w:sz w:val="17"/>
                <w:szCs w:val="17"/>
                <w:color w:val="auto"/>
              </w:rPr>
            </w:pPr>
          </w:p>
        </w:tc>
        <w:tc>
          <w:tcPr>
            <w:tcW w:w="13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9,467,166</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shares converted to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777,825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38,409</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(2,083,816)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(2,083,816)</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13,645,677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468,694</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47</w:t>
            </w: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32,161,718</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(14,160,516)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18,002,613</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23,808,546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2,381</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41,585,761</w:t>
            </w:r>
          </w:p>
        </w:tc>
        <w:tc>
          <w:tcPr>
            <w:tcW w:w="80" w:type="dxa"/>
            <w:vAlign w:val="bottom"/>
          </w:tcPr>
          <w:p>
            <w:pPr>
              <w:spacing w:after="0"/>
              <w:rPr>
                <w:sz w:val="19"/>
                <w:szCs w:val="19"/>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b w:val="1"/>
                <w:bCs w:val="1"/>
                <w:color w:val="auto"/>
              </w:rPr>
              <w:t>(19,428,954)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22,159,188</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Issuance of equity securities, net 19,627,215</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26,848,058</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26,850,021</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Warrants exercised for cash, net</w:t>
            </w:r>
          </w:p>
        </w:tc>
        <w:tc>
          <w:tcPr>
            <w:tcW w:w="1040" w:type="dxa"/>
            <w:vAlign w:val="bottom"/>
          </w:tcPr>
          <w:p>
            <w:pPr>
              <w:jc w:val="right"/>
              <w:spacing w:after="0"/>
              <w:rPr>
                <w:sz w:val="20"/>
                <w:szCs w:val="20"/>
                <w:color w:val="auto"/>
              </w:rPr>
            </w:pPr>
            <w:r>
              <w:rPr>
                <w:rFonts w:ascii="Arial" w:cs="Arial" w:eastAsia="Arial" w:hAnsi="Arial"/>
                <w:sz w:val="18"/>
                <w:szCs w:val="18"/>
                <w:color w:val="auto"/>
              </w:rPr>
              <w:t>1,298,567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1,485,222</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1,485,351</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135,379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135,379</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(1,851,896)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(1,851,896)</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44,734,328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$ 70,054,420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$(21,280,850)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48,778,043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90" w:right="7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3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field concerned with gene expression regulation is called ‘epigenetics’. As cancers are often diseases driven by gene dysregulation, epigenetics is an area of interest for cancer treatment. The Company's lead epigenetic based technology was licensed from the University of Utah Research Foundation in 2011. The Company is located in Houston, Texas.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outbreak of COVID-19 has spread worldwide and has had a major impact on the United States and global economies and may in the future affect the Company’s operations and those of third parties on which the Company relies. While the potential economic impact brought by, and the duration of, the COVID-19 pandemic is difficult to assess or predict, the future impact of the COVID-19 pandemic on the global financial markets may reduce the Company’s ability to access capital, which could negatively impact the Company’s long-term liquidity. The ultimate impact of the COVID-19 pandemic continues to be highly uncertain and subject to change and the Company does not yet know the full extent of potential delays or impacts on its business. However, these effects could have a material impact on the Company’s liquidity, capital resources, operations, and business and those of the third parties on which we rely.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2020 included elsewhere in the Company's Annual Report on Form 10-K filed with the SEC on March 18, 2021. In the opinion of management, the unaudited interim financial statements reflect all the adjustments (consisting of normal recurring adjustments) necessary to state fairly the Company’s financial position as of March 31, 2021 and the results of operations for the three months ended March 31, 2021 and 2020. The interim results of operations are not necessarily indicative of the results that may occur for the full fiscal year. The December 31, 2020 balance sheet included herein was derived from the audited financial statements, but does not include all disclosures, including notes, required by GAAP for complete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several bank accounts including an interest-bearing account for funds received from Cancer Prevention and Research Institution of Texas ("CPRIT") funded amount. At both March 31, 2021 and December 31, 2020, the CPRIT bank balance was $0, respectively. The grant has a mandatory fund matching requirement. Subject to CPRIT review, the Company believes that all matching fund requirements have been met at March 31, 2021.</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months ended March 31, 2021 and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 value of goodwill has been impaired. There was no impairment of goodwill during the three months ended March 31, 2021 or March 31,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whether the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When grant funds are received after costs have been incurred, the Company records revenue and a corresponding grants receivable.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9,537,198 and 10,597,729 shares as of March 31, 2021 and 2020,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2021 and December 31, 2020,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The adoption of ASU 2019-12 in the first quarter of 2021 did not have a material impact on the Company’s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and there is reasonable assurance that conditions of the grant have been met but the corresponding funds have not been received as of the reporting date. Grants receivable balances are $4.2 million and $3.9 million as of March 31, 2021 and December 31, 2020, respectively.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March 31, 2021 and December 31, 2020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2020</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402,252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684,268</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137,782</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814,816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822,050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2020 and 2019, the Company financed their directors' and officers' insurance premium with a short term note, the principal amount of which is approximately $0.9 million bearing interest at a rate of 2.49% and 4.61%. The note payable balances, which were included within Current Liabilities on the Condensed Consolidated Balance Sheets, were $0.2 million and $0.5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to fund the development of an LSD1 inhibitor. This is a 3-year grant award which originally expired on May 31, 2019. The grant now expires on November 30, 2021 with extensions available.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March 31, 2021, the Company has received an aggregate of $11.3 million from the CPRIT grant. Approximately $2.6 million of the remaining $7.4 million CPRIT grant was for a castration-resistant prostate study. The Company has elected not to pursue this study, and accordingly this amount will no longer be available.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was $0.9 million of funding received from CPRIT during the three months ended March 31, 2021. At March 31, 2021 and December 31, 2020, the Company had grants receivable of $4.2 million and $3.9 million,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issued in connection with the Company's merger with Flex Pharma in 2019, which are measured at fair value on a recurring basis for the three months ended March 31, 2021:</w:t>
      </w:r>
    </w:p>
    <w:p>
      <w:pPr>
        <w:spacing w:after="0" w:line="198"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8"/>
                <w:szCs w:val="18"/>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160" w:type="dxa"/>
            <w:vAlign w:val="bottom"/>
          </w:tcPr>
          <w:p>
            <w:pPr>
              <w:spacing w:after="0"/>
              <w:rPr>
                <w:sz w:val="18"/>
                <w:szCs w:val="18"/>
                <w:color w:val="auto"/>
              </w:rPr>
            </w:pP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 March 31,</w:t>
            </w: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46,054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105,265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Common Stock</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2020 Offering”). The February 2020 Offering was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A total of 8,353,480 shares of common stock, 1,246,519 shares of Series A convertible preferred stock, and warrants to purchase up to 9,599,999 shares of common stock were issued in the offering, including the full exercise of the over-allotment option.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issued in the February Offering as well as the exercise price of the warrants are fixed and do not contain any variable pricing features or any price based anti-dilutive features. During the year end December 31, 2020 , all 1,246,519 shares of Series A convertible preferred stock were converted to common stock.</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2020, the Company completed a public offering of 5,130,390 shares of its common stock at a price to the public of $1.20 per share. Total gross proceeds from the offering were approximately $6.2 million, prior to deducting underwriting discounts and commissions and offering expenses payable by Salarius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discussed above, in connection with the February 2020 Offerings, the Company issued five-year warrants to purchase one share of common stock at an exercise price of $1.15 per share (each a "warrant") . On December 11, 2020, the Company entered into warrant exercise inducement offer letters (“Inducement Letters”) with certain holders of 3,964,065 Warrants (collectively, the “Exercising Holders”) pursuant to which such holders agreed to exercise on December 11, 2020 for cash, their Warrants to purchase 3,964,065 shares of Common Stock in exchange for the Company’s agreement to (i) lower the exercise price of the Warrants held by the Exercising Holders to $0.90 and</w:t>
      </w:r>
    </w:p>
    <w:p>
      <w:pPr>
        <w:spacing w:after="0" w:line="2" w:lineRule="exact"/>
        <w:rPr>
          <w:sz w:val="20"/>
          <w:szCs w:val="20"/>
          <w:color w:val="auto"/>
        </w:rPr>
      </w:pPr>
    </w:p>
    <w:p>
      <w:pPr>
        <w:ind w:firstLine="8"/>
        <w:spacing w:after="0" w:line="261"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 new warrants (the “Inducement Warrants”) to purchase up to 3,964,065 shares of Common Stock. Each Inducement Warrant is exercisable at a price per share of $1.182 and expires on June 11, 2026.</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5, 2021, the Company entered into an At the Market Offering Agreement (the “Sales Agreement”) with Ladenburg Thalmann &amp; Co. Inc. (“Ladenburg”). Under the Sales Agreement the Company was able to issue and sell, from time to time, shares of its common stock having an aggregate offering price of up to $6.3 million (the “ATM Shares”) with Ladenburg acting as an agent for sales. Sales of the ATM Shares may be made by any method permitted by law deemed to be an “at the market offering” as defined in Rule 415(a)(4) of the Securities Act of 1933, as amended, including, without limitation, sales made directly on or through the NASDAQ Capital Market. During the three months ended March 31, 2021, the Company issued 2,820,493 shares under the Sales Agreement for gross proceeds of $6.3 million.</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8, 2021, the Company completed a public offering of 16,806,722 shares of its common stock at a price to the public of $1.3685 per share. Total gross proceeds from the offering were approximately $23.0 million prior to deducting underwriting discounts and commissions and offering expenses payable by Salarius.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18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During the three months ended March 31, 2021, the Company issued 1,298,567 common shares as a result of warrant exercises, and received cash proceeds of approximately $1.5 million. As of March 31, 2021, 7,747,587 of warrants were still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at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Using this method, unobservable inputs included the Company’s equity value, expected timing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risk free interest rates and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56"/>
        </w:trPr>
        <w:tc>
          <w:tcPr>
            <w:tcW w:w="1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March 31, 2021</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142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0.64%</w:t>
            </w:r>
          </w:p>
        </w:tc>
        <w:tc>
          <w:tcPr>
            <w:tcW w:w="16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0.27%</w:t>
            </w:r>
          </w:p>
        </w:tc>
      </w:tr>
      <w:tr>
        <w:trPr>
          <w:trHeight w:val="230"/>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3.81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4.06 years</w:t>
            </w:r>
          </w:p>
        </w:tc>
      </w:tr>
      <w:tr>
        <w:trPr>
          <w:trHeight w:val="230"/>
        </w:trPr>
        <w:tc>
          <w:tcPr>
            <w:tcW w:w="14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130.68%</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130.56%</w:t>
            </w:r>
          </w:p>
        </w:tc>
      </w:tr>
      <w:tr>
        <w:trPr>
          <w:trHeight w:val="229"/>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4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Wedbush Warrant</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$ 0.5 million of the $1.0 million success fee payable to Wedbush at the closing of the merger. The remaining $0.5 million success fee was paid in cash. These warrants have an exercise price of $18.90 and a 5-year term. As of March 31, 2021, all warrants issued to Wedbush were outstanding.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On July 19, 2019, the Company completed a merger with Flex Pharma and Flex Pharma had fully vested options to purchase 90,279 common shares outstanding as of the date of the merger and 34,385 of these options continue to be exercisable as of March 31, 2021.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2021, there were 1,020,690 shares remaining available for the grant of stock awards under the 2015 Plan.</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three-month periods ended March 31, 2021 and 2020, the Company awarded 40,000 and 182,000, respectively,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each of the three month periods ended March 31, 2021 and 2020 was $0.1 million, which has been estimated with the following assumptions on the grant date.</w:t>
      </w:r>
    </w:p>
    <w:p>
      <w:pPr>
        <w:spacing w:after="0" w:line="172"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6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3/23/2020</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3/10/2021</w:t>
            </w:r>
          </w:p>
        </w:tc>
        <w:tc>
          <w:tcPr>
            <w:tcW w:w="100" w:type="dxa"/>
            <w:vAlign w:val="bottom"/>
            <w:shd w:val="clear" w:color="auto" w:fill="CCEEFF"/>
          </w:tcPr>
          <w:p>
            <w:pPr>
              <w:spacing w:after="0"/>
              <w:rPr>
                <w:sz w:val="19"/>
                <w:szCs w:val="19"/>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0.48 %</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133.35 %</w:t>
            </w:r>
          </w:p>
        </w:tc>
        <w:tc>
          <w:tcPr>
            <w:tcW w:w="100" w:type="dxa"/>
            <w:vAlign w:val="bottom"/>
            <w:shd w:val="clear" w:color="auto" w:fill="CCEEFF"/>
          </w:tcPr>
          <w:p>
            <w:pPr>
              <w:spacing w:after="0"/>
              <w:rPr>
                <w:sz w:val="19"/>
                <w:szCs w:val="19"/>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2021 and 2020:</w:t>
      </w: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line="185" w:lineRule="exact"/>
              <w:rPr>
                <w:sz w:val="20"/>
                <w:szCs w:val="20"/>
                <w:color w:val="auto"/>
              </w:rPr>
            </w:pPr>
            <w:r>
              <w:rPr>
                <w:rFonts w:ascii="Arial" w:cs="Arial" w:eastAsia="Arial" w:hAnsi="Arial"/>
                <w:sz w:val="18"/>
                <w:szCs w:val="18"/>
                <w:b w:val="1"/>
                <w:bCs w:val="1"/>
                <w:color w:val="auto"/>
                <w:w w:val="98"/>
              </w:rPr>
              <w:t>Weighted-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 (in years)</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166,233</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$34.42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rPr>
              <w:t>182,000</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0.61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20" w:type="dxa"/>
            <w:vAlign w:val="bottom"/>
          </w:tcPr>
          <w:p>
            <w:pPr>
              <w:jc w:val="center"/>
              <w:spacing w:after="0"/>
              <w:rPr>
                <w:sz w:val="20"/>
                <w:szCs w:val="20"/>
                <w:color w:val="auto"/>
              </w:rPr>
            </w:pPr>
            <w:r>
              <w:rPr>
                <w:rFonts w:ascii="Arial" w:cs="Arial" w:eastAsia="Arial" w:hAnsi="Arial"/>
                <w:sz w:val="18"/>
                <w:szCs w:val="18"/>
                <w:color w:val="auto"/>
              </w:rPr>
              <w:t>338,233</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$17.01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8.18</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84,711</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$59.85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1,563,972</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4.87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$175,770</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40,000</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1,603,972</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9.24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$784,801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143,747</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$18.96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$57,900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2021 and 2020, there was approximately $1.3 million and $0.5 million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2.9 years.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reviewed all material events through the date that the financial statements were issued, and concluded that there are no significant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2020, filed with the SEC on March 18, 2021.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2020, </w:t>
      </w:r>
      <w:r>
        <w:rPr>
          <w:rFonts w:ascii="Arial" w:cs="Arial" w:eastAsia="Arial" w:hAnsi="Arial"/>
          <w:sz w:val="18"/>
          <w:szCs w:val="18"/>
          <w:color w:val="auto"/>
        </w:rPr>
        <w:t>for the year ended December 31, 2020,</w:t>
      </w:r>
      <w:r>
        <w:rPr>
          <w:rFonts w:ascii="Arial" w:cs="Arial" w:eastAsia="Arial" w:hAnsi="Arial"/>
          <w:sz w:val="18"/>
          <w:szCs w:val="18"/>
          <w:i w:val="1"/>
          <w:iCs w:val="1"/>
          <w:color w:val="auto"/>
        </w:rPr>
        <w:t xml:space="preserve"> filed with the SEC on March 18, 2021,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 clinical-stage biopharmaceutical company focused on developing effective treatments for cancers with high, unmet medical need. Specifically, we are developing treatments for cancers caused by dysregulated gene expression, i.e., genes that are incorrectly turned on or off. The field concerned with gene expression regulation is called ‘epigenetics’. As cancers are often diseases driven by gene dysregulation, epigenetics is an area of interest for cancer treatment. Our lead epigenetic based technology, seclidemstat ("SP-2577"), may treat cancers by restoring correct gene expression.</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2011, Salarius licensed SP-2577 and related compounds from the University of Utah Research Foundation. SP-2577 is a small molecule that inhibits the epigenetic enzyme lysine specific demethylase 1 (“LSD1”). LSD1’s enzymatic activity can cause genes to turn on or off and thereby affect the cell’s gene expression and overall activity. In addition, LSD1 can act via its scaffolding properties (protein-protein interactions), independently of its enzymatic function, to alter gene expression and modulate cell fate. In healthy cells, LSD1 is necessary for stem cell maintenance and normal cell development processes. However, in several cancers LSD1 is highly expressed and acts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 growth. We believe SP-2577 helps inhibit EWS-FLI activity by disrupting EWS-FLI from associating with LSD1 and other proteins that are necessary for its cancer promoting activity. Therefore, we believe that SP-2577 can potentially reverse the cancer promoting gene expression and thereby possibly prevent Ewing sarcoma tumor growth and cause cancer cell death. Preclinical studies of SP-2577 in certain Ewing sarcoma animal models showed a significant tumor reduction as well as a significant survival benefit compared to untreated animals. Our ongoing Phase 1/2 clinical trial is designed as a single agent dose escalation followed by a dose expansion study. We recently announced the completion of the dose escalation portion of the trial. The dose expansion portion of the trial will study SP-2577 in combination with a common chemotherapeutic regimen, topotecan and cyclophosphamide ("TC"). Preclinical work showed the combination of SP-2577 and TC to be synergistic. The dose expansion portion can enroll up to 30 relapsed or refractory Ewing sarcoma patients and will assess the safety and tolerability of SP-2577 and TC and study preliminary efficacy of the regimen. In addition, we recently announced that the dose expansion phase of the Ewing sarcoma trial will be expanded to also include up to 30 relapsed or refractory patients with Ewing-related sarcomas, i.e., FET-rearranged or FET-translocated sarcomas. Similar to EWS-FLI in Ewing sarcoma, other FET family (EWS-, FUS-, TAF15-) fusion proteins in FET-rearranged sarcomas have been found to interact with LSD1. Consequently, SP-2577 has shown anti-proliferative activity in several FET-rearranged sarcoma cell lines. Patients with FET-rearranged sarcomas will be treated with single agent SP-2577.</w:t>
      </w:r>
    </w:p>
    <w:p>
      <w:pPr>
        <w:spacing w:after="0" w:line="1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LSD1 can interact with over 60 regulatory proteins other than EWS-FLI, we believe that LSD1 may also play a critical role in progression of various other cancer types. These include both solid tumors and hematologic malignancies. Our second company-sponsored trial is a Phase 1/2 study of SP-2577 in Advanced Solid Tumors. The Advanced Solid Tumor (“AST”) trial is currently in the dose escalation phase of the trial. Preliminary data from</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this trial supports the expansion of SP-2577 in FET-rearranged sarcomas. In addition, we are conducting preclinical work with SP-2577 for use in hematologic cancers.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works have sparked interest in combining LSD1 inhibitors with checkpoint inhibitors. We are conducting preclinical work with SP-2577 in this area.</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$21.3 million as of March 31, 2021. Substantially all of our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2021, the Cancer Prevention and Research Institution of Texas ("CPRIT") fund matching requirements had been fully met. As of March 31, 2021, we have received an aggregate of $11.3 million from the CPRIT grant. Approximately $2.6 million of the remaining $7.4 million CPRIT grant was for a castration-resistant prostate study. The Company has elected not to pursue this study, and accordingly this amount will no longer be available. The Company was approved for an extension with a contract end date of November 30, 2021.</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$36.6 million in cash and cash equivalents on hand as of March 31, 2021, and the expected CPRIT funds available are sufficient to fund our anticipated operating and capital requirements through the completion of our current clinical trials in 2022 and beyond,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 and to fund our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5, 2021, we entered into an At the Market Offering Agreement (the “Sales Agreement”) with Ladenburg Thalmann &amp; Co. Inc. (“Ladenburg”). Under the Sales Agreement the Company was able to issue and sell, from time to time, shares of its common stock having an aggregate offering price of up to $6.3 million (the “ATM Shares”) with Ladenburg acting as an agent for sales. Sales of the ATM Shares may be made by any method permitted by law deemed to be an “at the market offering” as defined in Rule 415(a)(4) of the Securities Act of 1933, as amended, including, without limitation, sales made directly on or through the NASDAQ Capital Market. During the three months ended March 31, 2021, we issued 2,820,493 shares under the Sales Agreement for net proceeds of $6.0 million.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On February 17, 2021, we announced it had completed the dose-escalation stage of the Phase 1/2 trial in Ewing sarcoma patients. In addition, the Company announced it would expand the dose expansion portion of the trial to also include patients with Ewing-related sarcomas, often referred to as FET-rearranged sarcomas.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8, 2021, we completed a public offering of 16,806,722 shares of its common stock at a price to the public of $1.3685 per share. Total gross proceeds from the offering was approximately $ 23.0 million prior to deducting underwriting discounts and commissions and offering expenses payable by Salarius. See also Note 7 to the Company's noted to the Condensed Consolidated Financial Statements.</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April 19, 2021, we announced that three abstracts highlighting seclidemstat research were selected for poster presentations at the 2021 American Society of clinical Oncology (ASCO) meeting. The presentations will highlight findings from the dose escalation portion of the Ewing sarcoma trial, preliminary safety and efficacy from the AST trial, and detail the expansion portion of the Ewing sarcoma and select sarcoma trial. In addition, the poster detailing the Ewing sarcoma dose escalation data was selected as part of a poster discussion session. ASCO 2021 will be held virtually from June 4-8,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Salarius has worked to adapt to the unexpected and challenging circumstances resulting from the COVID-19 pandemic and at this time we are experiencing minimal COVID-19 disruptions to our clinical programs, our manufacturing capabilities, or our financing capabilities. However, we may experience disruptions in the future that have and could further adversely impact our business operations as well as our preclinical studies and clinical trials.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this time we are experiencing minimal disruption to our clinical trials. However, our ongoing Phase 1/2 Ewing sarcoma clinical trial and Phase 1/2 AST clinical trial may encounter delays in enrolling new patients due to concerns or healthcare resource constraints because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third-party contractor's ability to manufacture our product candidates. The ultimate impact of the COVID-19 pandemic on our business operations as well as our preclinical studies and clinical trials remains uncertain and subject to change and will depend on future developments, which cannot be accurately predicted. We will continue to monitor the situation closely.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the Three Months Ended March 31, 2020</w:t>
      </w:r>
    </w:p>
    <w:p>
      <w:pPr>
        <w:spacing w:after="0" w:line="16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March 31, 2021 compared to the three months ended March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80" w:type="dxa"/>
            <w:vAlign w:val="bottom"/>
          </w:tcPr>
          <w:p>
            <w:pPr>
              <w:spacing w:after="0"/>
              <w:rPr>
                <w:sz w:val="20"/>
                <w:szCs w:val="20"/>
                <w:color w:val="auto"/>
              </w:rPr>
            </w:pPr>
          </w:p>
        </w:tc>
        <w:tc>
          <w:tcPr>
            <w:tcW w:w="26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Effect on Net Loss</w:t>
            </w:r>
            <w:r>
              <w:rPr>
                <w:rFonts w:ascii="Arial" w:cs="Arial" w:eastAsia="Arial" w:hAnsi="Arial"/>
                <w:sz w:val="12"/>
                <w:szCs w:val="12"/>
                <w:b w:val="1"/>
                <w:bCs w:val="1"/>
                <w:color w:val="auto"/>
              </w:rPr>
              <w:t>(a)</w:t>
            </w:r>
          </w:p>
        </w:tc>
      </w:tr>
      <w:tr>
        <w:trPr>
          <w:trHeight w:val="270"/>
        </w:trPr>
        <w:tc>
          <w:tcPr>
            <w:tcW w:w="37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1,268,829</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1,132,830</w:t>
            </w:r>
          </w:p>
        </w:tc>
        <w:tc>
          <w:tcPr>
            <w:tcW w:w="1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135,999</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(1,740,655)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(1,643,371)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(1,332,769)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(1,859,017)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526,248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283,070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(329,124)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income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147 %</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(1,851,896)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(2,083,816)</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231,920</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Note a - Positive numbers reduce net loss, negative numbers increase 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increased resulting from an increase in eligible spending reimbursable under the grant. Given the nature of the development process, grant revenue will fluctuate depending on the stage of development and the timing of spending.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increased slightly during the period compared to the same period in 2020 resulting from higher personnel costs, higher laboratory costs and higher manufacturing cost related to our active pharmaceutical ingredient in preparation of forecasted increased enrollment more than offsetting lower clinical trial and research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expenses decreased significantly during the current period compared to the same period a year ago resulting from lower professional fees and travel costs more than offsetting increased personnel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fair value of warrant liability of $0.05 million was primarily due to the fluctuation of the price of our common stock ($0.91 per share on December 31, 2020 compared to $1.48 per share on March 31, 2021). We recognized a loss of $0.05 million due the change in fair value of warrant liability during the three months ended March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solely from the CPRIT grant.</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commercializes any of our product candidates. At the same time, we expect our expenses to increase in connection with our ongoing research and development and manufacturing activities.</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have to significantly delay, scale back or discontinue the development or commercialization of one or more of our product candidates.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that our current unrestricted cash and cash and cash equivalent balances will be sufficient to fund our operations through the completion of our current clinical trials in 2022 and beyond.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2021, we had $39.7 million of working capital and our cash and cash equivalents totaled $36.6 million, which were held in bank deposit accounts. Our cash and cash equivalents balance increased during the three months ended March 31, 2021, primarily due to sales of our common stock in our public offering which closed on March 8,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(2,722,790)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9"/>
              </w:rPr>
              <w:t>(3,708,034)</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28,216,464</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9"/>
              </w:rPr>
              <w:t>9,616,074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25,493,674</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9"/>
              </w:rPr>
              <w:t>5,908,040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operating activities was $2.7 million in the current period, a decrease of approximately $1.0 million from the same period a year ago resulting from a partial collection of our CPRIT receivable.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for the three months ended March 31, 2021 was $28.2 million, compared to $9.6 million for the same period of the year 2020. The increase resulted from the Company's completion of common stock sales in February and a public offering in March 2021 with total net proceeds of approximately $27.0 million, and the receipt of approximately $1.5 million cash from warrants exercises during the three month ended March 31,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18, 2021.</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Readers should refer to our Annual Report on Form10-K filed with SEC on March 18, 2021, Note 2, Basis of Presentation and Significant Accounting Policies to the accompanying financial statements for descriptions of these policies and estimates.</w:t>
      </w:r>
    </w:p>
    <w:p>
      <w:pPr>
        <w:spacing w:after="0" w:line="1"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2021,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6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2020, filed with the SEC on March 18, 2021, as well as the risk factors set forth below. The risk factors below are in addition to and supplement (and with respect to certain matters, update) the risk factors discussed in our Annual Report on Form 10-K and in our Current Report on From 8-K filed on July 29, 2020. Other than as set forth below, there have been no material changes to the risk factors included in our Annual Report on Form 10-K filed with the SEC on March 18, 2021 and in our Current Report on Form 8-K filed on July 29,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3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To date, the COVID-19 pandemic has negatively impacted the global economy and the magnitude, severity, and duration of this impact is unclear and difficult to assess. In addition, certain areas, including Texas where we are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headquartered, have recently experienced a resurgence of COVID-19 cases. We have worked to adapt to the unexpected and challenging circumstances resulting from the COVID-19 pandemic and we have experienced minimal COVID-19 disruptions to our clinical programs and</w:t>
      </w:r>
    </w:p>
    <w:p>
      <w:pPr>
        <w:spacing w:after="0" w:line="8"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our manufacturing capabilities during the three months ended March 31, 2021. Both our Ewing sarcoma clinical study and our Advanced Solid Tumor clinical study are active. We plan to release clinical data from both studies, as previously disclosed, during 2021 and 2022. However, the situation with respect to the COVID-19 pandemic and its impact changes daily and is difficult to predict.</w:t>
      </w:r>
    </w:p>
    <w:p>
      <w:pPr>
        <w:spacing w:after="0" w:line="20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w:t>
      </w:r>
    </w:p>
    <w:p>
      <w:pPr>
        <w:spacing w:after="0" w:line="219" w:lineRule="auto"/>
        <w:rPr>
          <w:sz w:val="20"/>
          <w:szCs w:val="20"/>
          <w:color w:val="auto"/>
        </w:rPr>
      </w:pPr>
      <w:r>
        <w:rPr>
          <w:rFonts w:ascii="Arial" w:cs="Arial" w:eastAsia="Arial" w:hAnsi="Arial"/>
          <w:sz w:val="18"/>
          <w:szCs w:val="18"/>
          <w:color w:val="auto"/>
        </w:rPr>
        <w:t>has impacted all aspects of our business as well as those of the third-parties we rely upon for certain supplies and services. The continuation</w:t>
      </w:r>
    </w:p>
    <w:p>
      <w:pPr>
        <w:spacing w:after="0" w:line="227" w:lineRule="auto"/>
        <w:rPr>
          <w:sz w:val="20"/>
          <w:szCs w:val="20"/>
          <w:color w:val="auto"/>
        </w:rPr>
      </w:pPr>
      <w:r>
        <w:rPr>
          <w:rFonts w:ascii="Arial" w:cs="Arial" w:eastAsia="Arial" w:hAnsi="Arial"/>
          <w:sz w:val="18"/>
          <w:szCs w:val="18"/>
          <w:color w:val="auto"/>
        </w:rPr>
        <w:t>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216" w:lineRule="exact"/>
        <w:rPr>
          <w:sz w:val="20"/>
          <w:szCs w:val="20"/>
          <w:color w:val="auto"/>
        </w:rPr>
      </w:pPr>
    </w:p>
    <w:p>
      <w:pPr>
        <w:ind w:left="66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continue to monitor the situation and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to the third parties with which we do business. As a result, the effects of the COVID-19 pandemic could have a material adverse impact on our business, results of operations, and financial condition for the remainder of 2021 and beyond.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$7.4 million for the year ended December 31, 2020, and we have incurred a net loss of $1.9 million for the three months ended March 31, 2021.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have been funded in part through federal and state grants, including, but not limited to, the funding received from CPRIT. The amount and timing of our future funding requirements will depend on many factors, including but not limited to the pace and results of our clinical development efforts, as well as our ability to access the funding remaining available under the CPRIT grant. To date, we have also financed our operations primarily through the sale of equity securities. Further, the global economic downturn may impair our ability to obtain</w:t>
      </w:r>
    </w:p>
    <w:p>
      <w:pPr>
        <w:spacing w:after="0" w:line="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additional financing through other means, such as debt financing. There can be no assurance we will be able to secure additional financing on favorable terms to us, or at all. Further any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convertible debt, or other securities convertible into equity, the ownership interest of our existing stockholders will be diluted, and the terms of these new securities may include liquidation or other preferences that adversely affect rights of our equity holders. Debt financing, if available at all,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its product candidates or future revenue streams or grant licenses on terms that are not favorable to us. We may not be able to obtain additional funding when necessary to fund our entire portfolio of product candidates to meet its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The occurrence of any of these events could materially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federal and state grants, including funding from CPRIT and failure to receive additional grants may harm our business.</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course of the development of our product candidates, we have been funded in part through federal and state grants, including but not limited to the funding we received from CPRIT. The grants have been, and any future government grants and contracts we may receive may be, subject to the risks and contingencies set forth in our Annual Report on Form 10-K for the year ended December 31, 2020, including under the risk factor entitled “Reliance on government funding for our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it to potential financial penalties, which could materially and adversely affect our business, financial condition and results of operations.” The CPRIT agreement was awarded in June 2016 and originally provided for a three-year grant award of up to $18.7 million to fund the development of the LSD-1 inhibitor. As of March 31, 2021, we had received an aggregate of $11.3 million from the CPRIT grant. A portion of the remaining $7.4 million CPRIT grant was for a castration-resistant prostate study (approximately $ 2.6 million). The Company elected not to pursue this study and accordingly this amount will no longer be available. If CPRIT terminates our agreement prior to the expiration due to an event of default or if we terminate the agreement, CPRIT may require us to repay some or all of the disbursed grant. The term of the CPRIT agreement was extended through May 2021 and we were approved for an extension through November 30, 2021. Although we may apply for government contracts and grants in the future, we may not be successful in obtaining additional grants for any product candidates or programs. Failure to receive government grants in the future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6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Exhibit</w:t>
            </w:r>
          </w:p>
        </w:tc>
        <w:tc>
          <w:tcPr>
            <w:tcW w:w="6400" w:type="dxa"/>
            <w:vAlign w:val="bottom"/>
            <w:vMerge w:val="restart"/>
          </w:tcPr>
          <w:p>
            <w:pPr>
              <w:ind w:left="4260"/>
              <w:spacing w:after="0"/>
              <w:rPr>
                <w:sz w:val="20"/>
                <w:szCs w:val="20"/>
                <w:color w:val="auto"/>
              </w:rPr>
            </w:pPr>
            <w:r>
              <w:rPr>
                <w:rFonts w:ascii="Arial" w:cs="Arial" w:eastAsia="Arial" w:hAnsi="Arial"/>
                <w:sz w:val="18"/>
                <w:szCs w:val="18"/>
                <w:b w:val="1"/>
                <w:bCs w:val="1"/>
                <w:color w:val="auto"/>
                <w:w w:val="99"/>
              </w:rPr>
              <w:t>Description of Document</w:t>
            </w:r>
          </w:p>
        </w:tc>
        <w:tc>
          <w:tcPr>
            <w:tcW w:w="0" w:type="dxa"/>
            <w:vAlign w:val="bottom"/>
          </w:tcPr>
          <w:p>
            <w:pPr>
              <w:spacing w:after="0"/>
              <w:rPr>
                <w:sz w:val="1"/>
                <w:szCs w:val="1"/>
                <w:color w:val="auto"/>
              </w:rPr>
            </w:pPr>
          </w:p>
        </w:tc>
      </w:tr>
      <w:tr>
        <w:trPr>
          <w:trHeight w:val="239"/>
        </w:trPr>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w:t>
            </w:r>
          </w:p>
        </w:tc>
        <w:tc>
          <w:tcPr>
            <w:tcW w:w="6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sectPr>
      </w:pP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440"/>
        <w:spacing w:after="0" w:line="219"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Amended and Restated Certificate of Incorporation of the Registrant (incorporated by reference to Exhibit 3.1 to the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Registrant’s Current Report on Form 8-K filed with the SEC on February 9, 2015).</w:t>
        </w:r>
      </w:hyperlink>
    </w:p>
    <w:p>
      <w:pPr>
        <w:ind w:right="240"/>
        <w:spacing w:after="0" w:line="209" w:lineRule="auto"/>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Certificate of Amendment of Certificate of Incorporation, filed with Secretary of State of Delaware on July 18, 2019</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(incorporated by reference to Exhibit 3.1 to the Registrant’s Current Report on Form 8-K filed with the SEC on July 22,</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2019).</w:t>
        </w:r>
      </w:hyperlink>
    </w:p>
    <w:p>
      <w:pPr>
        <w:spacing w:after="0" w:line="13" w:lineRule="exact"/>
        <w:rPr>
          <w:rFonts w:ascii="Arial" w:cs="Arial" w:eastAsia="Arial" w:hAnsi="Arial"/>
          <w:sz w:val="18"/>
          <w:szCs w:val="18"/>
          <w:u w:val="single" w:color="auto"/>
          <w:color w:val="0000FF"/>
        </w:rPr>
      </w:pPr>
    </w:p>
    <w:p>
      <w:pPr>
        <w:sectPr>
          <w:pgSz w:w="11900" w:h="16838" w:orient="portrait"/>
          <w:cols w:equalWidth="0" w:num="2">
            <w:col w:w="960" w:space="600"/>
            <w:col w:w="9600"/>
          </w:cols>
          <w:pgMar w:left="320" w:top="290" w:right="419" w:bottom="1440" w:gutter="0" w:footer="0" w:header="0"/>
          <w:type w:val="continuous"/>
        </w:sectPr>
      </w:pPr>
    </w:p>
    <w:p>
      <w:pPr>
        <w:ind w:left="1560" w:right="60" w:hanging="843"/>
        <w:spacing w:after="0"/>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38">
        <w:r>
          <w:rPr>
            <w:rFonts w:ascii="Arial" w:cs="Arial" w:eastAsia="Arial" w:hAnsi="Arial"/>
            <w:sz w:val="18"/>
            <w:szCs w:val="18"/>
            <w:u w:val="single" w:color="auto"/>
            <w:color w:val="0000FF"/>
          </w:rPr>
          <w:t>Certificate of Designation of Preferences, Rights and Limitations of Series A Convertible Preferred Stock, dated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February 10, 2020 (incorporated by reference to Exhibit 3.1 to the Registrant’s Current Report on Form 8-K filed with the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SEC on February 12, 2020).</w:t>
        </w:r>
      </w:hyperlink>
    </w:p>
    <w:p>
      <w:pPr>
        <w:spacing w:after="0" w:line="41" w:lineRule="exact"/>
        <w:rPr>
          <w:rFonts w:ascii="Arial" w:cs="Arial" w:eastAsia="Arial" w:hAnsi="Arial"/>
          <w:sz w:val="18"/>
          <w:szCs w:val="18"/>
          <w:u w:val="single" w:color="auto"/>
          <w:color w:val="0000FF"/>
        </w:rPr>
      </w:pPr>
    </w:p>
    <w:p>
      <w:pPr>
        <w:ind w:left="1560" w:right="460" w:hanging="843"/>
        <w:spacing w:after="0" w:line="24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39">
        <w:r>
          <w:rPr>
            <w:rFonts w:ascii="Arial" w:cs="Arial" w:eastAsia="Arial" w:hAnsi="Arial"/>
            <w:sz w:val="18"/>
            <w:szCs w:val="18"/>
            <w:u w:val="single" w:color="auto"/>
            <w:color w:val="0000FF"/>
          </w:rPr>
          <w:t>Amended and Restated Bylaws, effective July 19, 2019 (incorporated by reference to Exhibit 3.2 to the Registrant’s</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Current Report on Form 8-K filed with the SEC on July 22, 2019).</w:t>
        </w:r>
      </w:hyperlink>
    </w:p>
    <w:p>
      <w:pPr>
        <w:spacing w:after="0" w:line="35" w:lineRule="exact"/>
        <w:rPr>
          <w:sz w:val="20"/>
          <w:szCs w:val="20"/>
          <w:color w:val="auto"/>
        </w:rPr>
      </w:pPr>
    </w:p>
    <w:p>
      <w:pPr>
        <w:ind w:left="1560" w:right="120" w:hanging="843"/>
        <w:spacing w:after="0" w:line="24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40">
        <w:r>
          <w:rPr>
            <w:rFonts w:ascii="Arial" w:cs="Arial" w:eastAsia="Arial" w:hAnsi="Arial"/>
            <w:sz w:val="18"/>
            <w:szCs w:val="18"/>
            <w:u w:val="single" w:color="auto"/>
            <w:color w:val="0000FF"/>
          </w:rPr>
          <w:t>Common Stock Purchase Warrant dated February 11, 2020 (incorporated by reference to Exhibit 4.1 to the Registrant’s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Current Report on Form 8-K filed on February 12, 2020).</w:t>
        </w:r>
      </w:hyperlink>
    </w:p>
    <w:p>
      <w:pPr>
        <w:spacing w:after="0" w:line="35" w:lineRule="exact"/>
        <w:rPr>
          <w:sz w:val="20"/>
          <w:szCs w:val="20"/>
          <w:color w:val="auto"/>
        </w:rPr>
      </w:pPr>
    </w:p>
    <w:p>
      <w:pPr>
        <w:ind w:left="1560" w:right="460" w:hanging="843"/>
        <w:spacing w:after="0" w:line="24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41">
        <w:r>
          <w:rPr>
            <w:rFonts w:ascii="Arial" w:cs="Arial" w:eastAsia="Arial" w:hAnsi="Arial"/>
            <w:sz w:val="18"/>
            <w:szCs w:val="18"/>
            <w:u w:val="single" w:color="auto"/>
            <w:color w:val="0000FF"/>
          </w:rPr>
          <w:t>Form of Common Stock Purchase Warrant (incorporated by reference to Exhibit 4.8 to the Registrant’s Registration</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Statement on Form S-1/A filed on February 6, 2020).</w:t>
        </w:r>
      </w:hyperlink>
    </w:p>
    <w:p>
      <w:pPr>
        <w:spacing w:after="0" w:line="35" w:lineRule="exact"/>
        <w:rPr>
          <w:sz w:val="20"/>
          <w:szCs w:val="20"/>
          <w:color w:val="auto"/>
        </w:rPr>
      </w:pPr>
    </w:p>
    <w:p>
      <w:pPr>
        <w:ind w:left="1560" w:right="1020" w:hanging="843"/>
        <w:spacing w:after="0" w:line="24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42">
        <w:r>
          <w:rPr>
            <w:rFonts w:ascii="Arial" w:cs="Arial" w:eastAsia="Arial" w:hAnsi="Arial"/>
            <w:sz w:val="18"/>
            <w:szCs w:val="18"/>
            <w:u w:val="single" w:color="auto"/>
            <w:color w:val="0000FF"/>
          </w:rPr>
          <w:t>Form of Preferred Stock Certificate of Registrant (incorporated by reference to Exhibit 4.9 to the Registrant’s</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Registration Statement on Form S-1/A filed on February 6, 2020).</w:t>
        </w:r>
      </w:hyperlink>
    </w:p>
    <w:p>
      <w:pPr>
        <w:spacing w:after="0" w:line="35" w:lineRule="exact"/>
        <w:rPr>
          <w:sz w:val="20"/>
          <w:szCs w:val="20"/>
          <w:color w:val="auto"/>
        </w:rPr>
      </w:pPr>
    </w:p>
    <w:p>
      <w:pPr>
        <w:jc w:val="both"/>
        <w:ind w:left="1560" w:hanging="944"/>
        <w:spacing w:after="0"/>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3">
        <w:r>
          <w:rPr>
            <w:rFonts w:ascii="Arial" w:cs="Arial" w:eastAsia="Arial" w:hAnsi="Arial"/>
            <w:sz w:val="18"/>
            <w:szCs w:val="18"/>
            <w:u w:val="single" w:color="auto"/>
            <w:color w:val="0000FF"/>
          </w:rPr>
          <w:t>At the Market Offering Agreement, dated February 5, 2021, by and among Salarius Pharmaceuticals, Inc. and</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Ladenburg Thalmann &amp; Co. Inc. (incorporated by reference to Exhibit 1.1 to the Registrant’s Current Report on Form 8-K</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filed with the SEC on March 5, 2021).</w:t>
        </w:r>
      </w:hyperlink>
    </w:p>
    <w:p>
      <w:pPr>
        <w:spacing w:after="0" w:line="9" w:lineRule="exact"/>
        <w:rPr>
          <w:rFonts w:ascii="Arial" w:cs="Arial" w:eastAsia="Arial" w:hAnsi="Arial"/>
          <w:sz w:val="18"/>
          <w:szCs w:val="18"/>
          <w:u w:val="single" w:color="auto"/>
          <w:color w:val="0000FF"/>
        </w:rPr>
      </w:pPr>
    </w:p>
    <w:p>
      <w:pPr>
        <w:ind w:left="600"/>
        <w:spacing w:after="0"/>
        <w:tabs>
          <w:tab w:leader="none" w:pos="15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27">
        <w:r>
          <w:rPr>
            <w:rFonts w:ascii="Arial" w:cs="Arial" w:eastAsia="Arial" w:hAnsi="Arial"/>
            <w:sz w:val="17"/>
            <w:szCs w:val="17"/>
            <w:u w:val="single" w:color="auto"/>
            <w:color w:val="0000FF"/>
          </w:rPr>
          <w:t>Certification of the Principal Executive Officer pursuant to Rule 13a-14(a) or 15d-14(a) of the Securities Exchange Act of</w:t>
        </w:r>
      </w:hyperlink>
    </w:p>
    <w:p>
      <w:pPr>
        <w:ind w:left="15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1934.</w:t>
        </w:r>
      </w:hyperlink>
    </w:p>
    <w:p>
      <w:pPr>
        <w:ind w:left="600"/>
        <w:spacing w:after="0"/>
        <w:tabs>
          <w:tab w:leader="none" w:pos="15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28">
        <w:r>
          <w:rPr>
            <w:rFonts w:ascii="Arial" w:cs="Arial" w:eastAsia="Arial" w:hAnsi="Arial"/>
            <w:sz w:val="17"/>
            <w:szCs w:val="17"/>
            <w:u w:val="single" w:color="auto"/>
            <w:color w:val="0000FF"/>
          </w:rPr>
          <w:t>Certification of the Principal Financial Officer pursuant to Rule 13a-14(a) or 15d-14(a) of the Securities Exchange Act of</w:t>
        </w:r>
      </w:hyperlink>
    </w:p>
    <w:p>
      <w:pPr>
        <w:ind w:left="15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1934.</w:t>
        </w:r>
      </w:hyperlink>
    </w:p>
    <w:p>
      <w:pPr>
        <w:spacing w:after="0" w:line="23" w:lineRule="exact"/>
        <w:rPr>
          <w:rFonts w:ascii="Arial" w:cs="Arial" w:eastAsia="Arial" w:hAnsi="Arial"/>
          <w:sz w:val="18"/>
          <w:szCs w:val="18"/>
          <w:u w:val="single" w:color="auto"/>
          <w:color w:val="0000FF"/>
        </w:rPr>
      </w:pPr>
    </w:p>
    <w:p>
      <w:pPr>
        <w:ind w:left="1560" w:right="140" w:hanging="955"/>
        <w:spacing w:after="0" w:line="227"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9">
        <w:r>
          <w:rPr>
            <w:rFonts w:ascii="Arial" w:cs="Arial" w:eastAsia="Arial" w:hAnsi="Arial"/>
            <w:sz w:val="18"/>
            <w:szCs w:val="18"/>
            <w:u w:val="single" w:color="auto"/>
            <w:color w:val="0000FF"/>
          </w:rPr>
          <w:t>Certification of Principal Executive Officer and Principal Financial Officer pursuant to Rule 13a-14(b) or 15d-14(b) of the</w:t>
        </w:r>
      </w:hyperlink>
      <w:r>
        <w:rPr>
          <w:rFonts w:ascii="Arial" w:cs="Arial" w:eastAsia="Arial" w:hAnsi="Arial"/>
          <w:sz w:val="18"/>
          <w:szCs w:val="18"/>
          <w:u w:val="single" w:color="auto"/>
          <w:color w:val="0000FF"/>
        </w:rPr>
        <w:t xml:space="preserve"> </w:t>
      </w:r>
      <w:hyperlink w:anchor="page29">
        <w:r>
          <w:rPr>
            <w:rFonts w:ascii="Arial" w:cs="Arial" w:eastAsia="Arial" w:hAnsi="Arial"/>
            <w:sz w:val="18"/>
            <w:szCs w:val="18"/>
            <w:u w:val="single" w:color="auto"/>
            <w:color w:val="0000FF"/>
          </w:rPr>
          <w:t>Exchange Act and 18 U.S.C. Section 1350.</w:t>
        </w:r>
      </w:hyperlink>
    </w:p>
    <w:p>
      <w:pPr>
        <w:spacing w:after="0" w:line="13" w:lineRule="exact"/>
        <w:rPr>
          <w:sz w:val="20"/>
          <w:szCs w:val="20"/>
          <w:color w:val="auto"/>
        </w:rPr>
      </w:pPr>
    </w:p>
    <w:p>
      <w:pPr>
        <w:ind w:left="1560" w:right="140" w:hanging="1044"/>
        <w:spacing w:after="0" w:line="213" w:lineRule="auto"/>
        <w:tabs>
          <w:tab w:leader="none" w:pos="15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Salarius Pharmaceuticals, Inc.'s Quarterly Report on Form 10-Q for the quarter ended March 31, 2020,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2734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right="40" w:hanging="172"/>
        <w:spacing w:after="0" w:line="249" w:lineRule="auto"/>
        <w:tabs>
          <w:tab w:leader="none" w:pos="11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8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9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31"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Mark J. Rosenblum</w:t>
      </w:r>
    </w:p>
    <w:p>
      <w:pPr>
        <w:ind w:left="594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4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290" w:right="4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222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39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188"/>
        </w:trPr>
        <w:tc>
          <w:tcPr>
            <w:tcW w:w="390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May 12, 2021</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222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39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390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May 12, 2021</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March 31, 2021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0" w:lineRule="exact"/>
        <w:rPr>
          <w:sz w:val="20"/>
          <w:szCs w:val="20"/>
          <w:color w:val="auto"/>
        </w:rPr>
      </w:pPr>
    </w:p>
    <w:p>
      <w:pPr>
        <w:spacing w:after="0" w:line="245" w:lineRule="exact"/>
        <w:rPr>
          <w:sz w:val="20"/>
          <w:szCs w:val="20"/>
          <w:color w:val="auto"/>
        </w:rPr>
      </w:pPr>
    </w:p>
    <w:p>
      <w:pPr>
        <w:ind w:left="660" w:right="22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3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May 12, 2021</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338"/>
        </w:trPr>
        <w:tc>
          <w:tcPr>
            <w:tcW w:w="438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3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38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May 12, 2021</w:t>
            </w: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emdash "/>
      <w:numFmt w:val="bullet"/>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36" Type="http://schemas.openxmlformats.org/officeDocument/2006/relationships/hyperlink" Target="http://www.sec.gov/Archives/edgar/data/1615219/000110465915007801/a15-4061_1ex3d1.htm" TargetMode="External"/><Relationship Id="rId37" Type="http://schemas.openxmlformats.org/officeDocument/2006/relationships/hyperlink" Target="http://www.sec.gov/Archives/edgar/data/1615219/000119312519199074/d754556dex31.htm" TargetMode="External"/><Relationship Id="rId38" Type="http://schemas.openxmlformats.org/officeDocument/2006/relationships/hyperlink" Target="http://www.sec.gov/Archives/edgar/data/1615219/000119312520033412/d863520dex31.htm" TargetMode="External"/><Relationship Id="rId39" Type="http://schemas.openxmlformats.org/officeDocument/2006/relationships/hyperlink" Target="http://www.sec.gov/Archives/edgar/data/1615219/000119312519199074/d754556dex32.htm" TargetMode="External"/><Relationship Id="rId40" Type="http://schemas.openxmlformats.org/officeDocument/2006/relationships/hyperlink" Target="http://www.sec.gov/Archives/edgar/data/1615219/000119312520033412/d863520dex41.htm" TargetMode="External"/><Relationship Id="rId41" Type="http://schemas.openxmlformats.org/officeDocument/2006/relationships/hyperlink" Target="http://www.sec.gov/Archives/edgar/data/1615219/000119312520025727/d857822dex48.htm" TargetMode="External"/><Relationship Id="rId42" Type="http://schemas.openxmlformats.org/officeDocument/2006/relationships/hyperlink" Target="http://www.sec.gov/Archives/edgar/data/1615219/000119312520025727/d857822dex49.htm" TargetMode="External"/><Relationship Id="rId43" Type="http://schemas.openxmlformats.org/officeDocument/2006/relationships/hyperlink" Target="http://www.sec.gov/Archives/edgar/data/1615219/000161521921000013/salarius-ex11conformedsa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2021-05-12T15:23:16Z</dcterms:created>
  <dcterms:modified xsi:type="dcterms:W3CDTF">2021-05-12T15:23:16Z</dcterms:modified>
</cp:coreProperties>
</file>