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FORM 10-Q</w:t>
      </w:r>
    </w:p>
    <w:tbl>
      <w:tblPr>
        <w:tblW w:w="10205" w:type="dxa"/>
        <w:jc w:val="center"/>
        <w:tblInd w:w="0" w:type="dxa"/>
        <w:tblLayout w:type="fixed"/>
        <w:tblCellMar>
          <w:top w:w="28" w:type="dxa"/>
          <w:left w:w="28" w:type="dxa"/>
          <w:bottom w:w="28" w:type="dxa"/>
          <w:right w:w="28" w:type="dxa"/>
        </w:tblCellMar>
      </w:tblPr>
      <w:tblGrid>
        <w:gridCol w:w="191"/>
        <w:gridCol w:w="168"/>
        <w:gridCol w:w="168"/>
        <w:gridCol w:w="2816"/>
        <w:gridCol w:w="2816"/>
        <w:gridCol w:w="4046"/>
      </w:tblGrid>
      <w:tr>
        <w:trPr/>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816" w:type="dxa"/>
            <w:tcBorders/>
            <w:vAlign w:val="center"/>
          </w:tcPr>
          <w:p>
            <w:pPr>
              <w:pStyle w:val="TableContents"/>
              <w:bidi w:val="0"/>
              <w:spacing w:before="0" w:after="283"/>
              <w:jc w:val="left"/>
              <w:rPr>
                <w:sz w:val="4"/>
                <w:szCs w:val="4"/>
              </w:rPr>
            </w:pPr>
            <w:r>
              <w:rPr>
                <w:sz w:val="4"/>
                <w:szCs w:val="4"/>
              </w:rPr>
            </w:r>
          </w:p>
        </w:tc>
        <w:tc>
          <w:tcPr>
            <w:tcW w:w="2816" w:type="dxa"/>
            <w:tcBorders/>
            <w:vAlign w:val="center"/>
          </w:tcPr>
          <w:p>
            <w:pPr>
              <w:pStyle w:val="TableContents"/>
              <w:bidi w:val="0"/>
              <w:spacing w:before="0" w:after="283"/>
              <w:jc w:val="left"/>
              <w:rPr>
                <w:sz w:val="4"/>
                <w:szCs w:val="4"/>
              </w:rPr>
            </w:pPr>
            <w:r>
              <w:rPr>
                <w:sz w:val="4"/>
                <w:szCs w:val="4"/>
              </w:rPr>
            </w:r>
          </w:p>
        </w:tc>
        <w:tc>
          <w:tcPr>
            <w:tcW w:w="404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(Mark One)</w:t>
            </w:r>
          </w:p>
        </w:tc>
      </w:tr>
      <w:tr>
        <w:trPr/>
        <w:tc>
          <w:tcPr>
            <w:tcW w:w="5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6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QUARTERLY REPORT PURSUANT TO SECTION 13 OR 15(d) OF THE SECURITIES EXCHANGE ACT OF 1934</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For the quarterly period ended June 30, 2024</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OR</w:t>
            </w:r>
          </w:p>
        </w:tc>
      </w:tr>
      <w:tr>
        <w:trPr/>
        <w:tc>
          <w:tcPr>
            <w:tcW w:w="5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6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TRANSITION REPORT PURSUANT TO SECTION 13 OR 15(d) OF THE SECURITIES EXCHANGE ACT OF 1934</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Transition Period from to</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Commission File Number: 001-36812</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SALARIUS PHARMACEUTICALS, INC.</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(Exact name of registrant as specified in its charter)</w:t>
      </w:r>
    </w:p>
    <w:tbl>
      <w:tblPr>
        <w:tblW w:w="4971" w:type="dxa"/>
        <w:jc w:val="center"/>
        <w:tblInd w:w="0" w:type="dxa"/>
        <w:tblLayout w:type="fixed"/>
        <w:tblCellMar>
          <w:top w:w="28" w:type="dxa"/>
          <w:left w:w="28" w:type="dxa"/>
          <w:bottom w:w="28" w:type="dxa"/>
          <w:right w:w="28" w:type="dxa"/>
        </w:tblCellMar>
      </w:tblPr>
      <w:tblGrid>
        <w:gridCol w:w="124"/>
        <w:gridCol w:w="109"/>
        <w:gridCol w:w="109"/>
        <w:gridCol w:w="742"/>
        <w:gridCol w:w="742"/>
        <w:gridCol w:w="751"/>
        <w:gridCol w:w="109"/>
        <w:gridCol w:w="109"/>
        <w:gridCol w:w="109"/>
        <w:gridCol w:w="563"/>
        <w:gridCol w:w="563"/>
        <w:gridCol w:w="56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46-5087339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(State or other jurisdiction of</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(I.R.S. Employer</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Identification Number)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2450 Holcombe Blvd., Suite X, Houston, TX 77021</w:t>
      </w:r>
    </w:p>
    <w:p>
      <w:pPr>
        <w:pStyle w:val="TextBody"/>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(Address of principal executive offices)(Zip Code)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4"/>
        </w:rPr>
      </w:pPr>
      <w:r>
        <w:rPr>
          <w:rFonts w:ascii="Arial;sans-serif" w:hAnsi="Arial;sans-serif"/>
          <w:b/>
          <w:color w:val="000000"/>
          <w:sz w:val="14"/>
        </w:rPr>
        <w:t>(832)804-9144</w:t>
      </w:r>
    </w:p>
    <w:p>
      <w:pPr>
        <w:pStyle w:val="TextBody"/>
        <w:bidi w:val="0"/>
        <w:spacing w:lineRule="auto" w:line="288" w:before="0" w:after="0"/>
        <w:jc w:val="center"/>
        <w:rPr>
          <w:rFonts w:ascii="Arial;sans-serif" w:hAnsi="Arial;sans-serif"/>
          <w:b/>
          <w:color w:val="000000"/>
          <w:sz w:val="14"/>
        </w:rPr>
      </w:pPr>
      <w:r>
        <w:rPr>
          <w:rFonts w:ascii="Arial;sans-serif" w:hAnsi="Arial;sans-serif"/>
          <w:b/>
          <w:color w:val="000000"/>
          <w:sz w:val="14"/>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(Former name, former address and former fiscal year,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ind w:left="0" w:right="0" w:firstLine="270"/>
        <w:jc w:val="left"/>
        <w:rPr/>
      </w:pPr>
      <w:r>
        <w:rPr/>
      </w:r>
    </w:p>
    <w:p>
      <w:pPr>
        <w:pStyle w:val="TextBody"/>
        <w:bidi w:val="0"/>
        <w:spacing w:lineRule="auto" w:line="288" w:before="60" w:after="60"/>
        <w:jc w:val="left"/>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8527" w:type="dxa"/>
        <w:jc w:val="left"/>
        <w:tblInd w:w="0" w:type="dxa"/>
        <w:tblLayout w:type="fixed"/>
        <w:tblCellMar>
          <w:top w:w="28" w:type="dxa"/>
          <w:left w:w="28" w:type="dxa"/>
          <w:bottom w:w="28" w:type="dxa"/>
          <w:right w:w="28" w:type="dxa"/>
        </w:tblCellMar>
      </w:tblPr>
      <w:tblGrid>
        <w:gridCol w:w="954"/>
        <w:gridCol w:w="838"/>
        <w:gridCol w:w="848"/>
        <w:gridCol w:w="109"/>
        <w:gridCol w:w="109"/>
        <w:gridCol w:w="109"/>
        <w:gridCol w:w="524"/>
        <w:gridCol w:w="524"/>
        <w:gridCol w:w="526"/>
        <w:gridCol w:w="109"/>
        <w:gridCol w:w="109"/>
        <w:gridCol w:w="109"/>
        <w:gridCol w:w="1071"/>
        <w:gridCol w:w="1071"/>
        <w:gridCol w:w="1517"/>
      </w:tblGrid>
      <w:tr>
        <w:trPr/>
        <w:tc>
          <w:tcPr>
            <w:tcW w:w="95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$0.0001 par value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SLRX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bl>
    <w:p>
      <w:pPr>
        <w:pStyle w:val="TextBody"/>
        <w:bidi w:val="0"/>
        <w:spacing w:before="0" w:after="0"/>
        <w:jc w:val="center"/>
        <w:rPr/>
      </w:pPr>
      <w:r>
        <w:rPr/>
      </w:r>
    </w:p>
    <w:p>
      <w:pPr>
        <w:pStyle w:val="TextBody"/>
        <w:bidi w:val="0"/>
        <w:spacing w:lineRule="auto" w:line="288" w:before="60" w:after="60"/>
        <w:jc w:val="left"/>
        <w:rPr/>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the past 90 days. Yes</w:t>
      </w:r>
      <w:r>
        <w:rPr>
          <w:color w:val="000000"/>
        </w:rPr>
        <w:t xml:space="preserve"> ☒ </w:t>
      </w:r>
      <w:r>
        <w:rPr>
          <w:rFonts w:ascii="Arial;sans-serif" w:hAnsi="Arial;sans-serif"/>
          <w:b w:val="false"/>
          <w:color w:val="000000"/>
          <w:sz w:val="16"/>
        </w:rPr>
        <w:t>No</w:t>
      </w:r>
      <w:r>
        <w:rPr>
          <w:color w:val="000000"/>
        </w:rPr>
        <w:t xml:space="preserve"> ☐</w:t>
      </w:r>
    </w:p>
    <w:p>
      <w:pPr>
        <w:pStyle w:val="TextBody"/>
        <w:bidi w:val="0"/>
        <w:spacing w:lineRule="auto" w:line="288" w:before="60" w:after="60"/>
        <w:jc w:val="left"/>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color w:val="000000"/>
        </w:rPr>
        <w:t xml:space="preserve"> ☒ </w:t>
      </w:r>
      <w:r>
        <w:rPr>
          <w:rFonts w:ascii="Arial;sans-serif" w:hAnsi="Arial;sans-serif"/>
          <w:b w:val="false"/>
          <w:color w:val="000000"/>
          <w:sz w:val="16"/>
        </w:rPr>
        <w:t>No</w:t>
      </w:r>
      <w:r>
        <w:rPr>
          <w:color w:val="000000"/>
        </w:rPr>
        <w:t> ☐</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11"/>
        <w:gridCol w:w="537"/>
        <w:gridCol w:w="540"/>
        <w:gridCol w:w="109"/>
        <w:gridCol w:w="109"/>
        <w:gridCol w:w="109"/>
        <w:gridCol w:w="425"/>
        <w:gridCol w:w="425"/>
        <w:gridCol w:w="427"/>
        <w:gridCol w:w="109"/>
        <w:gridCol w:w="109"/>
        <w:gridCol w:w="109"/>
        <w:gridCol w:w="540"/>
        <w:gridCol w:w="540"/>
        <w:gridCol w:w="542"/>
        <w:gridCol w:w="109"/>
        <w:gridCol w:w="109"/>
        <w:gridCol w:w="109"/>
        <w:gridCol w:w="646"/>
        <w:gridCol w:w="646"/>
        <w:gridCol w:w="649"/>
        <w:gridCol w:w="109"/>
        <w:gridCol w:w="109"/>
        <w:gridCol w:w="109"/>
        <w:gridCol w:w="661"/>
        <w:gridCol w:w="661"/>
        <w:gridCol w:w="664"/>
        <w:gridCol w:w="109"/>
        <w:gridCol w:w="109"/>
        <w:gridCol w:w="165"/>
      </w:tblGrid>
      <w:tr>
        <w:trPr/>
        <w:tc>
          <w:tcPr>
            <w:tcW w:w="61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68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6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9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986"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sans-serif" w:hAnsi="Arial;sans-serif"/>
                <w:b w:val="false"/>
                <w:color w:val="000000"/>
                <w:sz w:val="16"/>
              </w:rPr>
              <w:t>Emerging Growth Company</w:t>
            </w:r>
          </w:p>
        </w:tc>
        <w:tc>
          <w:tcPr>
            <w:tcW w:w="3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6"/>
        </w:rPr>
        <w:t>Indicate by check mark whether the registrant is a shell company (as defined in Rule 12b-2 of the Exchange Act.) Yes</w:t>
      </w:r>
      <w:r>
        <w:rPr>
          <w:color w:val="000000"/>
        </w:rPr>
        <w:t xml:space="preserve"> ☐ </w:t>
      </w:r>
      <w:r>
        <w:rPr>
          <w:rFonts w:ascii="Arial;sans-serif" w:hAnsi="Arial;sans-serif"/>
          <w:b w:val="false"/>
          <w:color w:val="000000"/>
          <w:sz w:val="16"/>
        </w:rPr>
        <w:t>No</w:t>
      </w:r>
      <w:r>
        <w:rPr>
          <w:color w:val="000000"/>
        </w:rPr>
        <w:t>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As of August 7, 2024, there were 1,441,157 shares of common stock outstanding.</w:t>
      </w:r>
    </w:p>
    <w:p>
      <w:pPr>
        <w:pStyle w:val="TextBody"/>
        <w:bidi w:val="0"/>
        <w:spacing w:before="60" w:after="60"/>
        <w:jc w:val="left"/>
        <w:rPr/>
      </w:pPr>
      <w:r>
        <w:rPr/>
      </w:r>
    </w:p>
    <w:p>
      <w:pPr>
        <w:pStyle w:val="TextBody"/>
        <w:bidi w:val="0"/>
        <w:spacing w:before="6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SALARIUS PHARMACEUTICALS, INC.</w:t>
      </w:r>
    </w:p>
    <w:p>
      <w:pPr>
        <w:pStyle w:val="TextBody"/>
        <w:bidi w:val="0"/>
        <w:spacing w:lineRule="auto" w:line="288" w:before="160" w:after="160"/>
        <w:jc w:val="center"/>
        <w:rPr>
          <w:rFonts w:ascii="Arial;sans-serif" w:hAnsi="Arial;sans-serif"/>
          <w:b/>
          <w:color w:val="000000"/>
          <w:sz w:val="20"/>
        </w:rPr>
      </w:pPr>
      <w:r>
        <w:rPr>
          <w:rFonts w:ascii="Arial;sans-serif" w:hAnsi="Arial;sans-serif"/>
          <w:b/>
          <w:color w:val="000000"/>
          <w:sz w:val="20"/>
        </w:rPr>
        <w:t>TABLE OF CONTENTS</w:t>
      </w:r>
    </w:p>
    <w:tbl>
      <w:tblPr>
        <w:tblW w:w="9781" w:type="dxa"/>
        <w:jc w:val="left"/>
        <w:tblInd w:w="0" w:type="dxa"/>
        <w:tblLayout w:type="fixed"/>
        <w:tblCellMar>
          <w:top w:w="28" w:type="dxa"/>
          <w:left w:w="28" w:type="dxa"/>
          <w:bottom w:w="28" w:type="dxa"/>
          <w:right w:w="28" w:type="dxa"/>
        </w:tblCellMar>
      </w:tblPr>
      <w:tblGrid>
        <w:gridCol w:w="505"/>
        <w:gridCol w:w="443"/>
        <w:gridCol w:w="448"/>
        <w:gridCol w:w="2613"/>
        <w:gridCol w:w="2613"/>
        <w:gridCol w:w="2618"/>
        <w:gridCol w:w="158"/>
        <w:gridCol w:w="158"/>
        <w:gridCol w:w="225"/>
      </w:tblGrid>
      <w:tr>
        <w:trPr/>
        <w:tc>
          <w:tcPr>
            <w:tcW w:w="50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Page</w:t>
            </w:r>
          </w:p>
        </w:tc>
      </w:tr>
      <w:tr>
        <w:trPr/>
        <w:tc>
          <w:tcPr>
            <w:tcW w:w="97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281cde9e8a4b898baeec98a420ea0e_13">
              <w:r>
                <w:rPr>
                  <w:rStyle w:val="InternetLink"/>
                  <w:rFonts w:ascii="Arial;sans-serif" w:hAnsi="Arial;sans-serif"/>
                  <w:b w:val="false"/>
                  <w:color w:val="0000FF"/>
                  <w:sz w:val="20"/>
                  <w:u w:val="single"/>
                </w:rPr>
                <w:t xml:space="preserve">PART I. </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281cde9e8a4b898baeec98a420ea0e_13">
              <w:r>
                <w:rPr>
                  <w:rStyle w:val="InternetLink"/>
                  <w:rFonts w:ascii="Arial;sans-serif" w:hAnsi="Arial;sans-serif"/>
                  <w:b w:val="false"/>
                  <w:color w:val="0000FF"/>
                  <w:sz w:val="20"/>
                  <w:u w:val="single"/>
                </w:rPr>
                <w:t>Financial Information</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281cde9e8a4b898baeec98a420ea0e_16">
              <w:r>
                <w:rPr>
                  <w:rStyle w:val="InternetLink"/>
                  <w:rFonts w:ascii="Arial;sans-serif" w:hAnsi="Arial;sans-serif"/>
                  <w:b w:val="false"/>
                  <w:color w:val="0000FF"/>
                  <w:sz w:val="20"/>
                  <w:u w:val="single"/>
                </w:rPr>
                <w:t>Item 1.</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281cde9e8a4b898baeec98a420ea0e_13">
              <w:r>
                <w:rPr>
                  <w:rStyle w:val="InternetLink"/>
                  <w:rFonts w:ascii="Arial;sans-serif" w:hAnsi="Arial;sans-serif"/>
                  <w:b w:val="false"/>
                  <w:color w:val="0000FF"/>
                  <w:sz w:val="20"/>
                  <w:u w:val="single"/>
                </w:rPr>
                <w:t>Financial Statements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281cde9e8a4b898baeec98a420ea0e_16">
              <w:r>
                <w:rPr>
                  <w:rStyle w:val="InternetLink"/>
                  <w:rFonts w:ascii="Arial;sans-serif" w:hAnsi="Arial;sans-serif"/>
                  <w:b w:val="false"/>
                  <w:color w:val="0000FF"/>
                  <w:sz w:val="20"/>
                  <w:u w:val="single"/>
                </w:rPr>
                <w:t>5</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281cde9e8a4b898baeec98a420ea0e_19">
              <w:r>
                <w:rPr>
                  <w:rStyle w:val="InternetLink"/>
                  <w:rFonts w:ascii="Arial;sans-serif" w:hAnsi="Arial;sans-serif"/>
                  <w:b w:val="false"/>
                  <w:color w:val="000080"/>
                  <w:sz w:val="20"/>
                  <w:u w:val="single"/>
                </w:rPr>
                <w:t xml:space="preserve">Condensed </w:t>
              </w:r>
            </w:hyperlink>
            <w:hyperlink w:anchor="i86281cde9e8a4b898baeec98a420ea0e_19">
              <w:r>
                <w:rPr>
                  <w:rStyle w:val="InternetLink"/>
                  <w:rFonts w:ascii="Arial;sans-serif" w:hAnsi="Arial;sans-serif"/>
                  <w:b w:val="false"/>
                  <w:color w:val="000080"/>
                  <w:sz w:val="20"/>
                  <w:u w:val="single"/>
                </w:rPr>
                <w:t>Consolidated Balance Sheets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281cde9e8a4b898baeec98a420ea0e_19">
              <w:r>
                <w:rPr>
                  <w:rStyle w:val="InternetLink"/>
                  <w:rFonts w:ascii="Arial;sans-serif" w:hAnsi="Arial;sans-serif"/>
                  <w:b w:val="false"/>
                  <w:color w:val="0000FF"/>
                  <w:sz w:val="20"/>
                  <w:u w:val="single"/>
                </w:rPr>
                <w:t>5</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281cde9e8a4b898baeec98a420ea0e_22">
              <w:r>
                <w:rPr>
                  <w:rStyle w:val="InternetLink"/>
                  <w:rFonts w:ascii="Arial;sans-serif" w:hAnsi="Arial;sans-serif"/>
                  <w:b w:val="false"/>
                  <w:color w:val="000080"/>
                  <w:sz w:val="20"/>
                  <w:u w:val="single"/>
                </w:rPr>
                <w:t xml:space="preserve">Condensed </w:t>
              </w:r>
            </w:hyperlink>
            <w:hyperlink w:anchor="i86281cde9e8a4b898baeec98a420ea0e_22">
              <w:r>
                <w:rPr>
                  <w:rStyle w:val="InternetLink"/>
                  <w:rFonts w:ascii="Arial;sans-serif" w:hAnsi="Arial;sans-serif"/>
                  <w:b w:val="false"/>
                  <w:color w:val="000080"/>
                  <w:sz w:val="20"/>
                  <w:u w:val="single"/>
                </w:rPr>
                <w:t>Consolidated Statements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281cde9e8a4b898baeec98a420ea0e_22">
              <w:r>
                <w:rPr>
                  <w:rStyle w:val="InternetLink"/>
                  <w:rFonts w:ascii="Arial;sans-serif" w:hAnsi="Arial;sans-serif"/>
                  <w:b w:val="false"/>
                  <w:color w:val="0000FF"/>
                  <w:sz w:val="20"/>
                  <w:u w:val="single"/>
                </w:rPr>
                <w:t>6</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281cde9e8a4b898baeec98a420ea0e_25">
              <w:r>
                <w:rPr>
                  <w:rStyle w:val="InternetLink"/>
                  <w:rFonts w:ascii="Arial;sans-serif" w:hAnsi="Arial;sans-serif"/>
                  <w:b w:val="false"/>
                  <w:color w:val="000080"/>
                  <w:sz w:val="20"/>
                  <w:u w:val="single"/>
                </w:rPr>
                <w:t xml:space="preserve">Condensed </w:t>
              </w:r>
            </w:hyperlink>
            <w:hyperlink w:anchor="i86281cde9e8a4b898baeec98a420ea0e_25">
              <w:r>
                <w:rPr>
                  <w:rStyle w:val="InternetLink"/>
                  <w:rFonts w:ascii="Arial;sans-serif" w:hAnsi="Arial;sans-serif"/>
                  <w:b w:val="false"/>
                  <w:color w:val="000080"/>
                  <w:sz w:val="20"/>
                  <w:u w:val="single"/>
                </w:rPr>
                <w:t xml:space="preserve">Consolidated Statements of Cash Flows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281cde9e8a4b898baeec98a420ea0e_25">
              <w:r>
                <w:rPr>
                  <w:rStyle w:val="InternetLink"/>
                  <w:rFonts w:ascii="Arial;sans-serif" w:hAnsi="Arial;sans-serif"/>
                  <w:b w:val="false"/>
                  <w:color w:val="0000FF"/>
                  <w:sz w:val="20"/>
                  <w:u w:val="single"/>
                </w:rPr>
                <w:t>7</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281cde9e8a4b898baeec98a420ea0e_28">
              <w:r>
                <w:rPr>
                  <w:rStyle w:val="InternetLink"/>
                  <w:rFonts w:ascii="Arial;sans-serif" w:hAnsi="Arial;sans-serif"/>
                  <w:b w:val="false"/>
                  <w:color w:val="000080"/>
                  <w:sz w:val="20"/>
                  <w:u w:val="single"/>
                </w:rPr>
                <w:t xml:space="preserve">Condensed </w:t>
              </w:r>
            </w:hyperlink>
            <w:hyperlink w:anchor="i86281cde9e8a4b898baeec98a420ea0e_28">
              <w:r>
                <w:rPr>
                  <w:rStyle w:val="InternetLink"/>
                  <w:rFonts w:ascii="Arial;sans-serif" w:hAnsi="Arial;sans-serif"/>
                  <w:b w:val="false"/>
                  <w:color w:val="000080"/>
                  <w:sz w:val="20"/>
                  <w:u w:val="single"/>
                </w:rPr>
                <w:t>Consolidated Statement</w:t>
              </w:r>
            </w:hyperlink>
            <w:hyperlink w:anchor="i86281cde9e8a4b898baeec98a420ea0e_28">
              <w:r>
                <w:rPr>
                  <w:rStyle w:val="InternetLink"/>
                  <w:rFonts w:ascii="Arial;sans-serif" w:hAnsi="Arial;sans-serif"/>
                  <w:b w:val="false"/>
                  <w:color w:val="000080"/>
                  <w:sz w:val="20"/>
                  <w:u w:val="single"/>
                </w:rPr>
                <w:t>s</w:t>
              </w:r>
            </w:hyperlink>
            <w:hyperlink w:anchor="i86281cde9e8a4b898baeec98a420ea0e_28">
              <w:r>
                <w:rPr>
                  <w:rStyle w:val="InternetLink"/>
                  <w:rFonts w:ascii="Arial;sans-serif" w:hAnsi="Arial;sans-serif"/>
                  <w:b w:val="false"/>
                  <w:color w:val="000080"/>
                  <w:sz w:val="20"/>
                  <w:u w:val="single"/>
                </w:rPr>
                <w:t xml:space="preserve"> of Stockholders' Equity</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281cde9e8a4b898baeec98a420ea0e_28">
              <w:r>
                <w:rPr>
                  <w:rStyle w:val="InternetLink"/>
                  <w:rFonts w:ascii="Arial;sans-serif" w:hAnsi="Arial;sans-serif"/>
                  <w:b w:val="false"/>
                  <w:color w:val="0000FF"/>
                  <w:sz w:val="20"/>
                  <w:u w:val="single"/>
                </w:rPr>
                <w:t>8</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281cde9e8a4b898baeec98a420ea0e_31">
              <w:r>
                <w:rPr>
                  <w:rStyle w:val="InternetLink"/>
                  <w:rFonts w:ascii="Arial;sans-serif" w:hAnsi="Arial;sans-serif"/>
                  <w:b w:val="false"/>
                  <w:color w:val="000080"/>
                  <w:sz w:val="20"/>
                  <w:u w:val="single"/>
                </w:rPr>
                <w:t>Notes to</w:t>
              </w:r>
            </w:hyperlink>
            <w:hyperlink w:anchor="i86281cde9e8a4b898baeec98a420ea0e_31">
              <w:r>
                <w:rPr>
                  <w:rStyle w:val="InternetLink"/>
                  <w:rFonts w:ascii="Arial;sans-serif" w:hAnsi="Arial;sans-serif"/>
                  <w:b w:val="false"/>
                  <w:color w:val="000080"/>
                  <w:sz w:val="20"/>
                  <w:u w:val="single"/>
                </w:rPr>
                <w:t xml:space="preserve"> Condensed </w:t>
              </w:r>
            </w:hyperlink>
            <w:hyperlink w:anchor="i86281cde9e8a4b898baeec98a420ea0e_31">
              <w:r>
                <w:rPr>
                  <w:rStyle w:val="InternetLink"/>
                  <w:rFonts w:ascii="Arial;sans-serif" w:hAnsi="Arial;sans-serif"/>
                  <w:b w:val="false"/>
                  <w:color w:val="000080"/>
                  <w:sz w:val="20"/>
                  <w:u w:val="single"/>
                </w:rPr>
                <w:t>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281cde9e8a4b898baeec98a420ea0e_31">
              <w:r>
                <w:rPr>
                  <w:rStyle w:val="InternetLink"/>
                  <w:rFonts w:ascii="Arial;sans-serif" w:hAnsi="Arial;sans-serif"/>
                  <w:b w:val="false"/>
                  <w:color w:val="0000FF"/>
                  <w:sz w:val="20"/>
                  <w:u w:val="single"/>
                </w:rPr>
                <w:t>9</w:t>
              </w:r>
            </w:hyperlink>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281cde9e8a4b898baeec98a420ea0e_70">
              <w:r>
                <w:rPr>
                  <w:rStyle w:val="InternetLink"/>
                  <w:rFonts w:ascii="Arial;sans-serif" w:hAnsi="Arial;sans-serif"/>
                  <w:b w:val="false"/>
                  <w:color w:val="0000FF"/>
                  <w:sz w:val="20"/>
                  <w:u w:val="single"/>
                </w:rPr>
                <w:t>Item 2.</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281cde9e8a4b898baeec98a420ea0e_70">
              <w:r>
                <w:rPr>
                  <w:rStyle w:val="InternetLink"/>
                  <w:rFonts w:ascii="Arial;sans-serif" w:hAnsi="Arial;sans-serif"/>
                  <w:b w:val="false"/>
                  <w:color w:val="0000FF"/>
                  <w:sz w:val="20"/>
                  <w:u w:val="single"/>
                </w:rPr>
                <w:t>Management’s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281cde9e8a4b898baeec98a420ea0e_70">
              <w:r>
                <w:rPr>
                  <w:rStyle w:val="InternetLink"/>
                  <w:rFonts w:ascii="Arial;sans-serif" w:hAnsi="Arial;sans-serif"/>
                  <w:b w:val="false"/>
                  <w:color w:val="0000FF"/>
                  <w:sz w:val="20"/>
                  <w:u w:val="single"/>
                </w:rPr>
                <w:t>17</w:t>
              </w:r>
            </w:hyperlink>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281cde9e8a4b898baeec98a420ea0e_79">
              <w:r>
                <w:rPr>
                  <w:rStyle w:val="InternetLink"/>
                  <w:rFonts w:ascii="Arial;sans-serif" w:hAnsi="Arial;sans-serif"/>
                  <w:b w:val="false"/>
                  <w:color w:val="0000FF"/>
                  <w:sz w:val="20"/>
                  <w:u w:val="single"/>
                </w:rPr>
                <w:t>Item 3.</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281cde9e8a4b898baeec98a420ea0e_79">
              <w:r>
                <w:rPr>
                  <w:rStyle w:val="InternetLink"/>
                  <w:rFonts w:ascii="Arial;sans-serif" w:hAnsi="Arial;sans-serif"/>
                  <w:b w:val="false"/>
                  <w:color w:val="0000FF"/>
                  <w:sz w:val="20"/>
                  <w:u w:val="single"/>
                </w:rPr>
                <w:t>Quantitative and Qualitative Disclosures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281cde9e8a4b898baeec98a420ea0e_79">
              <w:r>
                <w:rPr>
                  <w:rStyle w:val="InternetLink"/>
                  <w:rFonts w:ascii="Arial;sans-serif" w:hAnsi="Arial;sans-serif"/>
                  <w:b w:val="false"/>
                  <w:color w:val="0000FF"/>
                  <w:sz w:val="20"/>
                  <w:u w:val="single"/>
                </w:rPr>
                <w:t>22</w:t>
              </w:r>
            </w:hyperlink>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281cde9e8a4b898baeec98a420ea0e_82">
              <w:r>
                <w:rPr>
                  <w:rStyle w:val="InternetLink"/>
                  <w:rFonts w:ascii="Arial;sans-serif" w:hAnsi="Arial;sans-serif"/>
                  <w:b w:val="false"/>
                  <w:color w:val="0000FF"/>
                  <w:sz w:val="20"/>
                  <w:u w:val="single"/>
                </w:rPr>
                <w:t>Item 4.</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281cde9e8a4b898baeec98a420ea0e_82">
              <w:r>
                <w:rPr>
                  <w:rStyle w:val="InternetLink"/>
                  <w:rFonts w:ascii="Arial;sans-serif" w:hAnsi="Arial;sans-serif"/>
                  <w:b w:val="false"/>
                  <w:color w:val="0000FF"/>
                  <w:sz w:val="20"/>
                  <w:u w:val="single"/>
                </w:rPr>
                <w:t>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281cde9e8a4b898baeec98a420ea0e_82">
              <w:r>
                <w:rPr>
                  <w:rStyle w:val="InternetLink"/>
                  <w:rFonts w:ascii="Arial;sans-serif" w:hAnsi="Arial;sans-serif"/>
                  <w:b w:val="false"/>
                  <w:color w:val="0000FF"/>
                  <w:sz w:val="20"/>
                  <w:u w:val="single"/>
                </w:rPr>
                <w:t>22</w:t>
              </w:r>
            </w:hyperlink>
          </w:p>
        </w:tc>
      </w:tr>
      <w:tr>
        <w:trPr/>
        <w:tc>
          <w:tcPr>
            <w:tcW w:w="97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281cde9e8a4b898baeec98a420ea0e_85">
              <w:r>
                <w:rPr>
                  <w:rStyle w:val="InternetLink"/>
                  <w:rFonts w:ascii="Arial;sans-serif" w:hAnsi="Arial;sans-serif"/>
                  <w:b w:val="false"/>
                  <w:color w:val="0000FF"/>
                  <w:sz w:val="20"/>
                  <w:u w:val="single"/>
                </w:rPr>
                <w:t>PART II.</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281cde9e8a4b898baeec98a420ea0e_85">
              <w:r>
                <w:rPr>
                  <w:rStyle w:val="InternetLink"/>
                  <w:rFonts w:ascii="Arial;sans-serif" w:hAnsi="Arial;sans-serif"/>
                  <w:b w:val="false"/>
                  <w:color w:val="0000FF"/>
                  <w:sz w:val="20"/>
                  <w:u w:val="single"/>
                </w:rPr>
                <w:t>Other Information</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281cde9e8a4b898baeec98a420ea0e_88">
              <w:r>
                <w:rPr>
                  <w:rStyle w:val="InternetLink"/>
                  <w:rFonts w:ascii="Arial;sans-serif" w:hAnsi="Arial;sans-serif"/>
                  <w:b w:val="false"/>
                  <w:color w:val="0000FF"/>
                  <w:sz w:val="20"/>
                  <w:u w:val="single"/>
                </w:rPr>
                <w:t>Item 1.</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281cde9e8a4b898baeec98a420ea0e_88">
              <w:r>
                <w:rPr>
                  <w:rStyle w:val="InternetLink"/>
                  <w:rFonts w:ascii="Arial;sans-serif" w:hAnsi="Arial;sans-serif"/>
                  <w:b w:val="false"/>
                  <w:color w:val="0000FF"/>
                  <w:sz w:val="20"/>
                  <w:u w:val="single"/>
                </w:rPr>
                <w:t>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281cde9e8a4b898baeec98a420ea0e_88">
              <w:r>
                <w:rPr>
                  <w:rStyle w:val="InternetLink"/>
                  <w:rFonts w:ascii="Arial;sans-serif" w:hAnsi="Arial;sans-serif"/>
                  <w:b w:val="false"/>
                  <w:color w:val="0000FF"/>
                  <w:sz w:val="20"/>
                  <w:u w:val="single"/>
                </w:rPr>
                <w:t>23</w:t>
              </w:r>
            </w:hyperlink>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281cde9e8a4b898baeec98a420ea0e_91">
              <w:r>
                <w:rPr>
                  <w:rStyle w:val="InternetLink"/>
                  <w:rFonts w:ascii="Arial;sans-serif" w:hAnsi="Arial;sans-serif"/>
                  <w:b w:val="false"/>
                  <w:color w:val="0000FF"/>
                  <w:sz w:val="20"/>
                  <w:u w:val="single"/>
                </w:rPr>
                <w:t>Item 1A.</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281cde9e8a4b898baeec98a420ea0e_91">
              <w:r>
                <w:rPr>
                  <w:rStyle w:val="InternetLink"/>
                  <w:rFonts w:ascii="Arial;sans-serif" w:hAnsi="Arial;sans-serif"/>
                  <w:b w:val="false"/>
                  <w:color w:val="0000FF"/>
                  <w:sz w:val="20"/>
                  <w:u w:val="single"/>
                </w:rPr>
                <w:t>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281cde9e8a4b898baeec98a420ea0e_91">
              <w:r>
                <w:rPr>
                  <w:rStyle w:val="InternetLink"/>
                  <w:rFonts w:ascii="Arial;sans-serif" w:hAnsi="Arial;sans-serif"/>
                  <w:b w:val="false"/>
                  <w:color w:val="0000FF"/>
                  <w:sz w:val="20"/>
                  <w:u w:val="single"/>
                </w:rPr>
                <w:t>23</w:t>
              </w:r>
            </w:hyperlink>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u w:val="single"/>
              </w:rPr>
            </w:pPr>
            <w:r>
              <w:rPr>
                <w:rFonts w:ascii="Arial;sans-serif" w:hAnsi="Arial;sans-serif"/>
                <w:b w:val="false"/>
                <w:color w:val="0000FF"/>
                <w:sz w:val="20"/>
                <w:u w:val="single"/>
              </w:rPr>
              <w:t>Item 2</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u w:val="single"/>
              </w:rPr>
            </w:pPr>
            <w:r>
              <w:rPr>
                <w:rFonts w:ascii="Arial;sans-serif" w:hAnsi="Arial;sans-serif"/>
                <w:b w:val="false"/>
                <w:color w:val="0000FF"/>
                <w:sz w:val="20"/>
                <w:u w:val="single"/>
              </w:rPr>
              <w:t>Unregistered Sales of Equity Securities and Use of Proceeds</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281cde9e8a4b898baeec98a420ea0e_91">
              <w:r>
                <w:rPr>
                  <w:rStyle w:val="InternetLink"/>
                  <w:rFonts w:ascii="Arial;sans-serif" w:hAnsi="Arial;sans-serif"/>
                  <w:b w:val="false"/>
                  <w:color w:val="0000FF"/>
                  <w:sz w:val="20"/>
                  <w:u w:val="single"/>
                </w:rPr>
                <w:t>23</w:t>
              </w:r>
            </w:hyperlink>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u w:val="single"/>
              </w:rPr>
            </w:pPr>
            <w:r>
              <w:rPr>
                <w:rFonts w:ascii="Arial;sans-serif" w:hAnsi="Arial;sans-serif"/>
                <w:b w:val="false"/>
                <w:color w:val="0000FF"/>
                <w:sz w:val="20"/>
                <w:u w:val="single"/>
              </w:rPr>
              <w:t>Item 3</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FF"/>
                <w:sz w:val="20"/>
                <w:u w:val="single"/>
              </w:rPr>
            </w:pPr>
            <w:r>
              <w:rPr>
                <w:rFonts w:ascii="Arial;sans-serif" w:hAnsi="Arial;sans-serif"/>
                <w:b w:val="false"/>
                <w:color w:val="0000FF"/>
                <w:sz w:val="20"/>
                <w:u w:val="single"/>
              </w:rPr>
              <w:t>Defaults Upon Senior Securities</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281cde9e8a4b898baeec98a420ea0e_91">
              <w:r>
                <w:rPr>
                  <w:rStyle w:val="InternetLink"/>
                  <w:rFonts w:ascii="Arial;sans-serif" w:hAnsi="Arial;sans-serif"/>
                  <w:b w:val="false"/>
                  <w:color w:val="0000FF"/>
                  <w:sz w:val="20"/>
                  <w:u w:val="single"/>
                </w:rPr>
                <w:t>23</w:t>
              </w:r>
            </w:hyperlink>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u w:val="single"/>
              </w:rPr>
            </w:pPr>
            <w:r>
              <w:rPr>
                <w:rFonts w:ascii="Arial;sans-serif" w:hAnsi="Arial;sans-serif"/>
                <w:b w:val="false"/>
                <w:color w:val="0000FF"/>
                <w:sz w:val="20"/>
                <w:u w:val="single"/>
              </w:rPr>
              <w:t>Item 4</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u w:val="single"/>
              </w:rPr>
            </w:pPr>
            <w:r>
              <w:rPr>
                <w:rFonts w:ascii="Arial;sans-serif" w:hAnsi="Arial;sans-serif"/>
                <w:b w:val="false"/>
                <w:color w:val="0000FF"/>
                <w:sz w:val="20"/>
                <w:u w:val="single"/>
              </w:rPr>
              <w:t>Mine Safety Disclosures</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281cde9e8a4b898baeec98a420ea0e_91">
              <w:r>
                <w:rPr>
                  <w:rStyle w:val="InternetLink"/>
                  <w:rFonts w:ascii="Arial;sans-serif" w:hAnsi="Arial;sans-serif"/>
                  <w:b w:val="false"/>
                  <w:color w:val="0000FF"/>
                  <w:sz w:val="20"/>
                  <w:u w:val="single"/>
                </w:rPr>
                <w:t>23</w:t>
              </w:r>
            </w:hyperlink>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u w:val="single"/>
              </w:rPr>
            </w:pPr>
            <w:r>
              <w:rPr>
                <w:rFonts w:ascii="Arial;sans-serif" w:hAnsi="Arial;sans-serif"/>
                <w:b w:val="false"/>
                <w:color w:val="0000FF"/>
                <w:sz w:val="20"/>
                <w:u w:val="single"/>
              </w:rPr>
              <w:t>Item 5</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u w:val="single"/>
              </w:rPr>
            </w:pPr>
            <w:r>
              <w:rPr>
                <w:rFonts w:ascii="Arial;sans-serif" w:hAnsi="Arial;sans-serif"/>
                <w:b w:val="false"/>
                <w:color w:val="0000FF"/>
                <w:sz w:val="20"/>
                <w:u w:val="single"/>
              </w:rPr>
              <w:t xml:space="preserve">Other Information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281cde9e8a4b898baeec98a420ea0e_91">
              <w:r>
                <w:rPr>
                  <w:rStyle w:val="InternetLink"/>
                  <w:rFonts w:ascii="Arial;sans-serif" w:hAnsi="Arial;sans-serif"/>
                  <w:b w:val="false"/>
                  <w:color w:val="0000FF"/>
                  <w:sz w:val="20"/>
                  <w:u w:val="single"/>
                </w:rPr>
                <w:t>23</w:t>
              </w:r>
            </w:hyperlink>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281cde9e8a4b898baeec98a420ea0e_106">
              <w:r>
                <w:rPr>
                  <w:rStyle w:val="InternetLink"/>
                  <w:rFonts w:ascii="Arial;sans-serif" w:hAnsi="Arial;sans-serif"/>
                  <w:b w:val="false"/>
                  <w:color w:val="0000FF"/>
                  <w:sz w:val="20"/>
                  <w:u w:val="single"/>
                </w:rPr>
                <w:t>Item 6.</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281cde9e8a4b898baeec98a420ea0e_106">
              <w:r>
                <w:rPr>
                  <w:rStyle w:val="InternetLink"/>
                  <w:rFonts w:ascii="Arial;sans-serif" w:hAnsi="Arial;sans-serif"/>
                  <w:b w:val="false"/>
                  <w:color w:val="0000FF"/>
                  <w:sz w:val="20"/>
                  <w:u w:val="single"/>
                </w:rPr>
                <w:t>Exhibits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281cde9e8a4b898baeec98a420ea0e_106">
              <w:r>
                <w:rPr>
                  <w:rStyle w:val="InternetLink"/>
                  <w:rFonts w:ascii="Arial;sans-serif" w:hAnsi="Arial;sans-serif"/>
                  <w:b w:val="false"/>
                  <w:color w:val="0000FF"/>
                  <w:sz w:val="20"/>
                  <w:u w:val="single"/>
                </w:rPr>
                <w:t>26</w:t>
              </w:r>
            </w:hyperlink>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281cde9e8a4b898baeec98a420ea0e_109">
              <w:r>
                <w:rPr>
                  <w:rStyle w:val="InternetLink"/>
                  <w:rFonts w:ascii="Arial;sans-serif" w:hAnsi="Arial;sans-serif"/>
                  <w:b w:val="false"/>
                  <w:color w:val="0000FF"/>
                  <w:sz w:val="20"/>
                  <w:u w:val="single"/>
                </w:rPr>
                <w:t>SIGNATURES</w:t>
              </w:r>
            </w:hyperlink>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281cde9e8a4b898baeec98a420ea0e_109">
              <w:r>
                <w:rPr>
                  <w:rStyle w:val="InternetLink"/>
                  <w:rFonts w:ascii="Arial;sans-serif" w:hAnsi="Arial;sans-serif"/>
                  <w:b w:val="false"/>
                  <w:color w:val="0000FF"/>
                  <w:sz w:val="20"/>
                  <w:u w:val="single"/>
                </w:rPr>
                <w:t>27</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p>
      <w:pPr>
        <w:pStyle w:val="TextBody"/>
        <w:bidi w:val="0"/>
        <w:spacing w:lineRule="auto" w:line="288" w:before="160" w:after="160"/>
        <w:jc w:val="center"/>
        <w:rPr>
          <w:rFonts w:ascii="Arial;sans-serif" w:hAnsi="Arial;sans-serif"/>
          <w:b/>
          <w:color w:val="000000"/>
          <w:sz w:val="20"/>
        </w:rPr>
      </w:pPr>
      <w:r>
        <w:rPr>
          <w:rFonts w:ascii="Arial;sans-serif" w:hAnsi="Arial;sans-serif"/>
          <w:b/>
          <w:color w:val="000000"/>
          <w:sz w:val="20"/>
        </w:rPr>
        <w:t>SPECIAL NOTE REGARDING FORWARD-LOOKING STATEMENTS</w:t>
      </w:r>
    </w:p>
    <w:p>
      <w:pPr>
        <w:pStyle w:val="TextBody"/>
        <w:bidi w:val="0"/>
        <w:spacing w:lineRule="auto" w:line="268" w:before="0" w:after="240"/>
        <w:jc w:val="both"/>
        <w:rPr>
          <w:rFonts w:ascii="Arial;sans-serif" w:hAnsi="Arial;sans-serif"/>
          <w:b w:val="false"/>
          <w:color w:val="000000"/>
          <w:sz w:val="20"/>
        </w:rPr>
      </w:pPr>
      <w:r>
        <w:rPr>
          <w:rFonts w:ascii="Arial;sans-serif" w:hAnsi="Arial;sans-serif"/>
          <w:b w:val="false"/>
          <w:color w:val="000000"/>
          <w:sz w:val="20"/>
        </w:rPr>
        <w:t>Various statements made in this Quarterly Report on Form 10-Q are forward-looking and involve risks and uncertainties. All statements that address activities, events or developments that we intend, expect or believe may occur in the future are forward-looking statements within the meaning of Section 27A of the Securities Act of 1933, as amended, and Section 21E of the Securities Exchange Act of 1934, as amended. Such statements give our current expectations or forecasts of future events and are not statements of historical or current facts. These statements include, among others, statements about:</w:t>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0"/>
        </w:rPr>
        <w:t>our ability to continue as a going concern and support our operations into the first half of 2025;</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our expectations regarding the exploration of strategic alternatives; </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our strategy, including significantly reducing our expenditures on operational and research and development activities and taking other cost savings measures in connection with our ongoing review of strategic alternatives; </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our expectations regarding the benefits of our cost-saving measures;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our ability to preserve capital while we continue to assess potential strategic alternatives;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the expected timing for incurring costs associated with the cost savings measures; </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our expectations regarding our clinical trials and any investigator-initiated clinical trials, including our assessment of potential options to continue the clinical development of seclidemstat for Ewing sarcoma; </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our expectations as to revenue, cash flow, and expenses; </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our liquidity position, the expected sufficiency of such position for anticipated operating and capital requirements; and</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our expectations regarding our ability to remain listed on Nasdaq;</w:t>
      </w:r>
    </w:p>
    <w:p>
      <w:pPr>
        <w:pStyle w:val="TextBody"/>
        <w:bidi w:val="0"/>
        <w:spacing w:before="0" w:after="240"/>
        <w:jc w:val="both"/>
        <w:rPr/>
      </w:pPr>
      <w:r>
        <w:rPr/>
      </w:r>
    </w:p>
    <w:p>
      <w:pPr>
        <w:pStyle w:val="TextBody"/>
        <w:bidi w:val="0"/>
        <w:spacing w:lineRule="auto" w:line="276" w:before="0" w:after="240"/>
        <w:jc w:val="both"/>
        <w:rPr/>
      </w:pPr>
      <w:r>
        <w:rPr>
          <w:rFonts w:ascii="Arial;sans-serif" w:hAnsi="Arial;sans-serif"/>
          <w:b w:val="false"/>
          <w:color w:val="000000"/>
          <w:sz w:val="20"/>
        </w:rPr>
        <w:t>Forward-looking statements also include statements other than statements of current or historical fact, including, without limitation, all statements</w:t>
      </w:r>
      <w:r>
        <w:rPr>
          <w:color w:val="000000"/>
        </w:rPr>
        <w:t xml:space="preserve"> </w:t>
      </w:r>
      <w:r>
        <w:rPr>
          <w:rFonts w:ascii="Arial;sans-serif" w:hAnsi="Arial;sans-serif"/>
          <w:b w:val="false"/>
          <w:color w:val="000000"/>
          <w:sz w:val="20"/>
        </w:rPr>
        <w:t>related to any expectations of revenues, expenses, cash flows, earnings or losses from operations, cash required to maintain current and planned operations, capital or other financial items; any statements of the plans, strategies and objectives of management for future operations; any plans or expectations with respect to product research, development and commercialization, including regulatory approvals; any other statements of expectations, plans, intentions or beliefs; and any statements of assumptions underlying any of the foregoing. We often, although not always, identify forward-looking statements by using words or phrases such as “believe,” “may,” “could,” “will,” “estimate,” “continue,” “anticipate,” “intend,” “expect,” “indicate,” “seek,” “should,” “would,”</w:t>
      </w:r>
      <w:r>
        <w:rPr>
          <w:color w:val="000000"/>
        </w:rPr>
        <w:t xml:space="preserve"> “</w:t>
      </w:r>
      <w:r>
        <w:rPr>
          <w:rFonts w:ascii="Arial;sans-serif" w:hAnsi="Arial;sans-serif"/>
          <w:b w:val="false"/>
          <w:color w:val="000000"/>
          <w:sz w:val="20"/>
        </w:rPr>
        <w:t>target”,</w:t>
      </w:r>
      <w:r>
        <w:rPr>
          <w:color w:val="000000"/>
        </w:rPr>
        <w:t xml:space="preserve"> “</w:t>
      </w:r>
      <w:r>
        <w:rPr>
          <w:rFonts w:ascii="Arial;sans-serif" w:hAnsi="Arial;sans-serif"/>
          <w:b w:val="false"/>
          <w:color w:val="000000"/>
          <w:sz w:val="20"/>
        </w:rPr>
        <w:t>potential,” “evaluate,” “proceeding.”</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The following are some of the factors that could cause actual results to differ materially from the anticipated results or other expectations expressed, anticipated or implied in our forward-looking statements:</w:t>
      </w:r>
    </w:p>
    <w:p>
      <w:pPr>
        <w:pStyle w:val="TextBody"/>
        <w:bidi w:val="0"/>
        <w:spacing w:lineRule="auto" w:line="276" w:before="0" w:after="0"/>
        <w:ind w:left="0" w:right="0" w:hanging="360"/>
        <w:jc w:val="both"/>
        <w:rPr/>
      </w:pPr>
      <w:r>
        <w:rPr>
          <w:color w:val="000000"/>
        </w:rPr>
        <w:t>•</w:t>
      </w:r>
      <w:r>
        <w:rPr>
          <w:rFonts w:ascii="Arial;sans-serif" w:hAnsi="Arial;sans-serif"/>
          <w:b w:val="false"/>
          <w:i/>
          <w:color w:val="000000"/>
          <w:sz w:val="20"/>
        </w:rPr>
        <w:t>the risk that if we do not successfully complete a strategic transaction or obtain additional financing in the near term, the company will need to pursue a dissolution and liquidation of our company;</w:t>
      </w:r>
    </w:p>
    <w:p>
      <w:pPr>
        <w:pStyle w:val="TextBody"/>
        <w:bidi w:val="0"/>
        <w:spacing w:lineRule="auto" w:line="276" w:before="0" w:after="0"/>
        <w:ind w:left="0" w:right="0" w:hanging="360"/>
        <w:jc w:val="both"/>
        <w:rPr/>
      </w:pPr>
      <w:r>
        <w:rPr>
          <w:color w:val="000000"/>
        </w:rPr>
        <w:t>•</w:t>
      </w:r>
      <w:r>
        <w:rPr>
          <w:rFonts w:ascii="Arial;sans-serif" w:hAnsi="Arial;sans-serif"/>
          <w:b w:val="false"/>
          <w:i/>
          <w:color w:val="000000"/>
          <w:sz w:val="20"/>
        </w:rPr>
        <w:t>the risk that we are delisted from Nasdaq;</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imposition of restrictions imposed by the FDA on The University of Texas MD Anderson Cancer Center or MDACC, investigator-initiated clinical trial evaluating seclidemstat (SP-2577) in combination with azacitidine in adult patients with myelodysplastic syndromes and chronic myelomonocytic leukemia, including the partial clinical hold imposed on or about July 9, 2024;</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uncertainties about the exploration and evaluation of strategic alternatives, including that they may not result in a definitive transaction or enhance stockholder value and may create a distraction or uncertainty that may adversely affect our operating results, business or investor perceptions;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potential adverse impacts regarding our announcement regarding our implementation of a series of additional cost-savings measures designed to extend our expected cash runway into the first half of 2025, including the cessation of employment of David Arthur, our Chief Executive Officer, who is continuing to serve in such role on a part-time consulting basis;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risk that the Company’s cost saving initiatives and exploration of strategic alternatives are not successful and do not increase stockholder value;</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uncertainties related to a potential proxy contest;</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unanticipated difficulties with preserving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unanticipated charges not currently contemplated that may occur as a result of the Company’s cost savings plan;</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uncertainties about the paths of our programs and our ability to evaluate and identify a path forward for those programs, particularly given the constraints we have as a small company with limited financial, personnel and other operating resources;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adequacy of our capital to support our future operations including any strategic alternatives we may pursue;</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fluctuations in our operating results; and</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other factors described in our filings with the SEC.</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We cannot guarantee that the results and other expectations expressed, anticipated or implied in any forward-looking statement will be realized. The risks set forth under Item 1A of our Annual Report on Form 10-K for the fiscal year ended December 31, 2023, as supplemented by Part II, Item 1A of this Quarterly Report on Form 10-Q, describe major risks to our business, and you should read and interpret any forward-looking statements together with these risks. A variety of factors, including these risks, could cause our actual results and other expectations to differ materially from the anticipated results or other expectations expressed, anticipated or implied in our forward-looking statements. Should known or unknown risks materialize, or should underlying assumptions prove inaccurate, actual results could differ materially from past results and those anticipated, estimated or projected in the forward-looking statements. You should bear this in mind as you consider any forward-looking statements.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Our forward-looking statements speak only as of the dates on which they are made. We do not undertake any obligation to publicly update or revise our forward-looking statements even if experience or future changes makes it clear that any projected results expressed or implied in such statements will not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 -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849" w:type="dxa"/>
        <w:jc w:val="center"/>
        <w:tblInd w:w="0" w:type="dxa"/>
        <w:tblLayout w:type="fixed"/>
        <w:tblCellMar>
          <w:top w:w="28" w:type="dxa"/>
          <w:left w:w="28" w:type="dxa"/>
          <w:bottom w:w="28" w:type="dxa"/>
          <w:right w:w="28" w:type="dxa"/>
        </w:tblCellMar>
      </w:tblPr>
      <w:tblGrid>
        <w:gridCol w:w="271"/>
        <w:gridCol w:w="238"/>
        <w:gridCol w:w="241"/>
        <w:gridCol w:w="614"/>
        <w:gridCol w:w="614"/>
        <w:gridCol w:w="871"/>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1.</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Financial Statements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SALARIUS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677"/>
        <w:gridCol w:w="2144"/>
        <w:gridCol w:w="2118"/>
        <w:gridCol w:w="212"/>
        <w:gridCol w:w="1028"/>
        <w:gridCol w:w="109"/>
        <w:gridCol w:w="109"/>
        <w:gridCol w:w="109"/>
        <w:gridCol w:w="109"/>
        <w:gridCol w:w="241"/>
        <w:gridCol w:w="1169"/>
        <w:gridCol w:w="180"/>
      </w:tblGrid>
      <w:tr>
        <w:trPr/>
        <w:tc>
          <w:tcPr>
            <w:tcW w:w="2677"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69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2023</w:t>
            </w:r>
          </w:p>
        </w:tc>
      </w:tr>
      <w:tr>
        <w:trPr/>
        <w:tc>
          <w:tcPr>
            <w:tcW w:w="69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(Audited)</w:t>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3,272,823 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5,899,910 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619,763 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3,513,891 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6,519,673 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66,850 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3,553,822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6,586,523</w:t>
            </w: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Liabilities and stockholders' equity </w:t>
            </w:r>
          </w:p>
        </w:tc>
        <w:tc>
          <w:tcPr>
            <w:tcW w:w="134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602,853 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406,745 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6939"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Notes payable</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289,643 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1,178,469 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1,299,241 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6939"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contingencies (Note 5)</w:t>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Preferred stock, $0.0001 par value; 10,000,000 shares authorized; 0 issued and outstanding</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$0.0001 par value; 100,000,000 shares authorized; 641,177 and 492,304 shares issued and outstanding at June 30, 2024 and December 31, 2023, respectively</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81,862,853 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81,635,074 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(79,487,564)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(76,347,841)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stockholders' equity </w:t>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2,375,353 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5,287,282 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3,553,822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6,586,523</w:t>
            </w:r>
            <w:r>
              <w:rPr>
                <w:color w:val="000000"/>
              </w:rPr>
              <w:t>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SALARIUS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584"/>
        <w:gridCol w:w="861"/>
        <w:gridCol w:w="863"/>
        <w:gridCol w:w="211"/>
        <w:gridCol w:w="1038"/>
        <w:gridCol w:w="109"/>
        <w:gridCol w:w="109"/>
        <w:gridCol w:w="109"/>
        <w:gridCol w:w="109"/>
        <w:gridCol w:w="211"/>
        <w:gridCol w:w="1038"/>
        <w:gridCol w:w="109"/>
        <w:gridCol w:w="109"/>
        <w:gridCol w:w="109"/>
        <w:gridCol w:w="109"/>
        <w:gridCol w:w="211"/>
        <w:gridCol w:w="1038"/>
        <w:gridCol w:w="109"/>
        <w:gridCol w:w="109"/>
        <w:gridCol w:w="109"/>
        <w:gridCol w:w="109"/>
        <w:gridCol w:w="211"/>
        <w:gridCol w:w="1038"/>
        <w:gridCol w:w="109"/>
        <w:gridCol w:w="109"/>
        <w:gridCol w:w="109"/>
        <w:gridCol w:w="109"/>
        <w:gridCol w:w="157"/>
      </w:tblGrid>
      <w:tr>
        <w:trPr/>
        <w:tc>
          <w:tcPr>
            <w:tcW w:w="158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2,351,852 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6,077,440 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1,253,070 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1,619,543 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2,781,683 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3,314,618 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1,467,517 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3,971,395 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3,239,132 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9,392,058 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before other income (expense)</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(1,467,517)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(3,971,395)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(3,239,132)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(9,392,058)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net and other</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continuing operations</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(1,424,433)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(3,877,308)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(3,139,723)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(9,218,081)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Net loss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(1,424,433)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(3,877,308)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(3,139,723)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(9,218,081)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per common share — basic and diluted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(27.61)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20"/>
              </w:rPr>
            </w:pPr>
            <w:r>
              <w:rPr>
                <w:rFonts w:ascii="Arial;sans-serif" w:hAnsi="Arial;sans-serif"/>
                <w:b w:val="false"/>
                <w:color w:val="000000"/>
                <w:sz w:val="20"/>
              </w:rPr>
              <w:t>Weighted-average number of common shares outstanding — basic and diluted</w:t>
            </w:r>
          </w:p>
        </w:tc>
        <w:tc>
          <w:tcPr>
            <w:tcW w:w="124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600,417 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338,638 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558,518 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333,894 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 Share and per share amounts have been restated to reflect the 1-for-8 reverse stock split effected in June 14, 2024</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retroactive basis for all periods presented.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SALARIUS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9729" w:type="dxa"/>
        <w:jc w:val="left"/>
        <w:tblInd w:w="0" w:type="dxa"/>
        <w:tblLayout w:type="fixed"/>
        <w:tblCellMar>
          <w:top w:w="28" w:type="dxa"/>
          <w:left w:w="28" w:type="dxa"/>
          <w:bottom w:w="28" w:type="dxa"/>
          <w:right w:w="28" w:type="dxa"/>
        </w:tblCellMar>
      </w:tblPr>
      <w:tblGrid>
        <w:gridCol w:w="2358"/>
        <w:gridCol w:w="2073"/>
        <w:gridCol w:w="2079"/>
        <w:gridCol w:w="211"/>
        <w:gridCol w:w="1081"/>
        <w:gridCol w:w="109"/>
        <w:gridCol w:w="109"/>
        <w:gridCol w:w="109"/>
        <w:gridCol w:w="109"/>
        <w:gridCol w:w="211"/>
        <w:gridCol w:w="1126"/>
        <w:gridCol w:w="154"/>
      </w:tblGrid>
      <w:tr>
        <w:trPr/>
        <w:tc>
          <w:tcPr>
            <w:tcW w:w="2358"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activities</w:t>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(3,139,723)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(9,218,081)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loss to net cash used in operating activities:</w:t>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 expense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Grants receivable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1,480,490 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546,681 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(671,506)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(2,426,147)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(7,585,882)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Financing activities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issuance of equity securities,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7,020,890 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on note payable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provided by financing activities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(200,940)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7,020,890 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 cash, cash equivalents and restricted cash</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(2,627,087)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(564,992)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beginning of period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5,899,910 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12,106,435 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3,272,823 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11,541,443 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Supplemental disclosure of cash flow information:</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investing and financing activities: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Accrued issuance costs for issuance of equity securities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100,419 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SALARIUS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74"/>
        <w:gridCol w:w="465"/>
        <w:gridCol w:w="468"/>
        <w:gridCol w:w="428"/>
        <w:gridCol w:w="428"/>
        <w:gridCol w:w="268"/>
        <w:gridCol w:w="117"/>
        <w:gridCol w:w="117"/>
        <w:gridCol w:w="117"/>
        <w:gridCol w:w="384"/>
        <w:gridCol w:w="198"/>
        <w:gridCol w:w="199"/>
        <w:gridCol w:w="109"/>
        <w:gridCol w:w="109"/>
        <w:gridCol w:w="109"/>
        <w:gridCol w:w="227"/>
        <w:gridCol w:w="1215"/>
        <w:gridCol w:w="117"/>
        <w:gridCol w:w="109"/>
        <w:gridCol w:w="109"/>
        <w:gridCol w:w="109"/>
        <w:gridCol w:w="217"/>
        <w:gridCol w:w="1173"/>
        <w:gridCol w:w="112"/>
        <w:gridCol w:w="109"/>
        <w:gridCol w:w="109"/>
        <w:gridCol w:w="109"/>
        <w:gridCol w:w="234"/>
        <w:gridCol w:w="1137"/>
        <w:gridCol w:w="121"/>
        <w:gridCol w:w="109"/>
        <w:gridCol w:w="109"/>
        <w:gridCol w:w="109"/>
        <w:gridCol w:w="109"/>
        <w:gridCol w:w="109"/>
        <w:gridCol w:w="163"/>
      </w:tblGrid>
      <w:tr>
        <w:trPr/>
        <w:tc>
          <w:tcPr>
            <w:tcW w:w="77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Total Stockholders' Equity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2022</w:t>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281,987</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74,189,728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(63,805,148)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10,384,608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equity securities, net</w:t>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17,812</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311,679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311,681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 expense</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8,737</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203,344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203,345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(5,340,773)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(5,340,773)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2023</w:t>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308,536</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74,704,751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(69,145,921)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5,558,861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equity securities, net</w:t>
            </w:r>
          </w:p>
        </w:tc>
        <w:tc>
          <w:tcPr>
            <w:tcW w:w="8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110,472 </w:t>
            </w:r>
          </w:p>
        </w:tc>
        <w:tc>
          <w:tcPr>
            <w:tcW w:w="26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9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6,608,779 </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6,608,790 </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 expense</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123,459 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123,459 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(3,877,308)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(3,877,308)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June 30, 2023</w:t>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419,008</w:t>
            </w:r>
            <w:r>
              <w:rPr>
                <w:color w:val="000000"/>
              </w:rPr>
              <w:t>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w:t>
            </w:r>
            <w:r>
              <w:rPr>
                <w:color w:val="000000"/>
              </w:rPr>
              <w:t>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81,436,989</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(73,023,229)</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8,413,802</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2023</w:t>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492,304</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81,635,074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(76,347,841)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5,287,282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equity securities, net</w:t>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47,000</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 expense</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(1,715,290)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(1,715,290)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2024</w:t>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539,304</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81,712,615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(78,063,131)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3,649,538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equity securities and other, net</w:t>
            </w:r>
          </w:p>
        </w:tc>
        <w:tc>
          <w:tcPr>
            <w:tcW w:w="8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101,873 </w:t>
            </w:r>
          </w:p>
        </w:tc>
        <w:tc>
          <w:tcPr>
            <w:tcW w:w="26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9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65,070 </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65,080 </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 expense</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85,168 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85,168 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(1,424,433)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(1,424,433)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June 30, 2024</w:t>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641,177</w:t>
            </w:r>
            <w:r>
              <w:rPr>
                <w:color w:val="000000"/>
              </w:rPr>
              <w:t>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w:t>
            </w:r>
            <w:r>
              <w:rPr>
                <w:color w:val="000000"/>
              </w:rPr>
              <w:t>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81,862,853</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(79,487,564)</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2,375,353</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Share and per share amounts have been restated to reflect the 1-for-8 reverse stock split effected in June 14, 2024 on retroactive basis for all periods presented.</w:t>
      </w:r>
    </w:p>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p>
      <w:pPr>
        <w:pStyle w:val="TextBody"/>
        <w:bidi w:val="0"/>
        <w:spacing w:lineRule="auto" w:line="288" w:before="160" w:after="283"/>
        <w:jc w:val="center"/>
        <w:rPr>
          <w:rFonts w:ascii="Arial;sans-serif" w:hAnsi="Arial;sans-serif"/>
          <w:b/>
          <w:color w:val="000000"/>
          <w:sz w:val="20"/>
        </w:rPr>
      </w:pPr>
      <w:r>
        <w:rPr>
          <w:rFonts w:ascii="Arial;sans-serif" w:hAnsi="Arial;sans-serif"/>
          <w:b/>
          <w:color w:val="000000"/>
          <w:sz w:val="20"/>
        </w:rPr>
        <w:t>SALARIUS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160"/>
        <w:jc w:val="center"/>
        <w:rPr>
          <w:rFonts w:ascii="Arial;sans-serif" w:hAnsi="Arial;sans-serif"/>
          <w:b/>
          <w:color w:val="000000"/>
          <w:sz w:val="20"/>
        </w:rPr>
      </w:pPr>
      <w:r>
        <w:rPr>
          <w:rFonts w:ascii="Arial;sans-serif" w:hAnsi="Arial;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
        <w:jc w:val="left"/>
        <w:rPr>
          <w:rFonts w:ascii="Arial;sans-serif" w:hAnsi="Arial;sans-serif"/>
          <w:b/>
          <w:color w:val="000000"/>
          <w:sz w:val="20"/>
        </w:rPr>
      </w:pPr>
      <w:r>
        <w:rPr>
          <w:rFonts w:ascii="Arial;sans-serif" w:hAnsi="Arial;sans-serif"/>
          <w:b/>
          <w:color w:val="000000"/>
          <w:sz w:val="20"/>
        </w:rPr>
        <w:t>NOTE 1. ORGANIZATION AND OPERATIONS</w:t>
      </w:r>
    </w:p>
    <w:p>
      <w:pPr>
        <w:pStyle w:val="TextBody"/>
        <w:bidi w:val="0"/>
        <w:spacing w:before="0" w:after="20"/>
        <w:jc w:val="left"/>
        <w:rPr/>
      </w:pPr>
      <w:r>
        <w:rPr/>
      </w:r>
    </w:p>
    <w:p>
      <w:pPr>
        <w:pStyle w:val="TextBody"/>
        <w:bidi w:val="0"/>
        <w:spacing w:lineRule="auto" w:line="288" w:before="0" w:after="20"/>
        <w:jc w:val="left"/>
        <w:rPr>
          <w:rFonts w:ascii="Arial;sans-serif" w:hAnsi="Arial;sans-serif"/>
          <w:b/>
          <w:color w:val="000000"/>
          <w:sz w:val="20"/>
        </w:rPr>
      </w:pPr>
      <w:r>
        <w:rPr>
          <w:rFonts w:ascii="Arial;sans-serif" w:hAnsi="Arial;sans-serif"/>
          <w:b/>
          <w:color w:val="000000"/>
          <w:sz w:val="20"/>
        </w:rPr>
        <w:t>Nature of Business</w:t>
      </w:r>
    </w:p>
    <w:p>
      <w:pPr>
        <w:pStyle w:val="TextBody"/>
        <w:bidi w:val="0"/>
        <w:spacing w:before="0" w:after="20"/>
        <w:jc w:val="left"/>
        <w:rPr/>
      </w:pPr>
      <w:r>
        <w:rPr/>
      </w:r>
    </w:p>
    <w:p>
      <w:pPr>
        <w:pStyle w:val="TextBody"/>
        <w:bidi w:val="0"/>
        <w:spacing w:lineRule="auto" w:line="268" w:before="0" w:after="240"/>
        <w:jc w:val="both"/>
        <w:rPr>
          <w:rFonts w:ascii="Arial;sans-serif" w:hAnsi="Arial;sans-serif"/>
          <w:b w:val="false"/>
          <w:color w:val="000000"/>
          <w:sz w:val="20"/>
        </w:rPr>
      </w:pPr>
      <w:r>
        <w:rPr>
          <w:rFonts w:ascii="Arial;sans-serif" w:hAnsi="Arial;sans-serif"/>
          <w:b w:val="false"/>
          <w:color w:val="000000"/>
          <w:sz w:val="20"/>
        </w:rPr>
        <w:t>Salarius Pharmaceuticals, Inc. (“Salarius” or the “Company”), together with its subsidiaries, Salarius Pharmaceuticals, LLC, Flex Innovation Group LLC, and TK Pharma, Inc., is a clinical-stage biopharmaceutical company focused on developing effective treatments for cancers with high, unmet medical need. Specifically, the Company is concentrated on developing treatments for cancers caused by dysregulated gene expression, i.e., genes that are incorrectly turned on or off. The Company has two classes of drugs that address gene dysregulation: targeted protein inhibitors and targeted protein degraders. The Company's technologies have the potential to work in both liquid and solid tumors. The Company's current pipeline consists of two small molecule drugs: 1) SP-3164, a targeted protein degrader, and 2) seclidemstat (SP-2577), a targeted protein inhibitor. The Company is located in Houston, Texas. On August 8, 2023, the Company announced that it retained Canaccord Genuity, LLC to lead a comprehensive review of strategic alternatives focusing on maximizing stockholder value, including but not limited to, an acquisition, merger, reverse merger, divestiture of assets, licensing, or other strategic transactions involving the Company. In connection with the evaluation of strategic alternatives and in order to extend Company resources, the Company implemented multiple cost-savings plans to extend the Company’s expected cash runway into the first half of 2025.</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Going Concern</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 xml:space="preserve">Salarius has no products approved for commercial sale, has not generated any revenue from product sales to date and has suffered recurring losses from operations since its inception. The lack of revenue from product sales to date and recurring losses from operations since its inception raise substantial doubt as to the Company's ability to continue as a going concern. The accompanying financial statements are prepared using accounting principles generally accepted in the United States applicable to a going concern, which contemplates the realization of assets and the satisfaction of liabilities in the normal course of business. The financial statements do not include any adjustments relating to the recoverability and classification of recorded asset amounts and classification of liabilities should the Company be unable to continue as a going concern. Based on Salarius’ expected cash requirements, Salarius believes that there is substantial doubt that its existing cash and cash equivalents, will be sufficient to fund its operations through one year from the financial statements' issuance date. The Company may attempt to obtain additional capital through the sale of equity securities in one or more offerings or through issuances of debt instruments, and may also consider new collaborations or selectively partnering its technology. However, the Company cannot provide any assurance that it will be successful in accomplishing any of its plans. </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Although the Company is currently exploring various strategic alternatives, these strategic alternatives may not be successful in the next several months prior to its cash position getting to the point that it will need to pursue the winding down and dissolution of the Company. If the Company does not raise capital or successfully engage a strategic partner before the first half of 2025, it will be forced to cease operations, liquidate assets and possibly seek bankruptcy protection or engage in a similar process.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Reverse Stock Splits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On June 14, 2024, the Company filed a Certificate of Amendment to the Company’s restated certificate of incorporation, as amended, with the Secretary of State of the State of Delaware to effect a 1-for-8 reverse stock split of the Company’s issued and outstanding shares of common stock, par value $0.0001 per share (the “Reverse Stock Split”) which became effective as of June 14, 2024. All historical share and per share amounts reflected throughout this report have been adjusted to reflect the Reverse Stock Split.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October 14, 2022, the Company filed a Certificate of Amendment to the Company’s restated certificate of incorporation with the Secretary of State of the State of Delaware to effect a 1-for-25 reverse stock split of the Company’s issued and outstanding shares of common stock, par value $0.0001 per share (the “Reverse Stock Split”) which became effective as of October 14, 2022. All historical share and per share amounts reflected throughout this report have been adjusted to reflect the Reverse Stock Split.</w:t>
      </w:r>
    </w:p>
    <w:p>
      <w:pPr>
        <w:pStyle w:val="TextBody"/>
        <w:bidi w:val="0"/>
        <w:spacing w:before="16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2. BASIS OF PRESENTATION AND SIGNIFICANT ACCOUNTING POLICIES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Basis of Presentation</w:t>
      </w:r>
    </w:p>
    <w:p>
      <w:pPr>
        <w:pStyle w:val="TextBody"/>
        <w:bidi w:val="0"/>
        <w:spacing w:before="0" w:after="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accompanying unaudited condensed consolidated financial statements have been prepared in conformity with accounting principles generally accepted in the United States ("GAAP"). Any reference in these notes to applicable guidance is meant to refer to the authoritative GAAP as found in the Accounting Standard Codification ("ASC") and Accounting Standards Update ("ASU") of the Financial Accounting Standards Board ("FASB").</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Principles of Consolidation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condensed consolidated financial statements include the accounts of the Company and its wholly owned subsidiaries. All significant intercompany balances and transactions have been eliminated in consolidation.</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Unaudited Interim Financial Information</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accompanying interim financial statements are unaudited. These unaudited interim financial statements have been prepared in accordance with the rules and regulations of the U.S. Securities and Exchange Commission (“SEC”) for interim financial information. Accordingly, they do not include all the information and footnotes required by GAAP for complete financial statements. These unaudited interim financial statements should be read in conjunction with the audited financial statements and accompanying notes for the year ended December 31, 2023 included elsewhere in the Company's Annual Report on Form 10-K filed with the SEC on March 22, 2024, as amended on April 22, 2024. In the opinion of management, the unaudited interim financial statements reflect all the adjustments (consisting of normal recurring adjustments) necessary to state fairly the Company’s financial position as of June 30, 2024 and the results of operations for the three and six months ended June 30, 2024 and 2023. The interim results of operations are not necessarily indicative of the results that may occur for the full fiscal year. The December 31, 2023 balance sheet included herein was derived from the audited financial statements, but does not include all disclosures, including notes, required by GAAP for complete financial statements.</w:t>
      </w: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Use of Estimates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preparation of financial statements in conformity with accounting principles generally accepted in the United States of America as defined by the FASB ASC requires management to make estimates and assumptions that affect certain reported amounts and disclosures. Accordingly, actual results could differ from those estimates.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Cash and Cash Equivalents</w:t>
      </w:r>
    </w:p>
    <w:p>
      <w:pPr>
        <w:pStyle w:val="TextBody"/>
        <w:bidi w:val="0"/>
        <w:spacing w:before="0" w:after="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Salarius considers all highly liquid investments with original maturities of three months or less to be cash equivalents. </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Financial Instruments and Credit Risks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Financial instruments that potentially subject the Company to credit risk include cash and cash equivalents and restricted cash. Cash is deposited in demand accounts in federally insured domestic institutions to minimize risk. Insurance is provided through the Federal Deposit Insurance Corporation. Although the balances in these accounts exceed the federally insured limit from time to time, the Company has not incurred losses related to these deposits.</w:t>
      </w: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Warrants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determines whether warrants should be classified as a liability or equity. For warrants classified as liabilities, the Company estimates the fair value of the warrants at each reporting period using Level 3 inputs with changes in fair value recorded in the Condensed Consolidated Statement of Operations within change in fair value of warrant liability. The estimates in valuation models are based, in part, on subjective assumptions, including but not limited to stock price volatility, the expected life of the warrants, the risk-free interest rate and the fair value of the common stock underlying the warrants, and could differ materially in the future. The Company will continue to adjust the fair value of the warrant liability at the end of each reporting period for changes in fair value from the prior period until the earlier of the exercise or expiration of the applicable warrant. For warrants classified as equity contracts, the Company allocates the transaction proceeds to the warrants and any other free-standing instruments issued in the transaction based on an allowable allocation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Clinical Trial Accruals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Company’s preclinical and clinical trials are performed by third party contract research organizations ("CROs") and/or clinical investigators, and clinical supplies are manufactured by contract manufacturing organizations ("CMOs"). Invoicing from these third parties may be monthly based upon services performed or based upon milestones achieved. The Company accrues these expenses based upon its assessment of the status of each clinical trial and the work completed, and upon information obtained from the CROs and CMOs. The Company’s estimates are dependent upon the timeliness and accuracy of data provided by the CROs and CMOs regarding the status and cost of the studies, and may not match the actual services performed by the organizations. This could result in adjustments to the Company’s research and development expenses in future periods. To date the Company has had no significant adjustments.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Grants Receivable and Revenue </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Salarius’ source of revenue had been from a grant received from CPRIT. Grant revenue is recognized when qualifying costs are incurred and there is reasonable assurance that conditions of the grant have been met. Cash received from grants in advance of incurring qualifying costs is recorded as deferred revenue and recognized as revenue when qualifying costs are incurred. Final reimbursement from the grant was received in the first quarter of 2023. The Company's CPRIT grant expired during 2023 and no additional amounts are expected to be recognized or received.</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Research and Development Costs</w:t>
      </w:r>
    </w:p>
    <w:p>
      <w:pPr>
        <w:pStyle w:val="TextBody"/>
        <w:bidi w:val="0"/>
        <w:spacing w:before="0" w:after="0"/>
        <w:jc w:val="left"/>
        <w:rPr/>
      </w:pPr>
      <w:r>
        <w:rPr/>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Research and development costs consist of expenses incurred in performing research and development activities, including pre-clinical studies and clinical trials. Research and development costs include salaries and personnel-related costs, consulting fees, fees paid for contract research services, the costs of laboratory equipment and facilities, license fees and other external costs. Research and development costs are expensed when incurred.</w:t>
      </w:r>
    </w:p>
    <w:p>
      <w:pPr>
        <w:pStyle w:val="TextBody"/>
        <w:bidi w:val="0"/>
        <w:spacing w:before="0" w:after="0"/>
        <w:jc w:val="both"/>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Equity-Based Compensation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Salarius measures equity-based compensation based on the grant date fair value of the awards and recognizes the associated expense in the financial statements over the requisite service period of the award, which is generally the vesting period.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uses the Black-Scholes option valuation model to estimate the fair value of stock options granted to employees and directors. Assumptions utilized in these models including expected volatility calculated based on implied volatility from traded stocks of peer companies, dividend yield and risk-free interest rate. Additionally, forfeitures are accounted for in compensation cost as they occur. Restricted stock and restricted stock units granted to employees and directors are measured at fair value based upon the closing price of the Company's common stock on the grant date.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Loss Per Share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Basic net loss per share is calculated by dividing the net loss applicable to common stockholders by the weighted average number of shares of common stock outstanding during the period. Since the Company was in a loss position for all periods presented, diluted net loss per share is the same as basic net loss per share for all periods, as the inclusion of all potential common shares outstanding is anti-dilutive.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number of anti-dilutive shares, consisting of common shares underlying (i) common stock options, (ii) stock purchase warrants, (iii) rights entitling holders to receive warrants to purchase the Company's common shares, and (iv) restricted stock units which have been excluded from the computation of diluted loss per share, was approximately 1,282,535 and 1,443,812 shares as of June 30, 2024 and 2023, respectively.</w:t>
      </w: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Income Taxes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Income taxes are recorded in accordance with FASB ASC Topic 740, Income Taxes ("ASC 740"), which provides for deferred taxes using an asset and liability approach. Under this method, deferred tax assets and liabilities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determined based on the difference between the financial reporting and the tax reporting basis of assets and liabilities and are measured using the enacted tax rates and laws that are expected to be in effect when the differences are expected to reverse. The Company provides a valuation allowance against net deferred tax assets unless, based upon the available evidence, it is more likely than not that the deferred tax assets will be realized. The Company has evaluated available evidence and concluded that the Company may not realize the benefit of its deferred tax assets; therefore, a valuation allowance has been established for the full amount of the deferred tax assets.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June 30, 2024 and December 31, 2023, the Company did not have any significant uncertain tax positions and no interest or penalties have been charged. The Company's practice is to recognize interest and/or penalties related to income tax matters in income tax expense. The Company is subject to routine audits by taxing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NOTE 3. GRANT RECEIVABLE FROM CPRIT</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Grants receivable balances are zero at June 30, 2024 and December 31, 2023. During the six months ended June 30, 2024 and 2023, the Company received $0.1 million and $1.5 million from CPRIT, respectively. Since inception, the Company has received approximately $16.1 million under the grant. The grant was closed in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p>
    <w:p>
      <w:pPr>
        <w:pStyle w:val="TextBody"/>
        <w:bidi w:val="0"/>
        <w:spacing w:lineRule="auto" w:line="288" w:before="0" w:after="160"/>
        <w:jc w:val="left"/>
        <w:rPr>
          <w:rFonts w:ascii="Arial;sans-serif" w:hAnsi="Arial;sans-serif"/>
          <w:b/>
          <w:color w:val="000000"/>
          <w:sz w:val="20"/>
        </w:rPr>
      </w:pPr>
      <w:r>
        <w:rPr>
          <w:rFonts w:ascii="Arial;sans-serif" w:hAnsi="Arial;sans-serif"/>
          <w:b/>
          <w:color w:val="000000"/>
          <w:sz w:val="20"/>
        </w:rPr>
        <w:t>NOTE 4. PREPAID EXPENSES AND OTHER CURRENT ASSETS</w:t>
      </w:r>
    </w:p>
    <w:p>
      <w:pPr>
        <w:pStyle w:val="TextBody"/>
        <w:bidi w:val="0"/>
        <w:spacing w:lineRule="auto" w:line="288" w:before="160" w:after="240"/>
        <w:jc w:val="left"/>
        <w:rPr>
          <w:rFonts w:ascii="Arial;sans-serif" w:hAnsi="Arial;sans-serif"/>
          <w:b w:val="false"/>
          <w:color w:val="000000"/>
          <w:sz w:val="20"/>
        </w:rPr>
      </w:pPr>
      <w:r>
        <w:rPr>
          <w:rFonts w:ascii="Arial;sans-serif" w:hAnsi="Arial;sans-serif"/>
          <w:b w:val="false"/>
          <w:color w:val="000000"/>
          <w:sz w:val="20"/>
        </w:rPr>
        <w:t xml:space="preserve">Prepaid expenses and other current assets at June 30, 2024 and December 31, 2023 consisted of the following: </w:t>
      </w:r>
    </w:p>
    <w:tbl>
      <w:tblPr>
        <w:tblW w:w="7901" w:type="dxa"/>
        <w:jc w:val="left"/>
        <w:tblInd w:w="0" w:type="dxa"/>
        <w:tblLayout w:type="fixed"/>
        <w:tblCellMar>
          <w:top w:w="28" w:type="dxa"/>
          <w:left w:w="28" w:type="dxa"/>
          <w:bottom w:w="28" w:type="dxa"/>
          <w:right w:w="28" w:type="dxa"/>
        </w:tblCellMar>
      </w:tblPr>
      <w:tblGrid>
        <w:gridCol w:w="1563"/>
        <w:gridCol w:w="1376"/>
        <w:gridCol w:w="1381"/>
        <w:gridCol w:w="245"/>
        <w:gridCol w:w="994"/>
        <w:gridCol w:w="126"/>
        <w:gridCol w:w="109"/>
        <w:gridCol w:w="109"/>
        <w:gridCol w:w="109"/>
        <w:gridCol w:w="326"/>
        <w:gridCol w:w="1325"/>
        <w:gridCol w:w="238"/>
      </w:tblGrid>
      <w:tr>
        <w:trPr/>
        <w:tc>
          <w:tcPr>
            <w:tcW w:w="1563"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2023</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Insurance</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89,497 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468,495 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prepaid and current assets</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151,571 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151,268 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prepaid expenses and other current assets</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241,068 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619,763 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Insurance is mainly comprised of prepaid directors' and officers' insurance. In July 2023, the Company financed its directors and officers' insurance premium with a short term note, the principal amount of which is approximately $0.6 million bearing interest at a rate of 7.87%. The note payable balance, which was included within Current Liabilities on the Condensed Consolidated Balance Sheet was $0 million at June 30,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NOTE 5. COMMITMENTS AND CONTINGENCIES</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Cancer Prevention and Research Institute of Texas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In June 2016, the Company entered into a Cancer Research Grant Contract with CPRIT. Pursuant to the contract, CPRIT awarded the Company a grant up to $18.7 million, further modified to $16.1 million to fund development of LSD 1 inhibitor. The grant expired in 2023.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will retain ownership over any intellectual property developed under the contract ("Project Result"). With respect to non-commercial use of any Project Result, the Company agreed to grant to CPRIT a nonexclusive, irrevocable, royalty-free, perpetual, worldwide license with right to sublicense any necessary additional intellectual property rights to exploit all Project Results by CPRIT, other governmental entities and agencies of the State of Texas, and private or independent institutions of higher education located in Texas, for education, research and other non-commercial purposes.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Company is obligated to make revenue-sharing payments to CPRIT with respect to net sales of any product covered by the contract, up to a maximum repayment of certain percentage of the aggregate amount paid to the Company by CPRIT under the CPRIT contract. The payments are determined as a percentage of net sales, which may be reduced if the Company is required to obtain a license from a third party to sell any such product.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addition, upon meeting the foregoing limitation on revenue-sharing payments, the Company agreed to make continued revenue-sharing payments to CPRIT of less than 1% of net sales.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License Agreement with the University of Utah Research Foundation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2011, the Company entered into a license agreement with the University of Utah, under which the Company acquired an exclusive license to an epigenetic enzyme lysine specific demethylase 1 ("LSD1"). In exchange for the license, the Company issued 2% equity ownership in the Company on a fully diluted basis at the effective date of the agreement subject to certain adjustments specified in the agreement, such as granted revenue sharing rights on any resulting products or processes to commence on first commercial sale, and milestone payments based upon regulatory approval of any resulting product or process as well as on the second anniversary of first commercial sale.</w:t>
      </w:r>
    </w:p>
    <w:p>
      <w:pPr>
        <w:pStyle w:val="TextBody"/>
        <w:bidi w:val="0"/>
        <w:spacing w:before="0" w:after="0"/>
        <w:jc w:val="left"/>
        <w:rPr/>
      </w:pPr>
      <w:r>
        <w:rPr/>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Lease Agreement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presently leases office space under operating lease agreements on a month-to-month basis.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NOTE 6. FAIR VALUE OF FINANCIAL INSTRUMENTS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 fair value hierarchy based on three levels of inputs, of which the first two are considered observable and the last is considered unobservable, are used to measure fair value:</w:t>
      </w:r>
    </w:p>
    <w:p>
      <w:pPr>
        <w:pStyle w:val="TextBody"/>
        <w:bidi w:val="0"/>
        <w:spacing w:lineRule="auto" w:line="288" w:before="0" w:after="60"/>
        <w:jc w:val="both"/>
        <w:rPr>
          <w:rFonts w:ascii="Arial;sans-serif" w:hAnsi="Arial;sans-serif"/>
          <w:b w:val="false"/>
          <w:color w:val="000000"/>
          <w:sz w:val="20"/>
        </w:rPr>
      </w:pPr>
      <w:r>
        <w:rPr>
          <w:rFonts w:ascii="Arial;sans-serif" w:hAnsi="Arial;sans-serif"/>
          <w:b w:val="false"/>
          <w:color w:val="000000"/>
          <w:sz w:val="20"/>
        </w:rPr>
        <w:t>Level 1 - Unadjusted quoted prices in active markets for identical assets or liabilities.</w:t>
      </w:r>
    </w:p>
    <w:p>
      <w:pPr>
        <w:pStyle w:val="TextBody"/>
        <w:bidi w:val="0"/>
        <w:spacing w:lineRule="auto" w:line="288" w:before="0" w:after="60"/>
        <w:ind w:left="0" w:right="0" w:hanging="810"/>
        <w:jc w:val="both"/>
        <w:rPr>
          <w:rFonts w:ascii="Arial;sans-serif" w:hAnsi="Arial;sans-serif"/>
          <w:b w:val="false"/>
          <w:color w:val="000000"/>
          <w:sz w:val="20"/>
        </w:rPr>
      </w:pPr>
      <w:r>
        <w:rPr>
          <w:rFonts w:ascii="Arial;sans-serif" w:hAnsi="Arial;sans-serif"/>
          <w:b w:val="false"/>
          <w:color w:val="000000"/>
          <w:sz w:val="20"/>
        </w:rPr>
        <w:t>Level 2 - Inputs other than Level 1 that are observable, either directly or indirectly, such as quoted prices for similar assets or liabilities; or other inputs that are observable or can be corroborated by observable market data for substantially the full term of the assets or liabilities.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Level 3 - Significant unobservable inputs including Salarius’ own assumptions in determining fair value.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believes the recorded values of its financial instruments, including cash and cash equivalents, accounts payable and note payable approximate their fair values due to the short-term nature of these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NOTE 7. STOCKHOLDERS' EQUITY</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Common Stock - Issuances</w:t>
      </w:r>
    </w:p>
    <w:p>
      <w:pPr>
        <w:pStyle w:val="TextBody"/>
        <w:bidi w:val="0"/>
        <w:spacing w:lineRule="auto" w:line="288" w:before="160" w:after="240"/>
        <w:jc w:val="both"/>
        <w:rPr>
          <w:rFonts w:ascii="Arial;sans-serif" w:hAnsi="Arial;sans-serif"/>
          <w:b w:val="false"/>
          <w:color w:val="000000"/>
          <w:sz w:val="20"/>
        </w:rPr>
      </w:pPr>
      <w:r>
        <w:rPr>
          <w:rFonts w:ascii="Arial;sans-serif" w:hAnsi="Arial;sans-serif"/>
          <w:b w:val="false"/>
          <w:color w:val="000000"/>
          <w:sz w:val="20"/>
        </w:rPr>
        <w:t xml:space="preserve">During the six months ended June 30, 2024 , the Company sold 44,219 shares of common stock in an "at the market offering" ("ATM") with gross proceeds of $0.1 million. During the six months ended June 30, 2023, the Company sold 87,034 ATM shares with gross proceeds of $1.7 million. </w:t>
      </w:r>
    </w:p>
    <w:p>
      <w:pPr>
        <w:pStyle w:val="TextBody"/>
        <w:bidi w:val="0"/>
        <w:spacing w:lineRule="auto" w:line="288" w:before="160" w:after="240"/>
        <w:jc w:val="both"/>
        <w:rPr>
          <w:rFonts w:ascii="Arial;sans-serif" w:hAnsi="Arial;sans-serif"/>
          <w:b w:val="false"/>
          <w:color w:val="000000"/>
          <w:sz w:val="20"/>
        </w:rPr>
      </w:pPr>
      <w:r>
        <w:rPr>
          <w:rFonts w:ascii="Arial;sans-serif" w:hAnsi="Arial;sans-serif"/>
          <w:b w:val="false"/>
          <w:color w:val="000000"/>
          <w:sz w:val="20"/>
        </w:rPr>
        <w:t xml:space="preserve">On May 11, 2023, the Company entered into a Securities Purchase Agreement (the “Purchase Agreement”) with an accredited investor (the “Investor”), pursuant to which the Company agreed to issue and sell to the Investor in a private placement (the “Offering”) (i) 41,250 shares (the “Shares”) of the Company’s common stock, par value $0.0001 per share (the “Common Stock”), (ii) pre-funded warrants (the “Pre-Funded Warrants”) to purchase up to 413,296 shares of Common Stock, (iii) Series A-1 warrants (the “Series A-1 Warrants”) to purchase up to 454,546 shares of Common Stock and (iv) Series A-2 warrants (the “Series A-2 Warrants”) and together with the Series A-1 Warrants, the “Common Stock Warrants,” and together with the Pre-Funded Warrants, the “Warrants”) to purchase up to 454,546 shares of Common Stock, at a purchase price of (a) $13.20 per Share and accompanying Common Stock Warrants and (b) $13.1992 per Pre-Funded Warrant and accompanying Common Stock Warrants. The aggregate gross proceeds from the Offering were approximately $6.0 million, exclusive of placement agent fees and expenses and other offering expenses. The Offering closed on May 16,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p>
      <w:pPr>
        <w:pStyle w:val="TextBody"/>
        <w:bidi w:val="0"/>
        <w:spacing w:lineRule="auto" w:line="288" w:before="160" w:after="240"/>
        <w:jc w:val="both"/>
        <w:rPr>
          <w:rFonts w:ascii="Arial;sans-serif" w:hAnsi="Arial;sans-serif"/>
          <w:b w:val="false"/>
          <w:color w:val="000000"/>
          <w:sz w:val="20"/>
        </w:rPr>
      </w:pPr>
      <w:r>
        <w:rPr>
          <w:rFonts w:ascii="Arial;sans-serif" w:hAnsi="Arial;sans-serif"/>
          <w:b w:val="false"/>
          <w:color w:val="000000"/>
          <w:sz w:val="20"/>
        </w:rPr>
        <w:t xml:space="preserve">During the six months ended June 30, 2024, the Company issued 104,750 shares of its Common Stock upon the exercise of Pre-Funded Warrants. </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 xml:space="preserve">Warrants Exercisable for Cash </w:t>
      </w:r>
    </w:p>
    <w:p>
      <w:pPr>
        <w:pStyle w:val="TextBody"/>
        <w:bidi w:val="0"/>
        <w:spacing w:lineRule="auto" w:line="288" w:before="0" w:after="240"/>
        <w:jc w:val="both"/>
        <w:rPr/>
      </w:pPr>
      <w:r>
        <w:rPr>
          <w:rFonts w:ascii="Arial;sans-serif" w:hAnsi="Arial;sans-serif"/>
          <w:b w:val="false"/>
          <w:color w:val="000000"/>
          <w:sz w:val="20"/>
          <w:shd w:fill="FFFFFF" w:val="clear"/>
        </w:rPr>
        <w:t>The Company has five-year (5) warrants outstanding that were issued in February 2020 and subsequently modified in December 2020 in connection with the issuance of additional inducement warrants. The warrants are exercisable at a price per share of $</w:t>
      </w:r>
      <w:r>
        <w:rPr>
          <w:rFonts w:ascii="Arial;sans-serif" w:hAnsi="Arial;sans-serif"/>
          <w:b w:val="false"/>
          <w:color w:val="000000"/>
          <w:sz w:val="20"/>
        </w:rPr>
        <w:t>230.00</w:t>
      </w:r>
      <w:r>
        <w:rPr>
          <w:rFonts w:ascii="Arial;sans-serif" w:hAnsi="Arial;sans-serif"/>
          <w:b w:val="false"/>
          <w:color w:val="000000"/>
          <w:sz w:val="20"/>
          <w:shd w:fill="FFFFFF" w:val="clear"/>
        </w:rPr>
        <w:t>. The inducement warrants expire on June 11, 2026, and are exercisable at a price per share of $</w:t>
      </w:r>
      <w:r>
        <w:rPr>
          <w:rFonts w:ascii="Arial;sans-serif" w:hAnsi="Arial;sans-serif"/>
          <w:b w:val="false"/>
          <w:color w:val="000000"/>
          <w:sz w:val="20"/>
        </w:rPr>
        <w:t>236.40</w:t>
      </w:r>
      <w:r>
        <w:rPr>
          <w:rFonts w:ascii="Arial;sans-serif" w:hAnsi="Arial;sans-serif"/>
          <w:b w:val="false"/>
          <w:color w:val="000000"/>
          <w:sz w:val="20"/>
          <w:shd w:fill="FFFFFF" w:val="clear"/>
        </w:rPr>
        <w:t>. The Company has five-and-one-half-year (5.5) year warrants outstanding that were issued in April 2022, with an exercise price of $</w:t>
      </w:r>
      <w:r>
        <w:rPr>
          <w:rFonts w:ascii="Arial;sans-serif" w:hAnsi="Arial;sans-serif"/>
          <w:b w:val="false"/>
          <w:color w:val="000000"/>
          <w:sz w:val="20"/>
        </w:rPr>
        <w:t>67.98</w:t>
      </w:r>
      <w:r>
        <w:rPr>
          <w:color w:val="000000"/>
          <w:shd w:fill="FFFFFF" w:val="clear"/>
        </w:rPr>
        <w:t xml:space="preserve"> </w:t>
      </w:r>
      <w:r>
        <w:rPr>
          <w:rFonts w:ascii="Arial;sans-serif" w:hAnsi="Arial;sans-serif"/>
          <w:b w:val="false"/>
          <w:color w:val="000000"/>
          <w:sz w:val="20"/>
          <w:shd w:fill="FFFFFF" w:val="clear"/>
        </w:rPr>
        <w:t xml:space="preserve">per share. The warrants became exercisable six months following the issuance date and will expire five and one-half years from the issuance date.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Company's Series A-1 Warrants are exercisable for a period of five and one-half (5.5) years from the issuance date at an exercise price of $11.20 per share. Series A-2 Warrants are exercisable for a period of eighteen (18) months from the issuance date at an exercise price of $11.20 per share. Each Pre-Funded Warrant was sold in lieu of shares of Common Stock, are exercisable immediately upon issuance, have an exercise price of $0.0008 per share and expire when exercised in full.</w:t>
      </w:r>
    </w:p>
    <w:p>
      <w:pPr>
        <w:pStyle w:val="TextBody"/>
        <w:bidi w:val="0"/>
        <w:spacing w:lineRule="auto" w:line="288" w:before="0" w:after="240"/>
        <w:jc w:val="both"/>
        <w:rPr/>
      </w:pPr>
      <w:r>
        <w:rPr>
          <w:rFonts w:ascii="Arial;sans-serif" w:hAnsi="Arial;sans-serif"/>
          <w:b w:val="false"/>
          <w:color w:val="000000"/>
          <w:sz w:val="20"/>
          <w:shd w:fill="FFFFFF" w:val="clear"/>
        </w:rPr>
        <w:t xml:space="preserve">In connection with the above mentioned Offering, the Company issued warrants to representatives </w:t>
      </w:r>
      <w:r>
        <w:rPr>
          <w:rFonts w:ascii="Arial;sans-serif" w:hAnsi="Arial;sans-serif"/>
          <w:b w:val="false"/>
          <w:color w:val="000000"/>
          <w:sz w:val="20"/>
        </w:rPr>
        <w:t xml:space="preserve">to purchase up to 31,818 shares of common stock at an exercise price per share of $16.5 and a term of five and one-half (5.5) years. </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As of June 30, 2024 and 2023, approximately 1,250,850 and 1,428,896 warrants remain outstanding (235,250 and 413,296 are Pre-Funded Warrants), respectively.</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The terms of the outstanding warrants require the Company, upon the consummation of any fundamental transaction to, among other obligations, cause any successor entity resulting from the fundamental transaction to assume the Company's obligations under the warrants and the associated transaction documents. In addition, holders of warrants are entitled to participate in any fundamental transaction on an as-converted or as-exercised basis, which could result in the holders of the Company's common stock receiving a lesser portion of the consideration from a fundamental transaction. In addition, certain of our outstanding warrants provide that, in the event of a fundamental transaction that is approved by our board of directors, the holders of such warrants have the option to require us to pay to such holders an amount of cash equal to the Black-Scholes value of the warrants. Such amount could be significantly more than the warrant holders would otherwise receive if they were to exercise their warrants and receive the same consideration as the other holders of common stock, which in turn could reduce the consideration that holders of common stock would be concurrently entitled to receive in such fundamental transaction. The terms of the warrants could also impede the Company's ability to enter into certain transactions or obtain additional financing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Arial;sans-serif" w:hAnsi="Arial;sans-serif"/>
          <w:b/>
          <w:color w:val="000000"/>
          <w:sz w:val="20"/>
        </w:rPr>
      </w:pPr>
      <w:r>
        <w:rPr>
          <w:rFonts w:ascii="Arial;sans-serif" w:hAnsi="Arial;sans-serif"/>
          <w:b/>
          <w:color w:val="000000"/>
          <w:sz w:val="20"/>
        </w:rPr>
        <w:t xml:space="preserve">NOTE 8. EQUITY-BASED COMPENSATION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Equity Incentive Plans</w:t>
      </w:r>
    </w:p>
    <w:p>
      <w:pPr>
        <w:pStyle w:val="TextBody"/>
        <w:bidi w:val="0"/>
        <w:spacing w:lineRule="auto" w:line="288" w:before="160" w:after="160"/>
        <w:jc w:val="both"/>
        <w:rPr>
          <w:rFonts w:ascii="Arial;sans-serif" w:hAnsi="Arial;sans-serif"/>
          <w:b w:val="false"/>
          <w:color w:val="000000"/>
          <w:sz w:val="20"/>
        </w:rPr>
      </w:pPr>
      <w:r>
        <w:rPr>
          <w:rFonts w:ascii="Arial;sans-serif" w:hAnsi="Arial;sans-serif"/>
          <w:b w:val="false"/>
          <w:color w:val="000000"/>
          <w:sz w:val="20"/>
        </w:rPr>
        <w:t>The Company has granted options to employees, directors, and consultants under the 2015 Equity Incentive Plan (the "2015 Plan"). The 2015 Plan provides for the grant of incentive stock options ("ISOs"), nonstatutory stock options, restricted stock awards, restricted stock units, stock appreciation rights, performance-based stock awards and other stock-based awards. Additionally, the 2015 Plan provides for the grant of performance-based cash awards. ISOs may be granted only to the Company's employees. All other awards may be granted to the Company's employees, including officers, and to non-employee directors and consultants. As of June 30, 2024, there were approximately 9,844 shares remaining available for grant awards under the 2015 Plan.</w:t>
      </w:r>
    </w:p>
    <w:p>
      <w:pPr>
        <w:pStyle w:val="TextBody"/>
        <w:bidi w:val="0"/>
        <w:spacing w:lineRule="auto" w:line="288" w:before="160" w:after="160"/>
        <w:jc w:val="both"/>
        <w:rPr/>
      </w:pPr>
      <w:r>
        <w:rPr>
          <w:rFonts w:ascii="Arial;sans-serif" w:hAnsi="Arial;sans-serif"/>
          <w:b w:val="false"/>
          <w:color w:val="000000"/>
          <w:sz w:val="20"/>
        </w:rPr>
        <w:t>During the six-month periods ended June 30, 2024 and 2023, the Company awarded 21,125</w:t>
      </w:r>
      <w:r>
        <w:rPr>
          <w:color w:val="000000"/>
        </w:rPr>
        <w:t xml:space="preserve"> </w:t>
      </w:r>
      <w:r>
        <w:rPr>
          <w:rFonts w:ascii="Times New Roman;sans-serif" w:hAnsi="Times New Roman;sans-serif"/>
          <w:b w:val="false"/>
          <w:color w:val="000000"/>
          <w:sz w:val="20"/>
        </w:rPr>
        <w:t xml:space="preserve">and </w:t>
      </w:r>
      <w:r>
        <w:rPr>
          <w:rFonts w:ascii="Arial;sans-serif" w:hAnsi="Arial;sans-serif"/>
          <w:b w:val="false"/>
          <w:color w:val="000000"/>
          <w:sz w:val="20"/>
        </w:rPr>
        <w:t xml:space="preserve">0 stock options to its employees and directors, pursuant to the plan described above. Stock options generally vest over one to four years and have a contractual term of ten years. Stock options are valued using the Black-Scholes option pricing model and compensation cost is recognized based on the resulting value over the service period. Expected volatilities utilized in the model are based on implied volatilities from traded stocks of peer companies. Similarly, the dividend yield is based on historical experience and the estimate of future dividend yields. The risk-free interest rate is derived from the U.S. Treasury yield curve in effect at the time of grant. The expected term of the options is based on the average period the stock options are expected to remain outstanding. The fair value of the option grants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p>
      <w:pPr>
        <w:pStyle w:val="TextBody"/>
        <w:bidi w:val="0"/>
        <w:spacing w:lineRule="auto" w:line="288" w:before="160" w:after="160"/>
        <w:jc w:val="both"/>
        <w:rPr>
          <w:rFonts w:ascii="Arial;sans-serif" w:hAnsi="Arial;sans-serif"/>
          <w:b w:val="false"/>
          <w:color w:val="000000"/>
          <w:sz w:val="20"/>
        </w:rPr>
      </w:pPr>
      <w:r>
        <w:rPr>
          <w:rFonts w:ascii="Arial;sans-serif" w:hAnsi="Arial;sans-serif"/>
          <w:b w:val="false"/>
          <w:color w:val="000000"/>
          <w:sz w:val="20"/>
        </w:rPr>
        <w:t>awarded during the six - month period ended June 30, 2024 was $0.1 million, which has been estimated with the following assumptions on the grant date.</w:t>
      </w:r>
    </w:p>
    <w:p>
      <w:pPr>
        <w:pStyle w:val="TextBody"/>
        <w:bidi w:val="0"/>
        <w:spacing w:before="160" w:after="160"/>
        <w:jc w:val="both"/>
        <w:rPr/>
      </w:pPr>
      <w:r>
        <w:rPr/>
      </w:r>
    </w:p>
    <w:tbl>
      <w:tblPr>
        <w:tblW w:w="5711" w:type="dxa"/>
        <w:jc w:val="center"/>
        <w:tblInd w:w="0" w:type="dxa"/>
        <w:tblLayout w:type="fixed"/>
        <w:tblCellMar>
          <w:top w:w="28" w:type="dxa"/>
          <w:left w:w="28" w:type="dxa"/>
          <w:bottom w:w="28" w:type="dxa"/>
          <w:right w:w="28" w:type="dxa"/>
        </w:tblCellMar>
      </w:tblPr>
      <w:tblGrid>
        <w:gridCol w:w="880"/>
        <w:gridCol w:w="773"/>
        <w:gridCol w:w="777"/>
        <w:gridCol w:w="625"/>
        <w:gridCol w:w="625"/>
        <w:gridCol w:w="625"/>
        <w:gridCol w:w="411"/>
        <w:gridCol w:w="411"/>
        <w:gridCol w:w="584"/>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1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4.25%-4.61%</w:t>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Volatility    </w:t>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 xml:space="preserve">106.07% - 123.31% </w:t>
            </w:r>
          </w:p>
        </w:tc>
        <w:tc>
          <w:tcPr>
            <w:tcW w:w="1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life (years)    </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5.00-6.00</w:t>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dividend yield    </w:t>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1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Arial;sans-serif" w:hAnsi="Arial;sans-serif"/>
          <w:b w:val="false"/>
          <w:color w:val="000000"/>
          <w:sz w:val="20"/>
        </w:rPr>
      </w:pPr>
      <w:r>
        <w:rPr>
          <w:rFonts w:ascii="Arial;sans-serif" w:hAnsi="Arial;sans-serif"/>
          <w:b w:val="false"/>
          <w:color w:val="000000"/>
          <w:sz w:val="20"/>
        </w:rPr>
        <w:t xml:space="preserve">During the six months ended June 30, 2023, the Company awarded 1,525 restricted stock units to its employees and 4,580 restricted stock awards to its officers and directors, pursuant to the plan described above. Both the restricted stock units and restricted stock awards are valued at the closing price $12.56 of the Company's common stock on the grant date, and generally vest over one to four years. Total fair value of the restricted stock awards and restricted stock units awarded during the six - month period ended June 30, 2023 is $76,679. </w:t>
      </w:r>
    </w:p>
    <w:p>
      <w:pPr>
        <w:pStyle w:val="TextBody"/>
        <w:bidi w:val="0"/>
        <w:spacing w:before="160" w:after="160"/>
        <w:jc w:val="both"/>
        <w:rPr/>
      </w:pPr>
      <w:r>
        <w:rPr/>
      </w:r>
    </w:p>
    <w:p>
      <w:pPr>
        <w:pStyle w:val="TextBody"/>
        <w:bidi w:val="0"/>
        <w:spacing w:before="160" w:after="160"/>
        <w:jc w:val="center"/>
        <w:rPr/>
      </w:pPr>
      <w:r>
        <w:rPr/>
      </w:r>
    </w:p>
    <w:p>
      <w:pPr>
        <w:pStyle w:val="TextBody"/>
        <w:bidi w:val="0"/>
        <w:spacing w:before="160" w:after="160"/>
        <w:jc w:val="center"/>
        <w:rPr/>
      </w:pPr>
      <w:r>
        <w:rPr/>
      </w:r>
    </w:p>
    <w:p>
      <w:pPr>
        <w:pStyle w:val="TextBody"/>
        <w:bidi w:val="0"/>
        <w:spacing w:before="160" w:after="160"/>
        <w:jc w:val="center"/>
        <w:rPr/>
      </w:pPr>
      <w:r>
        <w:rPr/>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The following table summarizes stock option activity for employees and non-employees for the six months ended June 30, 2024 and 2023: </w:t>
      </w:r>
    </w:p>
    <w:tbl>
      <w:tblPr>
        <w:tblW w:w="8749" w:type="dxa"/>
        <w:jc w:val="left"/>
        <w:tblInd w:w="0" w:type="dxa"/>
        <w:tblLayout w:type="fixed"/>
        <w:tblCellMar>
          <w:top w:w="28" w:type="dxa"/>
          <w:left w:w="28" w:type="dxa"/>
          <w:bottom w:w="28" w:type="dxa"/>
          <w:right w:w="28" w:type="dxa"/>
        </w:tblCellMar>
      </w:tblPr>
      <w:tblGrid>
        <w:gridCol w:w="1140"/>
        <w:gridCol w:w="1003"/>
        <w:gridCol w:w="1006"/>
        <w:gridCol w:w="375"/>
        <w:gridCol w:w="376"/>
        <w:gridCol w:w="251"/>
        <w:gridCol w:w="109"/>
        <w:gridCol w:w="109"/>
        <w:gridCol w:w="109"/>
        <w:gridCol w:w="351"/>
        <w:gridCol w:w="1252"/>
        <w:gridCol w:w="183"/>
        <w:gridCol w:w="109"/>
        <w:gridCol w:w="109"/>
        <w:gridCol w:w="109"/>
        <w:gridCol w:w="595"/>
        <w:gridCol w:w="595"/>
        <w:gridCol w:w="596"/>
        <w:gridCol w:w="109"/>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Weighted-Average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Weighted-Average</w:t>
              <w:br/>
              <w:t>Remaining</w:t>
              <w:br/>
              <w:t>Contractual</w:t>
              <w:br/>
              <w:t>Term (in years)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Outstanding at December 31, 2022</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13,391 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189.36 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Expired</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June 30, 2023</w:t>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13,391 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189.36 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Exercisable at June 30, 2023</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226.40 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December 31, 2023</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11,164 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190.24 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7.26</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21,125 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Expired</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June 30, 2024</w:t>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31,554 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8.71</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Exercisable at June 30, 2024</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8,692 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209.91 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June 30, 2024 and 2023, there was approximately $0.2 million and $0.6 million, respectively, of total unrecognized compensation cost related to unvested stock options. Total unrecognized compensation cost will be adjusted for future changes in employee and non-employee forfeitures, if any. The Company expects to recognize that cost over a remaining weighted-average period of 0.99 years.</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Arial;sans-serif" w:hAnsi="Arial;sans-serif"/>
          <w:b/>
          <w:color w:val="000000"/>
          <w:sz w:val="20"/>
        </w:rPr>
      </w:pPr>
      <w:r>
        <w:rPr>
          <w:rFonts w:ascii="Arial;sans-serif" w:hAnsi="Arial;sans-serif"/>
          <w:b/>
          <w:color w:val="000000"/>
          <w:sz w:val="20"/>
        </w:rPr>
        <w:t>NOTE 9 SUBSEQUENT EVENTS</w:t>
      </w:r>
    </w:p>
    <w:p>
      <w:pPr>
        <w:pStyle w:val="TextBody"/>
        <w:bidi w:val="0"/>
        <w:spacing w:lineRule="auto" w:line="276" w:before="160" w:after="240"/>
        <w:jc w:val="both"/>
        <w:rPr>
          <w:rFonts w:ascii="Arial;sans-serif" w:hAnsi="Arial;sans-serif"/>
          <w:b w:val="false"/>
          <w:color w:val="000000"/>
          <w:sz w:val="20"/>
        </w:rPr>
      </w:pPr>
      <w:r>
        <w:rPr>
          <w:rFonts w:ascii="Arial;sans-serif" w:hAnsi="Arial;sans-serif"/>
          <w:b w:val="false"/>
          <w:color w:val="000000"/>
          <w:sz w:val="20"/>
        </w:rPr>
        <w:t>In July 2024, the Company sold 564,730 shares of its common stock in its ATM program with gross proceeds of $1.5 million, and issued 235,250 shares of its common stock upon the exercise of Pre-Funded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tbl>
      <w:tblPr>
        <w:tblW w:w="9209" w:type="dxa"/>
        <w:jc w:val="center"/>
        <w:tblInd w:w="0" w:type="dxa"/>
        <w:tblLayout w:type="fixed"/>
        <w:tblCellMar>
          <w:top w:w="28" w:type="dxa"/>
          <w:left w:w="28" w:type="dxa"/>
          <w:bottom w:w="28" w:type="dxa"/>
          <w:right w:w="28" w:type="dxa"/>
        </w:tblCellMar>
      </w:tblPr>
      <w:tblGrid>
        <w:gridCol w:w="271"/>
        <w:gridCol w:w="238"/>
        <w:gridCol w:w="241"/>
        <w:gridCol w:w="2474"/>
        <w:gridCol w:w="2474"/>
        <w:gridCol w:w="3511"/>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2.</w:t>
            </w:r>
          </w:p>
        </w:tc>
        <w:tc>
          <w:tcPr>
            <w:tcW w:w="8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tc>
      </w:tr>
    </w:tbl>
    <w:p>
      <w:pPr>
        <w:pStyle w:val="TextBody"/>
        <w:bidi w:val="0"/>
        <w:spacing w:lineRule="auto" w:line="276" w:before="240" w:after="240"/>
        <w:jc w:val="both"/>
        <w:rPr/>
      </w:pPr>
      <w:r>
        <w:rPr>
          <w:rFonts w:ascii="Arial;sans-serif" w:hAnsi="Arial;sans-serif"/>
          <w:b w:val="false"/>
          <w:i/>
          <w:color w:val="000000"/>
          <w:sz w:val="20"/>
        </w:rPr>
        <w:t xml:space="preserve">The following discussion and analysis should be read in conjunction with the unaudited financial information and the notes thereto included herein, as well as our audited financial statements and notes thereto contained in our </w:t>
      </w:r>
      <w:r>
        <w:rPr>
          <w:rFonts w:ascii="Arial;sans-serif" w:hAnsi="Arial;sans-serif"/>
          <w:b w:val="false"/>
          <w:color w:val="000000"/>
          <w:sz w:val="20"/>
        </w:rPr>
        <w:t>Annual Report</w:t>
      </w:r>
      <w:r>
        <w:rPr>
          <w:color w:val="000000"/>
        </w:rPr>
        <w:t xml:space="preserve"> </w:t>
      </w:r>
      <w:r>
        <w:rPr>
          <w:rFonts w:ascii="Arial;sans-serif" w:hAnsi="Arial;sans-serif"/>
          <w:b w:val="false"/>
          <w:i/>
          <w:color w:val="000000"/>
          <w:sz w:val="20"/>
        </w:rPr>
        <w:t xml:space="preserve">on Form 10-K for the year ended December 31, 2023, filed with the SEC on March 22, 2024, as amended on April 22, 2024. This discussion contains forward-looking statements that involve risks and uncertainties. Our actual results and the timing of selected events could differ materially from those anticipated in these forward-looking statements as a result of several factors, including those set forth under "Part I - Item 1A - Risk Factors" discussed in our </w:t>
      </w:r>
      <w:r>
        <w:rPr>
          <w:rFonts w:ascii="Arial;sans-serif" w:hAnsi="Arial;sans-serif"/>
          <w:b w:val="false"/>
          <w:color w:val="000000"/>
          <w:sz w:val="20"/>
        </w:rPr>
        <w:t>Annual Report</w:t>
      </w:r>
      <w:r>
        <w:rPr>
          <w:color w:val="000000"/>
        </w:rPr>
        <w:t xml:space="preserve"> </w:t>
      </w:r>
      <w:r>
        <w:rPr>
          <w:rFonts w:ascii="Arial;sans-serif" w:hAnsi="Arial;sans-serif"/>
          <w:b w:val="false"/>
          <w:i/>
          <w:color w:val="000000"/>
          <w:sz w:val="20"/>
        </w:rPr>
        <w:t>on Form 10-K for the year ended December 31, 2023, in other subsequent filings with the SEC, and elsewhere in this Quarterly Report on Form 10-Q. These statements, like all statements in this report, speak only as of the date of this Quarterly Report on Form 10-Q (unless another date is indicated), and we undertake no obligation to update or revise these statements in light of future developments.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Recent Developments</w:t>
      </w:r>
    </w:p>
    <w:p>
      <w:pPr>
        <w:pStyle w:val="TextBody"/>
        <w:bidi w:val="0"/>
        <w:spacing w:lineRule="auto" w:line="276" w:before="0" w:after="24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On June 14, 2024, we filed a Certificate of Amendment to our restated certificate of incorporation (as amended, the "Certificate of Amendment"), with the Secretary of State of Delaware, to effect a one-for-8 reverse stock split of our issued and outstanding shares of common stock. Beginning with the opening of trading on June 17, 2024, our common stock was traded on Nasdaq Capital Market on a split-adjusted basis under a new CUSIP number 79400X404.</w:t>
      </w:r>
    </w:p>
    <w:p>
      <w:pPr>
        <w:pStyle w:val="TextBody"/>
        <w:bidi w:val="0"/>
        <w:spacing w:lineRule="auto" w:line="276" w:before="0" w:after="0"/>
        <w:jc w:val="both"/>
        <w:rPr/>
      </w:pPr>
      <w:r>
        <w:rPr>
          <w:rFonts w:ascii="Arial;sans-serif" w:hAnsi="Arial;sans-serif"/>
          <w:b w:val="false"/>
          <w:color w:val="000000"/>
          <w:sz w:val="20"/>
        </w:rPr>
        <w:t>On June 17, 2024, The University of Texas MD Anderson Cancer Center (“MDACC”) announced that investigators at the MDACC Leukemia department presented clinical data on seclidemstat in patients with myelodysplastic syndrome and chronic myelomonocytic leukemia at the 2024 European Hematology Association (EHA) Hybrid Congress.</w:t>
      </w:r>
      <w:r>
        <w:rPr>
          <w:color w:val="000000"/>
        </w:rPr>
        <w:t xml:space="preserve"> </w:t>
      </w:r>
      <w:r>
        <w:rPr>
          <w:rFonts w:ascii="Arial;sans-serif" w:hAnsi="Arial;sans-serif"/>
          <w:b w:val="false"/>
          <w:color w:val="000000"/>
          <w:sz w:val="20"/>
        </w:rPr>
        <w:t>Investigators reported a 43% overall response rate among 14 predominantly higher risk myelodysplastic syndrome and myelomonocytic leukemia patients who previously failed or relapsed after hypomethylating agent therapy median overall survival was 18.5 months (95% CI, range 6.1-30.9 months) with median event-free survival of 7.2 months (95% CI, range 6.3-8.2 months).</w:t>
      </w:r>
    </w:p>
    <w:p>
      <w:pPr>
        <w:pStyle w:val="TextBody"/>
        <w:bidi w:val="0"/>
        <w:spacing w:before="0" w:after="0"/>
        <w:jc w:val="left"/>
        <w:rPr/>
      </w:pPr>
      <w:r>
        <w:rPr/>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On July 9, 2024, we were notified by researchers at MDACC that a patient in MDACC’s sponsored clinical trial evaluating seclidemstat (SP-2577) in combination with azacitidine in adult patients with myelodysplastic syndromes and chronic myelomonocytic leukemia experienced a serious and unexpected grade 4 adverse event. Per protocol, the U.S. Food and Drug Administration (FDA) was notified and MDACC subsequently received notification from the FDA placing the clinical trial on partial clinical hold. Under the partial clinical hold, no new patients may be enrolled at this time, but currently enrolled subjects may continue treatment and all study procedures if they are benefiting. We intend to support researchers at MDACC to analyze the available data and respond to questions submitted by the FDA.</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On July 19, 2024, we announced we decided to close our ongoing Phase 1/2 clinical trial evaluating seclidemstat for Ewing sarcoma, including closing the remaining clinical trial sites. We are terminating the ongoing clinical trial in an effort to conserve cash while our Board of Directors continues its exploration of potential strategic alternatives focused on maximizing shareholder value and potential options to continue the clinical development for Ewing sarcoma in the future. We intend to continue supporting MDACC in MDACC’s sponsored clinical trial evaluating seclidemstat (SP-2577) in combination with azacitidine in adult patients with myelodysplastic syndromes and chronic myelomonocytic leukemia, which remains on partial clinical hold following a serious and unexpected grade 4 adverse event.</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 xml:space="preserve">In July 2024, we sold 564,730 shares of our common stock in an "at the market offering" ("ATM") with gross proceeds of $1.5 million, and issued 235,250 shares of common stock upon the exercise of certain pre-funded warrants. </w:t>
      </w:r>
    </w:p>
    <w:p>
      <w:pPr>
        <w:pStyle w:val="TextBody"/>
        <w:bidi w:val="0"/>
        <w:spacing w:lineRule="auto" w:line="276" w:before="0" w:after="240"/>
        <w:jc w:val="both"/>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 xml:space="preserve">We are a clinical-stage biopharmaceutical company focused on developing effective treatments for parties with cancer with high, unmet medical need. Specifically, we are concentrated on developing treatments for cancers caused by dysregulated gene expression, i.e., genes which are incorrectly turned on or off. We have two classes of drugs that address gene dysregulation: targeted protein inhibitors and targeted protein degraders. Our technologies have the potential to work in both liquid and solid tumors. Our current pipeline consists of two small molecule drugs: 1) SP-3164, targeted protein degrader, and 2) seclidemstat (SP-2577), a targeted inhibitor. We are located in Houston, Texas. On August 8, 2023, we announced that we retained Canaccord Genuity, LLC to lead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comprehensive review of strategic alternatives focusing on maximizing stockholder value, including but not limited to, an acquisition, merger, reverse merger, divestiture of assets, licensing, or other strategic transactions involving our company. In connection with the evaluation of strategic alternatives and in order to extend our resources, we implemented multiple cost-savings plans to extend our expected cash runway into the first half of 2025.</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We have no products approved for commercial sale and have not generated any revenue from product sales. We have never been profitable and have incurred operating losses in each year since inception. We had an accumulated deficit of $79.5 million as of June 30, 2024. Substantially all of our operating losses resulted from expenses incurred in connection with our research and development programs and from general and administrative costs associated with our operations. As of June 30, 2024, we had cash and cash equivalents of $3.3 million. In July 2024, we sold 564,730 shares of our common stock in an ATM offering with gross proceeds of $1.5 million.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financial statements are prepared using Generally Accepted Accounting Principles in the United States of America (“GAAP”) applicable to a going concern, which contemplates the realization of assets and the satisfaction of liabilities in the normal course of business. Our financial statements do not include any adjustments relating to the recoverability and classification of recorded asset amounts and classification of liabilities should we be unable to continue as a going concern.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believe that there is presently insufficient funding available to allow us to continue our current and planned clinical programs for a period exceeding 12 months from the date of this filing with the SEC.</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The lack of revenue from product sales to date and recurring losses from operations since our inception raise substantial doubt as to our ability to continue as a going concern. We will continue to require substantial additional capital to continue our operations and any clinical development activities that we determine to advance and will need such additional capital within the next several months to continue to fund our operations beyond the first half of 2025. The amount and timing of our future funding requirements will depend on many factors, including the results of our evaluation of strategic alternatives, and our Board’s consideration of potential options to continue the clinical development for Ewing sarcoma in the future. Failure to raise capital as and when needed, on favorable terms or at all, would have a material negative impact on our financial condition and our ability to continue our operations.</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We may attempt obtain additional capital through the sale of equity securities in one or more offerings or through issuances of debt instruments, which will likely cause significant dilution to our existing shareholders. We may also consider new collaborations or selectively partnering our technology. However, we cannot provide any assurance that we will be successful in accomplishing any of our plans to obtain additional capital or be able to do so on terms acceptable to us.</w:t>
      </w:r>
    </w:p>
    <w:p>
      <w:pPr>
        <w:pStyle w:val="TextBody"/>
        <w:bidi w:val="0"/>
        <w:spacing w:lineRule="auto" w:line="268" w:before="0" w:after="240"/>
        <w:jc w:val="both"/>
        <w:rPr>
          <w:rFonts w:ascii="Arial;sans-serif" w:hAnsi="Arial;sans-serif"/>
          <w:b w:val="false"/>
          <w:color w:val="000000"/>
          <w:sz w:val="20"/>
        </w:rPr>
      </w:pPr>
      <w:r>
        <w:rPr>
          <w:rFonts w:ascii="Arial;sans-serif" w:hAnsi="Arial;sans-serif"/>
          <w:b w:val="false"/>
          <w:color w:val="000000"/>
          <w:sz w:val="20"/>
        </w:rPr>
        <w:t xml:space="preserve">Although we are currently exploring various strategic alternatives, these strategic alternatives may not be successful in the next several months prior to our cash position getting to the point that we will need to pursue the winding down and dissolution of the Company. If we do not raise capital or successfully engage a strategic partner in the next several months, we will be forced to cease operations, liquidate our assets and possibly seek bankruptcy protection or engage in a similar process. </w:t>
      </w:r>
    </w:p>
    <w:p>
      <w:pPr>
        <w:pStyle w:val="TextBody"/>
        <w:bidi w:val="0"/>
        <w:spacing w:lineRule="auto" w:line="276" w:before="0" w:after="240"/>
        <w:jc w:val="both"/>
        <w:rPr>
          <w:rFonts w:ascii="Arial;sans-serif" w:hAnsi="Arial;sans-serif"/>
          <w:b/>
          <w:color w:val="000000"/>
          <w:sz w:val="20"/>
        </w:rPr>
      </w:pPr>
      <w:r>
        <w:rPr>
          <w:rFonts w:ascii="Arial;sans-serif" w:hAnsi="Arial;sans-serif"/>
          <w:b/>
          <w:color w:val="000000"/>
          <w:sz w:val="20"/>
        </w:rPr>
        <w:t>Program Development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Our goal is to develop SP-3164 and SP-2577 for treatment of cancers; however, due to limited financial and operational resources our Board of Directors continues to explore strategic alternatives to maximize return for investors, which includes selling or out licensing SP-3164 and/or SP-2577 to a third party. We have significantly reduced costs in both programs. </w:t>
      </w:r>
    </w:p>
    <w:p>
      <w:pPr>
        <w:pStyle w:val="TextBody"/>
        <w:bidi w:val="0"/>
        <w:spacing w:lineRule="auto" w:line="276" w:before="0" w:after="240"/>
        <w:jc w:val="both"/>
        <w:rPr>
          <w:rFonts w:ascii="Arial;sans-serif" w:hAnsi="Arial;sans-serif"/>
          <w:b/>
          <w:i/>
          <w:color w:val="000000"/>
          <w:sz w:val="20"/>
        </w:rPr>
      </w:pPr>
      <w:r>
        <w:rPr>
          <w:rFonts w:ascii="Arial;sans-serif" w:hAnsi="Arial;sans-serif"/>
          <w:b/>
          <w:i/>
          <w:color w:val="000000"/>
          <w:sz w:val="20"/>
        </w:rPr>
        <w:t>SP-3164 – Targeted Protein Degradation</w:t>
      </w:r>
    </w:p>
    <w:p>
      <w:pPr>
        <w:pStyle w:val="TextBody"/>
        <w:bidi w:val="0"/>
        <w:spacing w:lineRule="auto" w:line="268" w:before="0" w:after="240"/>
        <w:jc w:val="both"/>
        <w:rPr>
          <w:rFonts w:ascii="Arial;sans-serif" w:hAnsi="Arial;sans-serif"/>
          <w:b w:val="false"/>
          <w:color w:val="000000"/>
          <w:sz w:val="20"/>
        </w:rPr>
      </w:pPr>
      <w:r>
        <w:rPr>
          <w:rFonts w:ascii="Arial;sans-serif" w:hAnsi="Arial;sans-serif"/>
          <w:b w:val="false"/>
          <w:color w:val="000000"/>
          <w:sz w:val="20"/>
        </w:rPr>
        <w:t>Our plan has been to develop SP-3164 in high unmet need hematological indications and solid tumors. Our goal was to file an IND application with the U.S. Food and Drug Administration for SP-3164 in the first half of 2023, and begin a Phase 1/2 clinical trial in the second half of 2023, however the lack of funding required us to curtail spending necessary to begin the clinical trial program.</w:t>
      </w:r>
    </w:p>
    <w:p>
      <w:pPr>
        <w:pStyle w:val="TextBody"/>
        <w:bidi w:val="0"/>
        <w:spacing w:lineRule="auto" w:line="276" w:before="0" w:after="240"/>
        <w:jc w:val="both"/>
        <w:rPr>
          <w:rFonts w:ascii="Arial;sans-serif" w:hAnsi="Arial;sans-serif"/>
          <w:b/>
          <w:i/>
          <w:color w:val="000000"/>
          <w:sz w:val="20"/>
        </w:rPr>
      </w:pPr>
      <w:r>
        <w:rPr>
          <w:rFonts w:ascii="Arial;sans-serif" w:hAnsi="Arial;sans-serif"/>
          <w:b/>
          <w:i/>
          <w:color w:val="000000"/>
          <w:sz w:val="20"/>
        </w:rPr>
        <w:t>SP-2577 Ewing Sarcoma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Ewing sarcoma is a devastating pediatric and young adult cancer for which there are no approved targeted therapies. The cause of Ewing sarcoma is a chromosomal translocation involving the Ewing sarcoma breakpoint region 1 (EWSR1) gene and ETS family genes, resulting in expression of a fusion oncoprotein. The resulting oncoprotein has been found to co-localize with LSD1 throughout the genome, making LSD1 an attractive therapeutic target for Ewing sarcoma. Based on data from the National Institute of Health (NIH) and physician collaborators, we believe there are approximately 500 Ewing sarcoma patients diagnosed annually in the United States. Current treatment for Ewing sarcoma consists of an intensive chemotherapy regime, radiation and often disfiguring surgeries. Due to the harshness of current treatment options, children and adolescents often experience long-term side effects such as slowed growth and development, learning problems and an increased risk of developing second cancers. According to published literature, including “Management of recurrent Ewing sarcoma: challenges and approaches” by David Van Mater and Lars Wagner, patients with overt metastasis (20-30% of patients) or recurrent disease (~20%) have poor prognosis, with less than a 30% chance of experiencing disease-free survival, and there is currently not a standardized treatment available for recurrent Ewing sarcoma. These are the patients that we aim to help. </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On July 19, 2024, we announced we have determined to close our ongoing Phase 1/2 clinical trial evaluating seclidemstat for Ewing sarcoma, including closing the remaining clinical trial sites. We terminated the ongoing clinical trial in an effort to conserve cash while our Board of Directors continues its exploration of potential strategic alternatives. We intend to continue supporting MDACC in MDACC’s sponsored clinical trial evaluating seclidemstat (SP-2577) in combination with azacitidine in adult patients with myelodysplastic syndromes and chronic myelomonocytic leukemia, which remains on partial clinical hold following a serious and unexpected grade 4 adverse event.</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240"/>
        <w:jc w:val="both"/>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76" w:before="0" w:after="240"/>
        <w:jc w:val="both"/>
        <w:rPr>
          <w:rFonts w:ascii="Arial;sans-serif" w:hAnsi="Arial;sans-serif"/>
          <w:b/>
          <w:i/>
          <w:color w:val="000000"/>
          <w:sz w:val="20"/>
        </w:rPr>
      </w:pPr>
      <w:r>
        <w:rPr>
          <w:rFonts w:ascii="Arial;sans-serif" w:hAnsi="Arial;sans-serif"/>
          <w:b/>
          <w:i/>
          <w:color w:val="000000"/>
          <w:sz w:val="20"/>
        </w:rPr>
        <w:t>Three months ended June 30, 2024 Compared to the Three months ended June 30, 2023</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The following table sets forth the condensed consolidated results of our operations for the three months ended June 30, 2024 compared to June 30, 2023. </w:t>
      </w:r>
    </w:p>
    <w:p>
      <w:pPr>
        <w:pStyle w:val="TextBody"/>
        <w:bidi w:val="0"/>
        <w:spacing w:before="0" w:after="240"/>
        <w:jc w:val="both"/>
        <w:rPr/>
      </w:pPr>
      <w:r>
        <w:rPr/>
      </w:r>
    </w:p>
    <w:tbl>
      <w:tblPr>
        <w:tblW w:w="8498" w:type="dxa"/>
        <w:jc w:val="center"/>
        <w:tblInd w:w="0" w:type="dxa"/>
        <w:tblLayout w:type="fixed"/>
        <w:tblCellMar>
          <w:top w:w="28" w:type="dxa"/>
          <w:left w:w="28" w:type="dxa"/>
          <w:bottom w:w="28" w:type="dxa"/>
          <w:right w:w="28" w:type="dxa"/>
        </w:tblCellMar>
      </w:tblPr>
      <w:tblGrid>
        <w:gridCol w:w="1228"/>
        <w:gridCol w:w="1079"/>
        <w:gridCol w:w="1082"/>
        <w:gridCol w:w="211"/>
        <w:gridCol w:w="1021"/>
        <w:gridCol w:w="109"/>
        <w:gridCol w:w="109"/>
        <w:gridCol w:w="109"/>
        <w:gridCol w:w="109"/>
        <w:gridCol w:w="211"/>
        <w:gridCol w:w="1021"/>
        <w:gridCol w:w="109"/>
        <w:gridCol w:w="109"/>
        <w:gridCol w:w="109"/>
        <w:gridCol w:w="109"/>
        <w:gridCol w:w="211"/>
        <w:gridCol w:w="1081"/>
        <w:gridCol w:w="109"/>
        <w:gridCol w:w="109"/>
        <w:gridCol w:w="109"/>
        <w:gridCol w:w="154"/>
      </w:tblGrid>
      <w:tr>
        <w:trPr/>
        <w:tc>
          <w:tcPr>
            <w:tcW w:w="122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vMerge w:val="continue"/>
            <w:tcBorders/>
            <w:tcMar>
              <w:top w:w="0" w:type="dxa"/>
              <w:left w:w="0" w:type="dxa"/>
              <w:bottom w:w="0" w:type="dxa"/>
              <w:right w:w="0" w:type="dxa"/>
            </w:tcMar>
            <w:vAlign w:val="center"/>
          </w:tcPr>
          <w:p>
            <w:pPr>
              <w:pStyle w:val="Normal"/>
              <w:bidi w:val="0"/>
              <w:jc w:val="left"/>
              <w:rPr/>
            </w:pPr>
            <w:r>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214,447 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2,351,852 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(2,137,405)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1,253,070 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1,619,543 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(366,473)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net and other</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1,424,433</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3,877,308</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(2,452,875)</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jc w:val="left"/>
        <w:rPr/>
      </w:pPr>
      <w:r>
        <w:rPr/>
      </w:r>
    </w:p>
    <w:p>
      <w:pPr>
        <w:pStyle w:val="TextBody"/>
        <w:bidi w:val="0"/>
        <w:spacing w:lineRule="auto" w:line="288" w:before="160" w:after="240"/>
        <w:jc w:val="left"/>
        <w:rPr>
          <w:rFonts w:ascii="Arial;sans-serif" w:hAnsi="Arial;sans-serif"/>
          <w:b/>
          <w:i/>
          <w:color w:val="000000"/>
          <w:sz w:val="20"/>
        </w:rPr>
      </w:pPr>
      <w:r>
        <w:rPr>
          <w:rFonts w:ascii="Arial;sans-serif" w:hAnsi="Arial;sans-serif"/>
          <w:b/>
          <w:i/>
          <w:color w:val="000000"/>
          <w:sz w:val="20"/>
        </w:rPr>
        <w:t>Research and Development Expenses</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Research and development expenses decreased during the three months ended June 30, 2024 compared to the same period in 2023 primarily related to the cost-savings plan implemented in the third quarter of 2023 which included a significant reduction in operating personnel.</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626"/>
        <w:gridCol w:w="1310"/>
        <w:gridCol w:w="1313"/>
        <w:gridCol w:w="211"/>
        <w:gridCol w:w="751"/>
        <w:gridCol w:w="109"/>
        <w:gridCol w:w="109"/>
        <w:gridCol w:w="109"/>
        <w:gridCol w:w="109"/>
        <w:gridCol w:w="211"/>
        <w:gridCol w:w="1021"/>
        <w:gridCol w:w="109"/>
        <w:gridCol w:w="109"/>
        <w:gridCol w:w="109"/>
        <w:gridCol w:w="109"/>
        <w:gridCol w:w="211"/>
        <w:gridCol w:w="856"/>
        <w:gridCol w:w="109"/>
        <w:gridCol w:w="109"/>
        <w:gridCol w:w="109"/>
        <w:gridCol w:w="109"/>
        <w:gridCol w:w="211"/>
        <w:gridCol w:w="1021"/>
        <w:gridCol w:w="155"/>
      </w:tblGrid>
      <w:tr>
        <w:trPr/>
        <w:tc>
          <w:tcPr>
            <w:tcW w:w="1626"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SP-2577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SP-3164</w:t>
            </w:r>
          </w:p>
        </w:tc>
      </w:tr>
      <w:tr>
        <w:trPr/>
        <w:tc>
          <w:tcPr>
            <w:tcW w:w="42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Research and development costs by candidates and by categories:</w:t>
            </w:r>
          </w:p>
        </w:tc>
        <w:tc>
          <w:tcPr>
            <w:tcW w:w="59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r>
      <w:tr>
        <w:trPr/>
        <w:tc>
          <w:tcPr>
            <w:tcW w:w="4249" w:type="dxa"/>
            <w:gridSpan w:val="3"/>
            <w:vMerge w:val="continue"/>
            <w:tcBorders/>
            <w:tcMar>
              <w:top w:w="0" w:type="dxa"/>
              <w:left w:w="0" w:type="dxa"/>
              <w:bottom w:w="0" w:type="dxa"/>
              <w:right w:w="0" w:type="dxa"/>
            </w:tcMar>
            <w:vAlign w:val="center"/>
          </w:tcPr>
          <w:p>
            <w:pPr>
              <w:pStyle w:val="Normal"/>
              <w:bidi w:val="0"/>
              <w:jc w:val="left"/>
              <w:rPr/>
            </w:pPr>
            <w:r>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4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Outsourced research and development costs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30,527 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544,937 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17,791 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773,463 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Employee-related costs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515,242 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52,092 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Manufacturing and laboratory costs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108,183 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451,365 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research and development costs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88,473</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1,074,932</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125,974</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1,276,920</w:t>
            </w:r>
            <w:r>
              <w:rPr>
                <w:color w:val="000000"/>
              </w:rPr>
              <w:t>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General and Administrative Expenses</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General and administrative expenses were $1.3 million during the three months ended June 30, 2024, compared to $1.6 million for the three months ended June 30, 2023. The decrease is related to cost savings plan activities put in place in the third quarter of 2023 including lower personnel cost, insurance expense, and facility costs offset by higher legal expenses.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240"/>
        <w:jc w:val="both"/>
        <w:rPr>
          <w:rFonts w:ascii="Arial;sans-serif" w:hAnsi="Arial;sans-serif"/>
          <w:b/>
          <w:i/>
          <w:color w:val="000000"/>
          <w:sz w:val="20"/>
        </w:rPr>
      </w:pPr>
      <w:r>
        <w:rPr>
          <w:rFonts w:ascii="Arial;sans-serif" w:hAnsi="Arial;sans-serif"/>
          <w:b/>
          <w:i/>
          <w:color w:val="000000"/>
          <w:sz w:val="20"/>
        </w:rPr>
        <w:t>Six months ended June 30, 2024 Compared to Six months ended June 30, 2023</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The following table sets forth the condensed consolidated results of our operations for the Six months ended June 30, 2024 compared to June 30, 2023.</w:t>
      </w:r>
    </w:p>
    <w:tbl>
      <w:tblPr>
        <w:tblW w:w="8498" w:type="dxa"/>
        <w:jc w:val="left"/>
        <w:tblInd w:w="0" w:type="dxa"/>
        <w:tblLayout w:type="fixed"/>
        <w:tblCellMar>
          <w:top w:w="28" w:type="dxa"/>
          <w:left w:w="28" w:type="dxa"/>
          <w:bottom w:w="28" w:type="dxa"/>
          <w:right w:w="28" w:type="dxa"/>
        </w:tblCellMar>
      </w:tblPr>
      <w:tblGrid>
        <w:gridCol w:w="1228"/>
        <w:gridCol w:w="1079"/>
        <w:gridCol w:w="1082"/>
        <w:gridCol w:w="211"/>
        <w:gridCol w:w="1021"/>
        <w:gridCol w:w="109"/>
        <w:gridCol w:w="109"/>
        <w:gridCol w:w="109"/>
        <w:gridCol w:w="109"/>
        <w:gridCol w:w="211"/>
        <w:gridCol w:w="1021"/>
        <w:gridCol w:w="109"/>
        <w:gridCol w:w="109"/>
        <w:gridCol w:w="109"/>
        <w:gridCol w:w="109"/>
        <w:gridCol w:w="211"/>
        <w:gridCol w:w="1081"/>
        <w:gridCol w:w="109"/>
        <w:gridCol w:w="109"/>
        <w:gridCol w:w="109"/>
        <w:gridCol w:w="154"/>
      </w:tblGrid>
      <w:tr>
        <w:trPr/>
        <w:tc>
          <w:tcPr>
            <w:tcW w:w="122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vMerge w:val="continue"/>
            <w:tcBorders/>
            <w:tcMar>
              <w:top w:w="0" w:type="dxa"/>
              <w:left w:w="0" w:type="dxa"/>
              <w:bottom w:w="0" w:type="dxa"/>
              <w:right w:w="0" w:type="dxa"/>
            </w:tcMar>
            <w:vAlign w:val="center"/>
          </w:tcPr>
          <w:p>
            <w:pPr>
              <w:pStyle w:val="Normal"/>
              <w:bidi w:val="0"/>
              <w:jc w:val="left"/>
              <w:rPr/>
            </w:pPr>
            <w:r>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457,449 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6,077,440 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(5,619,991)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2,781,683 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3,314,618 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(532,935)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net and other</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99,409 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173,977 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(74,568)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3,139,723</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9,218,081</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(6,078,358)</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p>
      <w:pPr>
        <w:pStyle w:val="TextBody"/>
        <w:bidi w:val="0"/>
        <w:spacing w:lineRule="auto" w:line="276" w:before="160" w:after="240"/>
        <w:jc w:val="both"/>
        <w:rPr>
          <w:rFonts w:ascii="Arial;sans-serif" w:hAnsi="Arial;sans-serif"/>
          <w:b/>
          <w:i/>
          <w:color w:val="000000"/>
          <w:sz w:val="20"/>
        </w:rPr>
      </w:pPr>
      <w:r>
        <w:rPr>
          <w:rFonts w:ascii="Arial;sans-serif" w:hAnsi="Arial;sans-serif"/>
          <w:b/>
          <w:i/>
          <w:color w:val="000000"/>
          <w:sz w:val="20"/>
        </w:rPr>
        <w:t>Research and Development Expenses</w:t>
      </w:r>
    </w:p>
    <w:p>
      <w:pPr>
        <w:pStyle w:val="TextBody"/>
        <w:bidi w:val="0"/>
        <w:spacing w:lineRule="auto" w:line="268" w:before="0" w:after="0"/>
        <w:jc w:val="both"/>
        <w:rPr/>
      </w:pPr>
      <w:r>
        <w:rPr>
          <w:rFonts w:ascii="Arial;sans-serif" w:hAnsi="Arial;sans-serif"/>
          <w:b w:val="false"/>
          <w:color w:val="000000"/>
          <w:sz w:val="20"/>
        </w:rPr>
        <w:t>Research and development expenses decreased during the six</w:t>
      </w:r>
      <w:r>
        <w:rPr>
          <w:color w:val="000000"/>
        </w:rPr>
        <w:t xml:space="preserve"> </w:t>
      </w:r>
      <w:r>
        <w:rPr>
          <w:rFonts w:ascii="Arial;sans-serif" w:hAnsi="Arial;sans-serif"/>
          <w:b w:val="false"/>
          <w:color w:val="000000"/>
          <w:sz w:val="20"/>
        </w:rPr>
        <w:t>months ended June 30, 2024 compared to the same period in 2023 primarily related to the cost-savings plan implemented in the third quarter of 2023 which included a significant reduction in operating personnel.</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593"/>
        <w:gridCol w:w="1274"/>
        <w:gridCol w:w="1277"/>
        <w:gridCol w:w="211"/>
        <w:gridCol w:w="856"/>
        <w:gridCol w:w="109"/>
        <w:gridCol w:w="109"/>
        <w:gridCol w:w="109"/>
        <w:gridCol w:w="109"/>
        <w:gridCol w:w="211"/>
        <w:gridCol w:w="1021"/>
        <w:gridCol w:w="109"/>
        <w:gridCol w:w="109"/>
        <w:gridCol w:w="109"/>
        <w:gridCol w:w="109"/>
        <w:gridCol w:w="211"/>
        <w:gridCol w:w="856"/>
        <w:gridCol w:w="109"/>
        <w:gridCol w:w="109"/>
        <w:gridCol w:w="109"/>
        <w:gridCol w:w="109"/>
        <w:gridCol w:w="211"/>
        <w:gridCol w:w="1021"/>
        <w:gridCol w:w="155"/>
      </w:tblGrid>
      <w:tr>
        <w:trPr/>
        <w:tc>
          <w:tcPr>
            <w:tcW w:w="1593"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SP-2577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SP-3164</w:t>
            </w:r>
          </w:p>
        </w:tc>
      </w:tr>
      <w:tr>
        <w:trPr/>
        <w:tc>
          <w:tcPr>
            <w:tcW w:w="41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Research and development costs by candidates and by categories:</w:t>
            </w:r>
          </w:p>
        </w:tc>
        <w:tc>
          <w:tcPr>
            <w:tcW w:w="606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4144"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4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Outsourced research and development costs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171,373 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1,257,762 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2,543,587 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Employee-related costs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1,055,618 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103,066 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Manufacturing and laboratory costs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73,216 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105,575 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158,532 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1,011,832 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research and development costs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244,589</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2,418,955</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212,860</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3,658,485</w:t>
            </w:r>
            <w:r>
              <w:rPr>
                <w:color w:val="000000"/>
              </w:rPr>
              <w:t>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160" w:after="160"/>
        <w:jc w:val="both"/>
        <w:rPr>
          <w:rFonts w:ascii="Arial;sans-serif" w:hAnsi="Arial;sans-serif"/>
          <w:b/>
          <w:i/>
          <w:color w:val="000000"/>
          <w:sz w:val="20"/>
        </w:rPr>
      </w:pPr>
      <w:r>
        <w:rPr>
          <w:rFonts w:ascii="Arial;sans-serif" w:hAnsi="Arial;sans-serif"/>
          <w:b/>
          <w:i/>
          <w:color w:val="000000"/>
          <w:sz w:val="20"/>
        </w:rPr>
        <w:t>General and Administrative Expenses</w:t>
      </w:r>
    </w:p>
    <w:p>
      <w:pPr>
        <w:pStyle w:val="TextBody"/>
        <w:bidi w:val="0"/>
        <w:spacing w:lineRule="auto" w:line="276" w:before="160" w:after="160"/>
        <w:jc w:val="both"/>
        <w:rPr/>
      </w:pPr>
      <w:r>
        <w:rPr>
          <w:rFonts w:ascii="Arial;sans-serif" w:hAnsi="Arial;sans-serif"/>
          <w:b w:val="false"/>
          <w:color w:val="000000"/>
          <w:sz w:val="20"/>
        </w:rPr>
        <w:t>General and administrative expenses were $2.8 million during the six months ended June 30, 2024, compared to $3.3 million for the six months ended June 30, 2023. The decrease is related to cost savings plan activities put in place in the third quarter of 2023 including lower personnel cost, a one time reduction of bad debt expense, lower insurance and facility expenses, which were partially offset by contracture separation costs of $0.5 million incurred and paid during the six month period ended June 30, 2024 i</w:t>
      </w:r>
      <w:r>
        <w:rPr>
          <w:rFonts w:ascii="Arial;sans-serif" w:hAnsi="Arial;sans-serif"/>
          <w:b w:val="false"/>
          <w:color w:val="000000"/>
          <w:sz w:val="20"/>
          <w:shd w:fill="FFFFFF" w:val="clear"/>
        </w:rPr>
        <w:t xml:space="preserve">n connection with our President and Chief Executive Officer ending his full-time employment and transitioning to a part-time consultant role, effective February 20, 2024 and higher legal costs compared to the same period in the prior year. </w:t>
      </w:r>
      <w:r>
        <w:rPr>
          <w:rFonts w:ascii="Arial;sans-serif" w:hAnsi="Arial;sans-serif"/>
          <w:b w:val="false"/>
          <w:color w:val="000000"/>
          <w:sz w:val="20"/>
        </w:rPr>
        <w:t xml:space="preserve">There were no separation costs during the same period in 2023. </w:t>
      </w:r>
    </w:p>
    <w:p>
      <w:pPr>
        <w:pStyle w:val="TextBody"/>
        <w:bidi w:val="0"/>
        <w:spacing w:before="16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40"/>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Overview</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Since inception, we have incurred operating losses and we anticipate that we will continue to incur losses for the foreseeable future. In August 2023, we commenced a process to explore and evaluate strategic alternatives to enhance shareholder value, which could result in a fundamental transaction as defined by certain of our outstanding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warrants to purchase shares of our common stock. The terms of certain of the outstanding warrants require us, upon the consummation of any fundamental transaction to, among other obligations, cause any successor entity resulting from the fundamental transaction to assume our obligations under the warrants and the associated transaction documents. In addition, holders of warrants are entitled to participate in any fundamental transaction on an as-converted or as-exercised basis, which could result in the holders of our common stock receiving a lesser portion of the consideration from a fundamental transaction. In addition, certain of our outstanding warrants provide that, in the event of a fundamental transaction that is approved by our board of directors, the holders of such warrants have the option to require us to pay to such holders an amount of cash equal to the Black-Scholes value of the warrants. Such amount could be significantly more than the warrant holders would otherwise receive if they were to exercise their warrants and receive the same consideration as the other holders of common stock, which in turn could reduce the consideration that holders of common stock would be concurrently entitled to receive in such fundamental transaction. The terms of the warrants could also impede our ability to enter into certain transactions or obtain additional financing in the future. In conjunction with our exploration of strategic alternatives, we are exploring opportunities to extend our resources.</w:t>
      </w:r>
    </w:p>
    <w:p>
      <w:pPr>
        <w:pStyle w:val="TextBody"/>
        <w:bidi w:val="0"/>
        <w:spacing w:lineRule="auto" w:line="288" w:before="0" w:after="0"/>
        <w:jc w:val="both"/>
        <w:rPr/>
      </w:pPr>
      <w:r>
        <w:rPr>
          <w:rFonts w:ascii="Arial;sans-serif" w:hAnsi="Arial;sans-serif"/>
          <w:b w:val="false"/>
          <w:color w:val="000000"/>
          <w:sz w:val="20"/>
        </w:rPr>
        <w:t>As of June 30, 2024, cash and cash equivalents totaled $3.3 million, which were held in bank deposit accounts and a money market account. Working capital totaled $2.3 million as of June 30, 2024. Our cash and cash equivalents balance decreased during the six months ended June 30, 2024, primarily due to cash used in operating activities. We believe that our $3.3 million in cash and cash equivalents on hand as of June 30, 2024, plus the additional $1.5 million of net proceeds from sales of shares of our common stock pursuant to the ATM offering is sufficient to fund our current and restructured operations into the first half of 2025. Our stockholders' equity balance was $2.4</w:t>
      </w:r>
      <w:r>
        <w:rPr>
          <w:color w:val="000000"/>
        </w:rPr>
        <w:t xml:space="preserve"> </w:t>
      </w:r>
      <w:r>
        <w:rPr>
          <w:rFonts w:ascii="Arial;sans-serif" w:hAnsi="Arial;sans-serif"/>
          <w:b w:val="false"/>
          <w:color w:val="000000"/>
          <w:sz w:val="20"/>
        </w:rPr>
        <w:t xml:space="preserve">million </w:t>
      </w:r>
      <w:r>
        <w:rPr>
          <w:rFonts w:ascii="Times New Roman;sans-serif" w:hAnsi="Times New Roman;sans-serif"/>
          <w:b w:val="false"/>
          <w:color w:val="000000"/>
          <w:sz w:val="20"/>
        </w:rPr>
        <w:t xml:space="preserve">at </w:t>
      </w:r>
      <w:r>
        <w:rPr>
          <w:rFonts w:ascii="Arial;sans-serif" w:hAnsi="Arial;sans-serif"/>
          <w:b w:val="false"/>
          <w:color w:val="000000"/>
          <w:sz w:val="20"/>
        </w:rPr>
        <w:t xml:space="preserve">June 30, 2024, however we believe the balance is above $2.5 million as of the day we file our Form 10-Q on August 9, 2024. </w:t>
      </w:r>
    </w:p>
    <w:p>
      <w:pPr>
        <w:pStyle w:val="TextBody"/>
        <w:bidi w:val="0"/>
        <w:spacing w:before="0" w:after="0"/>
        <w:jc w:val="left"/>
        <w:rPr/>
      </w:pPr>
      <w:r>
        <w:rPr/>
      </w:r>
    </w:p>
    <w:p>
      <w:pPr>
        <w:pStyle w:val="TextBody"/>
        <w:bidi w:val="0"/>
        <w:spacing w:lineRule="auto" w:line="268" w:before="0" w:after="240"/>
        <w:jc w:val="both"/>
        <w:rPr>
          <w:rFonts w:ascii="Arial;sans-serif" w:hAnsi="Arial;sans-serif"/>
          <w:b w:val="false"/>
          <w:color w:val="000000"/>
          <w:sz w:val="20"/>
        </w:rPr>
      </w:pPr>
      <w:r>
        <w:rPr>
          <w:rFonts w:ascii="Arial;sans-serif" w:hAnsi="Arial;sans-serif"/>
          <w:b w:val="false"/>
          <w:color w:val="000000"/>
          <w:sz w:val="20"/>
        </w:rPr>
        <w:t xml:space="preserve">To provide the maximum degree of financial flexibility, and subject to our exploration of strategic alternatives, we may consider various potential opportunities to fund future operations and/or modulate liquidity needs, including: (i) seeking various strategic transactions, including a merger, licensing arrangement or sale that provide funding for our programs; (ii) entering into one or more collaborations to offset costs; (iii) reducing our expenditures on all business activities and/or restructuring our operations and reducing staff. If we are unable to execute on these activities, we may be forced to evaluate additional alternatives including a wind down of our operations. </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We do not expect to generate any revenue from product sales unless and until we obtain regulatory approval for and commercialize our product candidate. At the same time, in connection with our exploration of strategic alternatives, we expect to continue to incur significant expenses and expect that our operating losses may fluctuate significantly from quarter-to-quarter and year-to-year.</w:t>
      </w:r>
    </w:p>
    <w:p>
      <w:pPr>
        <w:pStyle w:val="TextBody"/>
        <w:bidi w:val="0"/>
        <w:spacing w:before="0" w:after="0"/>
        <w:jc w:val="left"/>
        <w:rPr/>
      </w:pPr>
      <w:r>
        <w:rPr/>
      </w:r>
    </w:p>
    <w:p>
      <w:pPr>
        <w:pStyle w:val="TextBody"/>
        <w:bidi w:val="0"/>
        <w:spacing w:lineRule="auto" w:line="288" w:before="0" w:after="240"/>
        <w:jc w:val="both"/>
        <w:rPr/>
      </w:pPr>
      <w:r>
        <w:rPr>
          <w:rFonts w:ascii="Arial;sans-serif" w:hAnsi="Arial;sans-serif"/>
          <w:b w:val="false"/>
          <w:color w:val="000000"/>
          <w:sz w:val="20"/>
        </w:rPr>
        <w:t>To date, we have secured capital from the sale of equity and grant revenue. Until we can generate a sufficient amount of revenue from our products, if ever, we intend, when required, to obtain additional capital through the sale of equity securities in one or more offerings or through issuances of debt instruments. We may also consider new collaborations or selectively partnering our technology. However, we cannot provide any assurance that we will be successful in accomplishing any of our plans to obtain additional capital or be able to do so on favorable terms acceptable to us. If we are unable to obtain additional financing, we may be required to significantly delay, scale back or discontinue the development or commercialization of our product candidate.</w:t>
      </w:r>
      <w:r>
        <w:rPr>
          <w:color w:val="000000"/>
        </w:rPr>
        <w:t xml:space="preserve"> </w:t>
      </w:r>
      <w:r>
        <w:rPr>
          <w:rFonts w:ascii="Arial;sans-serif" w:hAnsi="Arial;sans-serif"/>
          <w:b w:val="false"/>
          <w:color w:val="000000"/>
          <w:sz w:val="20"/>
        </w:rPr>
        <w:t xml:space="preserve">Furthermore, we may be unable to complete a collaboration, or if we do, we may be forced to relinquish valuable future product rights. </w:t>
      </w:r>
    </w:p>
    <w:p>
      <w:pPr>
        <w:pStyle w:val="TextBody"/>
        <w:bidi w:val="0"/>
        <w:spacing w:lineRule="auto" w:line="268" w:before="0" w:after="240"/>
        <w:jc w:val="both"/>
        <w:rPr>
          <w:rFonts w:ascii="Arial;sans-serif" w:hAnsi="Arial;sans-serif"/>
          <w:b w:val="false"/>
          <w:color w:val="000000"/>
          <w:sz w:val="20"/>
        </w:rPr>
      </w:pPr>
      <w:r>
        <w:rPr>
          <w:rFonts w:ascii="Arial;sans-serif" w:hAnsi="Arial;sans-serif"/>
          <w:b w:val="false"/>
          <w:color w:val="000000"/>
          <w:sz w:val="20"/>
        </w:rPr>
        <w:t xml:space="preserve">Although we are currently exploring various strategic alternatives, these strategic alternatives may not be successful in the next several months prior to our cash position getting to the point that we will need to pursue the winding down and dissolution of the Company. If we do not raise capital or successfully engage a strategic partner in the next several months, we will be forced to cease operations, liquidate our assets and possibly seek bankruptcy protection or engage in a similar process.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Cash Flows</w:t>
      </w:r>
    </w:p>
    <w:tbl>
      <w:tblPr>
        <w:tblW w:w="7044" w:type="dxa"/>
        <w:jc w:val="left"/>
        <w:tblInd w:w="0" w:type="dxa"/>
        <w:tblLayout w:type="fixed"/>
        <w:tblCellMar>
          <w:top w:w="28" w:type="dxa"/>
          <w:left w:w="28" w:type="dxa"/>
          <w:bottom w:w="28" w:type="dxa"/>
          <w:right w:w="28" w:type="dxa"/>
        </w:tblCellMar>
      </w:tblPr>
      <w:tblGrid>
        <w:gridCol w:w="1397"/>
        <w:gridCol w:w="1230"/>
        <w:gridCol w:w="1243"/>
        <w:gridCol w:w="211"/>
        <w:gridCol w:w="1081"/>
        <w:gridCol w:w="109"/>
        <w:gridCol w:w="109"/>
        <w:gridCol w:w="109"/>
        <w:gridCol w:w="109"/>
        <w:gridCol w:w="211"/>
        <w:gridCol w:w="1081"/>
        <w:gridCol w:w="154"/>
      </w:tblGrid>
      <w:tr>
        <w:trPr/>
        <w:tc>
          <w:tcPr>
            <w:tcW w:w="1397"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provided by in:</w:t>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(2,426,147)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(7,585,882)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Financing activities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7,020,890 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 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(2,627,087)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(564,992)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Operating Activities</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Net cash used in operating activities was $2.4 million in the current period, a decrease of approximately $5.2 million from the same period a year ago. The decrease is primarily due to significantly reduced operating expenses during the current quarter compared to the same period last year. </w:t>
      </w:r>
    </w:p>
    <w:p>
      <w:pPr>
        <w:pStyle w:val="TextBody"/>
        <w:bidi w:val="0"/>
        <w:spacing w:before="0" w:after="0"/>
        <w:jc w:val="left"/>
        <w:rPr/>
      </w:pPr>
      <w:r>
        <w:rPr/>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Financing Activities</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Net cash used by financing activities for the six months ended June 30, 2024 was $0.2 million, mainly resulting from the repayments on notes payable for D&amp;O insurance. Net cash provided by financing activities for the six months ended June 30, 2023 was $7.0 million, resulting from the Company's sale of common shares under its ATM offering and Purchase Agreement . Please refer to Notes 4 and 7 for more information.</w:t>
      </w:r>
    </w:p>
    <w:p>
      <w:pPr>
        <w:pStyle w:val="TextBody"/>
        <w:bidi w:val="0"/>
        <w:spacing w:before="0" w:after="0"/>
        <w:jc w:val="left"/>
        <w:rPr/>
      </w:pPr>
      <w:r>
        <w:rPr/>
      </w:r>
    </w:p>
    <w:p>
      <w:pPr>
        <w:pStyle w:val="TextBody"/>
        <w:bidi w:val="0"/>
        <w:spacing w:lineRule="auto" w:line="247" w:before="0" w:after="0"/>
        <w:jc w:val="left"/>
        <w:rPr>
          <w:rFonts w:ascii="Arial;sans-serif" w:hAnsi="Arial;sans-serif"/>
          <w:b/>
          <w:i/>
          <w:color w:val="000000"/>
          <w:sz w:val="20"/>
        </w:rPr>
      </w:pPr>
      <w:r>
        <w:rPr>
          <w:rFonts w:ascii="Arial;sans-serif" w:hAnsi="Arial;sans-serif"/>
          <w:b/>
          <w:i/>
          <w:color w:val="000000"/>
          <w:sz w:val="20"/>
        </w:rPr>
        <w:t>Critical Accounting Policies and Estimates</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Our management's discussion and analysis of our financial condition and results of operations is based on our condensed consolidated financial statements, which have been prepared in accordance with GAAP. The preparation of these condensed consolidated financial statements requires us to make estimates, judgments and assumptions that affect the reported amounts of assets and liabilities, disclosure of contingent assets and liabilities as of the date of the condensed consolidated balance sheet and the reported amounts of expenses during the reporting period. In accordance with GAAP, we base our estimates on historical experience and on various other assumptions that we believe are reasonable under the circumstances at the time such estimates are made. Actual results may differ materially from our estimates and judgments under different assumptions or conditions. We periodically review our estimates in light of changes in circumstances, facts and experience. The effects of material revisions in estimates are reflected in our condensed consolidated financial statements prospectively from the date of the change in estimate.</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There have been no material changes to our critical accounting policies from those described in "Management's Discussion and Analysis of Financial Condition and Results of Operations" included in our Annual Report on Form 10-K filed with SEC on March 22, 2024, as amended on April 22, 2024.</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Readers should refer to our Annual Report on Form 10-K, Note 2, Basis of Presentation and Significant Accounting Policies to the accompanying financial statements for descriptions of these policies and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344" w:type="dxa"/>
        <w:jc w:val="center"/>
        <w:tblInd w:w="0" w:type="dxa"/>
        <w:tblLayout w:type="fixed"/>
        <w:tblCellMar>
          <w:top w:w="28" w:type="dxa"/>
          <w:left w:w="28" w:type="dxa"/>
          <w:bottom w:w="28" w:type="dxa"/>
          <w:right w:w="28" w:type="dxa"/>
        </w:tblCellMar>
      </w:tblPr>
      <w:tblGrid>
        <w:gridCol w:w="271"/>
        <w:gridCol w:w="238"/>
        <w:gridCol w:w="241"/>
        <w:gridCol w:w="1637"/>
        <w:gridCol w:w="1637"/>
        <w:gridCol w:w="2320"/>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3.</w:t>
            </w:r>
          </w:p>
        </w:tc>
        <w:tc>
          <w:tcPr>
            <w:tcW w:w="5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Quantitative and Qualitative Disclosures about Market Risk</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are a smaller reporting company as defined by Rule 12b-2 of the Securities Exchange Act of 1934, as amended, and are not required to provide the information under this item.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283" w:type="dxa"/>
        <w:jc w:val="center"/>
        <w:tblInd w:w="0" w:type="dxa"/>
        <w:tblLayout w:type="fixed"/>
        <w:tblCellMar>
          <w:top w:w="28" w:type="dxa"/>
          <w:left w:w="28" w:type="dxa"/>
          <w:bottom w:w="28" w:type="dxa"/>
          <w:right w:w="28" w:type="dxa"/>
        </w:tblCellMar>
      </w:tblPr>
      <w:tblGrid>
        <w:gridCol w:w="292"/>
        <w:gridCol w:w="257"/>
        <w:gridCol w:w="260"/>
        <w:gridCol w:w="724"/>
        <w:gridCol w:w="724"/>
        <w:gridCol w:w="1026"/>
      </w:tblGrid>
      <w:tr>
        <w:trPr/>
        <w:tc>
          <w:tcPr>
            <w:tcW w:w="2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4. </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Controls and Procedures</w:t>
            </w:r>
          </w:p>
        </w:tc>
      </w:tr>
    </w:tbl>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Our management, with the participation of our principal executive officer and principal financial officer, evaluated the effectiveness of our disclosure controls and procedures, as defined in Rules 13a-15(e) and 15d-15(e)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Exchange Act, as of June 30, 2024.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2024, our principal executive officer and principal financial officer concluded that, as of such date, our disclosure controls and procedures were effective at the reasonable assurance level.</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months ended June 30, 2024, there was no significant change in our internal control over financial reporting that has materially affected, or is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474" w:type="dxa"/>
        <w:jc w:val="center"/>
        <w:tblInd w:w="0" w:type="dxa"/>
        <w:tblLayout w:type="fixed"/>
        <w:tblCellMar>
          <w:top w:w="28" w:type="dxa"/>
          <w:left w:w="28" w:type="dxa"/>
          <w:bottom w:w="28" w:type="dxa"/>
          <w:right w:w="28" w:type="dxa"/>
        </w:tblCellMar>
      </w:tblPr>
      <w:tblGrid>
        <w:gridCol w:w="271"/>
        <w:gridCol w:w="238"/>
        <w:gridCol w:w="241"/>
        <w:gridCol w:w="504"/>
        <w:gridCol w:w="504"/>
        <w:gridCol w:w="716"/>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 </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Legal Proceedings</w:t>
            </w:r>
          </w:p>
        </w:tc>
      </w:tr>
    </w:tbl>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212529"/>
          <w:sz w:val="20"/>
          <w:shd w:fill="FFFFFF" w:val="clear"/>
        </w:rPr>
      </w:pPr>
      <w:r>
        <w:rPr>
          <w:rFonts w:ascii="Arial;sans-serif" w:hAnsi="Arial;sans-serif"/>
          <w:b w:val="false"/>
          <w:color w:val="212529"/>
          <w:sz w:val="20"/>
          <w:shd w:fill="FFFFFF" w:val="clear"/>
        </w:rPr>
        <w:t>We are not a party to any material legal proceedings on the date of this report. We may from time to time become involved in legal proceedings arising in the ordinary course of business, and the resolution of any such claims could be material.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190" w:type="dxa"/>
        <w:jc w:val="center"/>
        <w:tblInd w:w="0" w:type="dxa"/>
        <w:tblLayout w:type="fixed"/>
        <w:tblCellMar>
          <w:top w:w="28" w:type="dxa"/>
          <w:left w:w="28" w:type="dxa"/>
          <w:bottom w:w="28" w:type="dxa"/>
          <w:right w:w="28" w:type="dxa"/>
        </w:tblCellMar>
      </w:tblPr>
      <w:tblGrid>
        <w:gridCol w:w="320"/>
        <w:gridCol w:w="281"/>
        <w:gridCol w:w="284"/>
        <w:gridCol w:w="382"/>
        <w:gridCol w:w="382"/>
        <w:gridCol w:w="541"/>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1A.</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Risk Factors</w:t>
            </w:r>
          </w:p>
        </w:tc>
      </w:tr>
    </w:tbl>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212529"/>
          <w:sz w:val="20"/>
          <w:shd w:fill="FFFFFF" w:val="clear"/>
        </w:rPr>
      </w:pPr>
      <w:r>
        <w:rPr>
          <w:rFonts w:ascii="Arial;sans-serif" w:hAnsi="Arial;sans-serif"/>
          <w:b w:val="false"/>
          <w:color w:val="212529"/>
          <w:sz w:val="20"/>
          <w:shd w:fill="FFFFFF" w:val="clear"/>
        </w:rPr>
        <w:t>Except as set forth below, there have been no material changes in our risk factors set forth in Part I, “ Item 1A. Risk Factors” in our 2023 Form 10-K. The risk factors disclosed in Part I, “ Item 1A. Risk Factors” in our 2023 Form 10-K as supplemented by the risk factors below could materially adversely affect our business, financial condition, or results of operations. This Quarterly Report on Form 10-Q also contains forward-looking statements that involve risks and uncertainties. Our actual results could differ materially from those anticipated in these forward-looking statements as a result of certain factors, including these risks. Additional risks not currently known or currently material to us may also harm our business.</w:t>
      </w:r>
    </w:p>
    <w:p>
      <w:pPr>
        <w:pStyle w:val="TextBody"/>
        <w:bidi w:val="0"/>
        <w:spacing w:before="0" w:after="0"/>
        <w:jc w:val="both"/>
        <w:rPr/>
      </w:pPr>
      <w:r>
        <w:rPr/>
      </w:r>
    </w:p>
    <w:p>
      <w:pPr>
        <w:pStyle w:val="TextBody"/>
        <w:bidi w:val="0"/>
        <w:spacing w:lineRule="auto" w:line="268" w:before="0" w:after="0"/>
        <w:jc w:val="both"/>
        <w:rPr>
          <w:rFonts w:ascii="Arial;sans-serif" w:hAnsi="Arial;sans-serif"/>
          <w:b/>
          <w:i/>
          <w:color w:val="000000"/>
          <w:sz w:val="20"/>
        </w:rPr>
      </w:pPr>
      <w:r>
        <w:rPr>
          <w:rFonts w:ascii="Arial;sans-serif" w:hAnsi="Arial;sans-serif"/>
          <w:b/>
          <w:i/>
          <w:color w:val="000000"/>
          <w:sz w:val="20"/>
        </w:rPr>
        <w:t>Risks Related to our Financial Position and Capital Needs and Company</w:t>
      </w:r>
    </w:p>
    <w:p>
      <w:pPr>
        <w:pStyle w:val="TextBody"/>
        <w:bidi w:val="0"/>
        <w:spacing w:before="0" w:after="0"/>
        <w:jc w:val="left"/>
        <w:rPr/>
      </w:pPr>
      <w:r>
        <w:rPr/>
      </w:r>
    </w:p>
    <w:p>
      <w:pPr>
        <w:pStyle w:val="TextBody"/>
        <w:bidi w:val="0"/>
        <w:spacing w:lineRule="auto" w:line="268" w:before="0" w:after="0"/>
        <w:jc w:val="both"/>
        <w:rPr>
          <w:rFonts w:ascii="Arial;sans-serif" w:hAnsi="Arial;sans-serif"/>
          <w:b/>
          <w:i/>
          <w:color w:val="000000"/>
          <w:sz w:val="20"/>
        </w:rPr>
      </w:pPr>
      <w:r>
        <w:rPr>
          <w:rFonts w:ascii="Arial;sans-serif" w:hAnsi="Arial;sans-serif"/>
          <w:b/>
          <w:i/>
          <w:color w:val="000000"/>
          <w:sz w:val="20"/>
        </w:rPr>
        <w:t>We do not currently have sufficient working capital to fund our planned operations for the next twelve months and may not be able to continue as a going concern. There is uncertainty regarding our ability to maintain liquidity sufficient to operate our business, which raises substantial doubt about our ability to continue as a going concern.</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We do not currently have adequate financial resources to fund our forecasted operating costs for at least twelve months from the filing of this report. As of June 30, 2024, our cash and cash equivalents totaled $3.3 million, which were held in bank deposit accounts and a money market account. Subsequent to June 30, 2024, we raised an additional $1.5 million of net proceeds from sales of shares of our common stock pursuant to the ATM offering. As of June 30, 2024, we have incurred an accumulated deficit of $79.5 million. For the six months ended June 30, 2024, we reported net losses of $3.1 million. As a result, we believe our existing cash resources are sufficient to meet our anticipated needs into the first half of 2025, even after taking into account our significantly reduced operations, we would need to raise additional capital in the next several months in order to avoid a wind down and dissolution of our company. Our auditor’s report on our financial statements for the year ended December 31, 2023 includes an explanatory paragraph related to the existence of substantial doubt about our ability to continue as a going concern. Our ability to continue as a going concern is dependent upon our ability to obtain additional equity or debt financing, attain further operating efficiencies, reduce expenditures, and, ultimately, to generate revenue. Since inception, we have incurred net losses and negative cash flows from operations. We may not ever obtain additional financing. Our existing cash and cash equivalents will not be sufficient to enable us to continue the clinical development and commercialization of our product candidates for any indications or to in license any other product candidates and develop them. Although we are currently exploring various strategic alternatives, these strategic alternatives may not be successful in the next several months prior to our cash position getting to the point that we will need to pursue the winding down and dissolution of our company. If we do not raise capital in the next several months or engage a strategic partner, we will be forced to cease operations and liquidate our assets and seek bankruptcy protection or engage in a similar process. As such, we cannot conclude that such plans will be effectively implemented within one year after the date of this prospectus and there is uncertainty regarding our ability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maintain liquidity sufficient to operate our business effectively, which raises substantial doubt about our ability to continue as a going concern.</w:t>
      </w:r>
    </w:p>
    <w:p>
      <w:pPr>
        <w:pStyle w:val="TextBody"/>
        <w:bidi w:val="0"/>
        <w:spacing w:before="0" w:after="0"/>
        <w:jc w:val="left"/>
        <w:rPr/>
      </w:pPr>
      <w:r>
        <w:rPr/>
      </w:r>
    </w:p>
    <w:p>
      <w:pPr>
        <w:pStyle w:val="TextBody"/>
        <w:bidi w:val="0"/>
        <w:spacing w:lineRule="auto" w:line="268" w:before="0" w:after="0"/>
        <w:jc w:val="both"/>
        <w:rPr>
          <w:rFonts w:ascii="Arial;sans-serif" w:hAnsi="Arial;sans-serif"/>
          <w:b/>
          <w:i/>
          <w:color w:val="000000"/>
          <w:sz w:val="20"/>
        </w:rPr>
      </w:pPr>
      <w:r>
        <w:rPr>
          <w:rFonts w:ascii="Arial;sans-serif" w:hAnsi="Arial;sans-serif"/>
          <w:b/>
          <w:i/>
          <w:color w:val="000000"/>
          <w:sz w:val="20"/>
        </w:rPr>
        <w:t>If we do not successfully complete a strategic transaction or raise additional capital, we will need to pursue a dissolution and liquidation of our company. In such an event, the amount of cash available for distribution to our stockholders will depend heavily on the timing of such liquidation as well as the amount of cash that will need to be reserved for commitments and contingent liabilities.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There can be no guarantee that the process to identify a strategic transaction will result in a successfully completed transaction. If no strategic transaction is completed and we are unable to raise additional capital in the next several months, we will be forced to cease operations, liquidate assets and possibly seek bankruptcy protection or engage in a similar process. In that event, the amount of cash available for distribution to our stockholders will depend heavily on the timing of such decision and, ultimately, such liquidation, since the amount of cash available for distribution continues to decrease as we fund our operations and evaluate our strategic alternatives. In addition, if our board of directors were to approve and recommend, and our stockholders were to approve, a dissolution of our company, we would be required under Delaware corporate law to pay our outstanding obligations, as well as to make reasonable provision for contingent and unknown obligations, prior to making any distributions in liquidation to our stockholders. As a result of this requirement, a portion of our assets may need to be reserved pending the resolution of such obligations. In addition, we may be subject to litigation or other claims related to a dissolution and liquidation of our company. If a dissolution and liquidation were pursued, our board of directors, in consultation with its advisors, would need to evaluate these matters and make a determination about a reasonable amount to reserve. Accordingly, holders of our common stock could lose all or a significant portion of their investment in the event of a dissolution, liquidation or winding up of our company.</w:t>
      </w:r>
    </w:p>
    <w:p>
      <w:pPr>
        <w:pStyle w:val="TextBody"/>
        <w:bidi w:val="0"/>
        <w:spacing w:before="0" w:after="0"/>
        <w:jc w:val="left"/>
        <w:rPr/>
      </w:pPr>
      <w:r>
        <w:rPr/>
      </w:r>
    </w:p>
    <w:p>
      <w:pPr>
        <w:pStyle w:val="TextBody"/>
        <w:bidi w:val="0"/>
        <w:spacing w:lineRule="auto" w:line="268" w:before="0" w:after="0"/>
        <w:jc w:val="both"/>
        <w:rPr>
          <w:rFonts w:ascii="Arial;sans-serif" w:hAnsi="Arial;sans-serif"/>
          <w:b/>
          <w:i/>
          <w:color w:val="000000"/>
          <w:sz w:val="20"/>
        </w:rPr>
      </w:pPr>
      <w:r>
        <w:rPr>
          <w:rFonts w:ascii="Arial;sans-serif" w:hAnsi="Arial;sans-serif"/>
          <w:b/>
          <w:i/>
          <w:color w:val="000000"/>
          <w:sz w:val="20"/>
        </w:rPr>
        <w:t>Our common stock may be subject to delisting from Nasdaq.</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Our common stock is currently listed on the Nasdaq Capital Market, or Nasdaq. To maintain our listing on Nasdaq, we are required to maintain: (i) a minimum bid price of $1.00 per share, (ii) a market value of publicly held securities of $1 million, (iii) a certain number of round lot stockholders and (iv) one of the following: a net income from continuing operations (in the latest fiscal year or two of the three last fiscal years) of at least $500,000, a market value of listed securities of at least $35 million or a stockholders' equity of at least $2.5 million. Nasdaq has the authority to delist our common stock if we fail to maintain these minimum requirements. In addition, Nasdaq may delist us if, based on Nasdaq’s review of our company and pursuant to Nasdaq Listing Rule 5101, Nasdaq believes that we are a “public shell” and that the continued listing of our securities in no longer warranted. We have no current plans to delist our shares of common stock from Nasdaq. However, following the decision to close the clinical development of seclidemstat for Ewing sarcoma, we may be treated as a public shell under Nasdaq rules. Although Nasdaq evaluates whether a listed company is a public shell company based on a facts and circumstances determination, a Nasdaq-listed company with no or nominal operations and either no or nominal assets, assets consisting solely of cash and cash equivalents, or assets consisting of any amount of cash and cash equivalents and nominal other assets is generally considered to be a public shell company. Listed companies determined to be public shell companies by Nasdaq may be subject to delisting proceedings or additional and more stringent listing criteria.</w:t>
      </w:r>
    </w:p>
    <w:p>
      <w:pPr>
        <w:pStyle w:val="TextBody"/>
        <w:bidi w:val="0"/>
        <w:spacing w:before="0" w:after="0"/>
        <w:jc w:val="left"/>
        <w:rPr/>
      </w:pPr>
      <w:r>
        <w:rPr/>
      </w:r>
    </w:p>
    <w:p>
      <w:pPr>
        <w:pStyle w:val="TextBody"/>
        <w:bidi w:val="0"/>
        <w:spacing w:lineRule="auto" w:line="268" w:before="0" w:after="0"/>
        <w:jc w:val="both"/>
        <w:rPr/>
      </w:pPr>
      <w:r>
        <w:rPr>
          <w:rFonts w:ascii="Arial;sans-serif" w:hAnsi="Arial;sans-serif"/>
          <w:b w:val="false"/>
          <w:color w:val="000000"/>
          <w:sz w:val="20"/>
        </w:rPr>
        <w:t>As of August 2, 2024, the market value of our publicly held securities was approximately $1.3 million. Further, as of June 30, 2024, (i) we had a total stockholders’ equity of approximately $2.3 million, (ii) we have not had net income in any period during this fiscal year or either of the two last fiscal years and (iii) the market value of our listed securities is below $35 million. As of August 2, 2024, we believe our stockholders’ equity exceeded $2.5 million from our sale of shares of common stock pursuant to the ATM offering in July 2024, but Nasdaq could still submit a delisting notice given that our total stockholders’ equity as of June 30, 2024 was below $2.5 million.</w:t>
      </w:r>
      <w:r>
        <w:rPr>
          <w:color w:val="000000"/>
        </w:rPr>
        <w:t xml:space="preserve"> </w:t>
      </w:r>
      <w:r>
        <w:rPr>
          <w:rFonts w:ascii="Arial;sans-serif" w:hAnsi="Arial;sans-serif"/>
          <w:b w:val="false"/>
          <w:color w:val="000000"/>
          <w:sz w:val="20"/>
        </w:rPr>
        <w:t>If the market value of our publicly held securities drops below $1 million and/or our total stockholders’ equity drops below $2.5 million, we will be subject to delisting from Nasdaq subject to certain applicable cure periods.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We are actively monitoring the market value of our publicly held securities and our stockholders’ equity and will consider any and all options available to us to maintain compliance. There can be no assurance, however, that we will be able to maintain compliance and meet Nasdaq’s continued listing requirements.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If our common stock is delisted from Nasdaq, whether because Nasdaq determines we are a “public shell” or we fail to maintain compliance with the continued listed requirements, or otherwise, our securities may qualify for trading over-the-counter, or OTC, in the United States on a market colloquially referred to as the “Pink Sheets.” Securities quoted on OTC are generally subject to lesser requirements than securities listed for trading on a U.S. national stock exchange, such as Nasdaq, including reduced corporate governance and public reporting standards.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Nasdaq should delist our common stock from trading, a reduction in some or all of the following may occur, each of which could have a material adverse effect on holders of our common stock: the liquidity of our common stock; the market price of the common stock; the number of institutional and general investors that will consider investing in the common stock; the number of investors in general that will consider investing in the common stock; the number of market makers in our common stock; the availability of information concerning the trading prices and volume of the common stock; and the number of broker-dealers willing to execute trades in our common stock. In addition to the foregoing, there are certain consequences under the Securities Act of being a public shell company, including the unavailability of Rule 144 thereunder for the resale of restricted securities and the inability to utilize Form S-8 for the registration of employee benefit plan securities.</w:t>
      </w:r>
    </w:p>
    <w:p>
      <w:pPr>
        <w:pStyle w:val="TextBody"/>
        <w:bidi w:val="0"/>
        <w:spacing w:before="0" w:after="0"/>
        <w:jc w:val="left"/>
        <w:rPr/>
      </w:pPr>
      <w:r>
        <w:rPr/>
      </w:r>
    </w:p>
    <w:p>
      <w:pPr>
        <w:pStyle w:val="TextBody"/>
        <w:bidi w:val="0"/>
        <w:spacing w:lineRule="auto" w:line="268" w:before="0" w:after="0"/>
        <w:jc w:val="both"/>
        <w:rPr>
          <w:rFonts w:ascii="Arial;sans-serif" w:hAnsi="Arial;sans-serif"/>
          <w:b/>
          <w:i/>
          <w:color w:val="000000"/>
          <w:sz w:val="20"/>
        </w:rPr>
      </w:pPr>
      <w:r>
        <w:rPr>
          <w:rFonts w:ascii="Arial;sans-serif" w:hAnsi="Arial;sans-serif"/>
          <w:b/>
          <w:i/>
          <w:color w:val="000000"/>
          <w:sz w:val="20"/>
        </w:rPr>
        <w:t>Actions of an activist stockholder against us could be disruptive and costly, may cause uncertainty about the strategic direction of our business, result in litigation, divert management’s and the board’s attention and resources, and may have an adverse effect on our business.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From time to time, we may be subject to proposals by activist stockholders urging us to take certain corporate actions or to nominate certain individuals to our board of directors. For example, Elvin Lee has provided notice to us that he intends to propose two nominees to stand for election to the our board of directors in opposition to any nominees recommended by our board of directors.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Future activist stockholder matters, including a proxy contest and potential related litigation, could have a material adverse effect on us for the following reasons: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Such stockholders may attempt to effect changes in our governance and strategic direction or to acquire control over the board of directors or the Company.</w:t>
      </w:r>
    </w:p>
    <w:p>
      <w:pPr>
        <w:pStyle w:val="TextBody"/>
        <w:bidi w:val="0"/>
        <w:spacing w:lineRule="auto" w:line="268" w:before="0" w:after="240"/>
        <w:ind w:left="0" w:right="0" w:hanging="360"/>
        <w:jc w:val="both"/>
        <w:rPr/>
      </w:pPr>
      <w:r>
        <w:rPr>
          <w:color w:val="000000"/>
        </w:rPr>
        <w:t>•</w:t>
      </w:r>
      <w:r>
        <w:rPr>
          <w:rFonts w:ascii="Arial;sans-serif" w:hAnsi="Arial;sans-serif"/>
          <w:b w:val="false"/>
          <w:color w:val="000000"/>
          <w:sz w:val="20"/>
        </w:rPr>
        <w:t>While we welcome the opinions of all stockholders, responding to proxy contests and related litigation by stockholders has been, and could be, costly and time-consuming, and could disrupt our operations, and divert the attention of our board of directors, management team and other employees away from their regular duties and the pursuit of business opportunities to enhance stockholder value.</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Perceived uncertainties as to our future direction, strategy or leadership created as a consequence of activist stockholder initiatives may harm our ability to attract new investors, and could cause our stock price to experience periods of volatility or stagnation based on temporary or speculative market perceptions or other factors that do not necessarily reflect the underlying fundamentals and prospects of our business.</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849" w:type="dxa"/>
        <w:jc w:val="left"/>
        <w:tblInd w:w="0" w:type="dxa"/>
        <w:tblLayout w:type="fixed"/>
        <w:tblCellMar>
          <w:top w:w="28" w:type="dxa"/>
          <w:left w:w="28" w:type="dxa"/>
          <w:bottom w:w="28" w:type="dxa"/>
          <w:right w:w="28" w:type="dxa"/>
        </w:tblCellMar>
      </w:tblPr>
      <w:tblGrid>
        <w:gridCol w:w="255"/>
        <w:gridCol w:w="223"/>
        <w:gridCol w:w="226"/>
        <w:gridCol w:w="1507"/>
        <w:gridCol w:w="1507"/>
        <w:gridCol w:w="2131"/>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Unregistered Sales of Equity Securities and Use of Proceeds</w:t>
            </w:r>
          </w:p>
        </w:tc>
      </w:tr>
    </w:tbl>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212529"/>
          <w:sz w:val="20"/>
          <w:shd w:fill="FFFFFF" w:val="clear"/>
        </w:rPr>
      </w:pPr>
      <w:r>
        <w:rPr>
          <w:rFonts w:ascii="Arial;sans-serif" w:hAnsi="Arial;sans-serif"/>
          <w:b w:val="false"/>
          <w:color w:val="212529"/>
          <w:sz w:val="20"/>
          <w:shd w:fill="FFFFFF" w:val="clear"/>
        </w:rPr>
        <w:t xml:space="preserve">No sales or issuances of unregistered securities occurred that have not previously been disclosed in a Current Report on Form 8-K.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509" w:type="dxa"/>
        <w:jc w:val="left"/>
        <w:tblInd w:w="0" w:type="dxa"/>
        <w:tblLayout w:type="fixed"/>
        <w:tblCellMar>
          <w:top w:w="28" w:type="dxa"/>
          <w:left w:w="28" w:type="dxa"/>
          <w:bottom w:w="28" w:type="dxa"/>
          <w:right w:w="28" w:type="dxa"/>
        </w:tblCellMar>
      </w:tblPr>
      <w:tblGrid>
        <w:gridCol w:w="255"/>
        <w:gridCol w:w="223"/>
        <w:gridCol w:w="226"/>
        <w:gridCol w:w="819"/>
        <w:gridCol w:w="819"/>
        <w:gridCol w:w="1167"/>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3.</w:t>
            </w:r>
          </w:p>
        </w:tc>
        <w:tc>
          <w:tcPr>
            <w:tcW w:w="280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Defaults Upon Senior Securities</w:t>
            </w:r>
          </w:p>
        </w:tc>
      </w:tr>
    </w:tbl>
    <w:p>
      <w:pPr>
        <w:pStyle w:val="TextBody"/>
        <w:bidi w:val="0"/>
        <w:spacing w:lineRule="auto" w:line="276" w:before="0" w:after="0"/>
        <w:jc w:val="both"/>
        <w:rPr>
          <w:rFonts w:ascii="Arial;sans-serif" w:hAnsi="Arial;sans-serif"/>
          <w:b w:val="false"/>
          <w:color w:val="212529"/>
          <w:sz w:val="20"/>
          <w:shd w:fill="FFFFFF" w:val="clear"/>
        </w:rPr>
      </w:pPr>
      <w:r>
        <w:rPr>
          <w:rFonts w:ascii="Arial;sans-serif" w:hAnsi="Arial;sans-serif"/>
          <w:b w:val="false"/>
          <w:color w:val="212529"/>
          <w:sz w:val="20"/>
          <w:shd w:fill="FFFFFF" w:val="clear"/>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864" w:type="dxa"/>
        <w:jc w:val="left"/>
        <w:tblInd w:w="0" w:type="dxa"/>
        <w:tblLayout w:type="fixed"/>
        <w:tblCellMar>
          <w:top w:w="28" w:type="dxa"/>
          <w:left w:w="28" w:type="dxa"/>
          <w:bottom w:w="28" w:type="dxa"/>
          <w:right w:w="28" w:type="dxa"/>
        </w:tblCellMar>
      </w:tblPr>
      <w:tblGrid>
        <w:gridCol w:w="255"/>
        <w:gridCol w:w="223"/>
        <w:gridCol w:w="226"/>
        <w:gridCol w:w="632"/>
        <w:gridCol w:w="632"/>
        <w:gridCol w:w="896"/>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4.</w:t>
            </w:r>
          </w:p>
        </w:tc>
        <w:tc>
          <w:tcPr>
            <w:tcW w:w="216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Mine Safety Disclosures</w:t>
            </w:r>
          </w:p>
        </w:tc>
      </w:tr>
    </w:tbl>
    <w:p>
      <w:pPr>
        <w:pStyle w:val="TextBody"/>
        <w:bidi w:val="0"/>
        <w:spacing w:lineRule="auto" w:line="276" w:before="0" w:after="0"/>
        <w:jc w:val="both"/>
        <w:rPr>
          <w:rFonts w:ascii="Arial;sans-serif" w:hAnsi="Arial;sans-serif"/>
          <w:b w:val="false"/>
          <w:color w:val="212529"/>
          <w:sz w:val="20"/>
          <w:shd w:fill="FFFFFF" w:val="clear"/>
        </w:rPr>
      </w:pPr>
      <w:r>
        <w:rPr>
          <w:rFonts w:ascii="Arial;sans-serif" w:hAnsi="Arial;sans-serif"/>
          <w:b w:val="false"/>
          <w:color w:val="212529"/>
          <w:sz w:val="20"/>
          <w:shd w:fill="FFFFFF" w:val="clear"/>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474" w:type="dxa"/>
        <w:jc w:val="left"/>
        <w:tblInd w:w="0" w:type="dxa"/>
        <w:tblLayout w:type="fixed"/>
        <w:tblCellMar>
          <w:top w:w="28" w:type="dxa"/>
          <w:left w:w="28" w:type="dxa"/>
          <w:bottom w:w="28" w:type="dxa"/>
          <w:right w:w="28" w:type="dxa"/>
        </w:tblCellMar>
      </w:tblPr>
      <w:tblGrid>
        <w:gridCol w:w="255"/>
        <w:gridCol w:w="223"/>
        <w:gridCol w:w="226"/>
        <w:gridCol w:w="518"/>
        <w:gridCol w:w="518"/>
        <w:gridCol w:w="734"/>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5.</w:t>
            </w:r>
          </w:p>
        </w:tc>
        <w:tc>
          <w:tcPr>
            <w:tcW w:w="17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Other Information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tbl>
      <w:tblPr>
        <w:tblW w:w="1666" w:type="dxa"/>
        <w:jc w:val="left"/>
        <w:tblInd w:w="0" w:type="dxa"/>
        <w:tblLayout w:type="fixed"/>
        <w:tblCellMar>
          <w:top w:w="28" w:type="dxa"/>
          <w:left w:w="28" w:type="dxa"/>
          <w:bottom w:w="28" w:type="dxa"/>
          <w:right w:w="28" w:type="dxa"/>
        </w:tblCellMar>
      </w:tblPr>
      <w:tblGrid>
        <w:gridCol w:w="271"/>
        <w:gridCol w:w="238"/>
        <w:gridCol w:w="241"/>
        <w:gridCol w:w="268"/>
        <w:gridCol w:w="268"/>
        <w:gridCol w:w="380"/>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6.</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Exhibits</w:t>
            </w:r>
          </w:p>
        </w:tc>
      </w:tr>
    </w:tbl>
    <w:tbl>
      <w:tblPr>
        <w:tblW w:w="10205" w:type="dxa"/>
        <w:jc w:val="left"/>
        <w:tblInd w:w="0" w:type="dxa"/>
        <w:tblLayout w:type="fixed"/>
        <w:tblCellMar>
          <w:top w:w="28" w:type="dxa"/>
          <w:left w:w="28" w:type="dxa"/>
          <w:bottom w:w="28" w:type="dxa"/>
          <w:right w:w="28" w:type="dxa"/>
        </w:tblCellMar>
      </w:tblPr>
      <w:tblGrid>
        <w:gridCol w:w="351"/>
        <w:gridCol w:w="310"/>
        <w:gridCol w:w="269"/>
        <w:gridCol w:w="109"/>
        <w:gridCol w:w="109"/>
        <w:gridCol w:w="109"/>
        <w:gridCol w:w="2886"/>
        <w:gridCol w:w="2508"/>
        <w:gridCol w:w="3554"/>
      </w:tblGrid>
      <w:tr>
        <w:trPr/>
        <w:tc>
          <w:tcPr>
            <w:tcW w:w="35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3554"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Description of Document</w:t>
            </w:r>
          </w:p>
        </w:tc>
      </w:tr>
      <w:tr>
        <w:trPr/>
        <w:tc>
          <w:tcPr>
            <w:tcW w:w="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20"/>
                  <w:u w:val="single"/>
                </w:rPr>
                <w:t>Amended and Restated Certificate of Incorporation of the Registrant, incorporated by reference to Exhibit 3.1 of the Form 8-K filed on February 9, 2015</w:t>
              </w:r>
            </w:hyperlink>
          </w:p>
          <w:p>
            <w:pPr>
              <w:pStyle w:val="TableContents"/>
              <w:bidi w:val="0"/>
              <w:spacing w:before="0" w:after="0"/>
              <w:jc w:val="left"/>
              <w:rPr/>
            </w:pPr>
            <w:r>
              <w:rPr/>
            </w:r>
          </w:p>
          <w:p>
            <w:pPr>
              <w:pStyle w:val="TableContents"/>
              <w:bidi w:val="0"/>
              <w:spacing w:before="0" w:after="0"/>
              <w:jc w:val="left"/>
              <w:rPr/>
            </w:pPr>
            <w:r>
              <w:rPr/>
            </w:r>
          </w:p>
        </w:tc>
      </w:tr>
      <w:tr>
        <w:trPr/>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20"/>
                  <w:u w:val="single"/>
                </w:rPr>
                <w:t>Certificate of Amendment to the Amended and Restated Certificate of Incorporation of the Registrant filed with the Secretary of State of Delaware on July 18, 2019, incorporated by reference to Exhibit 3.1 of the Form 8-K filed on July 22, 2019</w:t>
              </w:r>
            </w:hyperlink>
          </w:p>
        </w:tc>
      </w:tr>
      <w:tr>
        <w:trPr/>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20"/>
                  <w:u w:val="single"/>
                </w:rPr>
                <w:t>Certificate of Amendment to the Amended and Restated Certificate of Incorporation filed with the Secretary of State of Delaware on October 14, 2022, incorporated by reference to Exhibit 3.1 of the Form 8-K filed on October 14, 2022</w:t>
              </w:r>
            </w:hyperlink>
          </w:p>
          <w:p>
            <w:pPr>
              <w:pStyle w:val="TableContents"/>
              <w:bidi w:val="0"/>
              <w:spacing w:before="0" w:after="0"/>
              <w:jc w:val="left"/>
              <w:rPr/>
            </w:pPr>
            <w:r>
              <w:rPr/>
            </w:r>
          </w:p>
        </w:tc>
      </w:tr>
      <w:tr>
        <w:trPr/>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20"/>
                  <w:u w:val="single"/>
                </w:rPr>
                <w:t>Amended and Restated Bylaws of the Registrant, effective July 19, 2019, incorporated by reference to Exhibit 3.2 of the Form 8-K filed on July 22, 2019</w:t>
              </w:r>
            </w:hyperlink>
          </w:p>
        </w:tc>
      </w:tr>
      <w:tr>
        <w:trPr/>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20"/>
                  <w:u w:val="single"/>
                </w:rPr>
                <w:t>Amendment to Amended and Restated Bylaws of the Registrant, effective April 1, 2022, incorporated by reference to Exhibit 3.1 of the Form 8-K filed on April 1, 2022</w:t>
              </w:r>
            </w:hyperlink>
          </w:p>
        </w:tc>
      </w:tr>
      <w:tr>
        <w:trPr/>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20"/>
                  <w:u w:val="single"/>
                </w:rPr>
                <w:t>Certificate of Amendment to the Amended and Restated Certificate of Incorporation of Salarius Pharmaceuticals, Inc., effective June 14, 2024, incorporated by reference to Exhibit 3.1 of the Form 8-K filed on June 14, 2024</w:t>
              </w:r>
            </w:hyperlink>
          </w:p>
        </w:tc>
      </w:tr>
      <w:tr>
        <w:trPr/>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lrx20240630ex-311.htm">
              <w:r>
                <w:rPr>
                  <w:rStyle w:val="InternetLink"/>
                  <w:rFonts w:ascii="Arial;sans-serif" w:hAnsi="Arial;sans-serif"/>
                  <w:b w:val="false"/>
                  <w:color w:val="0000FF"/>
                  <w:sz w:val="20"/>
                  <w:u w:val="single"/>
                </w:rPr>
                <w:t>Certification of the Principal Executive Officer pursuant to Rule 13a-14(a) or 15d-14(a) of the Securities Exchange Act of 1934</w:t>
              </w:r>
            </w:hyperlink>
          </w:p>
        </w:tc>
      </w:tr>
      <w:tr>
        <w:trPr/>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lrx20240630ex-312.htm">
              <w:r>
                <w:rPr>
                  <w:rStyle w:val="InternetLink"/>
                  <w:rFonts w:ascii="Arial;sans-serif" w:hAnsi="Arial;sans-serif"/>
                  <w:b w:val="false"/>
                  <w:color w:val="0000FF"/>
                  <w:sz w:val="20"/>
                  <w:u w:val="single"/>
                </w:rPr>
                <w:t>Certification of the Principal Financial Officer pursuant to Rule 13a-14(a) or 15d-14(a) of the Securities Exchange Act of 1934</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lrx20240630ex-321.htm">
              <w:r>
                <w:rPr>
                  <w:rStyle w:val="InternetLink"/>
                  <w:rFonts w:ascii="Arial;sans-serif" w:hAnsi="Arial;sans-serif"/>
                  <w:b w:val="false"/>
                  <w:color w:val="0000FF"/>
                  <w:sz w:val="20"/>
                  <w:u w:val="single"/>
                </w:rPr>
                <w:t>Certification of Principal Executive Officer and Principal Financial Officer pursuant to Rule 13a-14(b) or 15d-14(b) of the Exchange Act and 18 U.S.C. Section 1350</w:t>
              </w:r>
            </w:hyperlink>
          </w:p>
        </w:tc>
      </w:tr>
      <w:tr>
        <w:trPr/>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101.0 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The following materials from Salarius Pharmaceuticals, Inc.'s Quarterly Report on Form 10-Q for the quarter ended June 30, 2024, formatted in XBRL (eXtensible Business Reporting Language):(i) Unaudited Condensed Consolidated Balance Sheets, (ii) Unaudited Condensed Consolidated Statements of Operations (iii) Unaudited Condensed Consolidated Statements of Stockholders' Equity (Deficit), (iv) Unaudited Condensed Consolidated Statements of Cash Flows, and (v) Notes to Condensed Unaudited Consolidated Financial Statements.</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 and included in Exhibit 101)</w:t>
            </w:r>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240"/>
        <w:ind w:left="0" w:right="0" w:hanging="180"/>
        <w:jc w:val="both"/>
        <w:rPr>
          <w:rFonts w:ascii="Arial;sans-serif" w:hAnsi="Arial;sans-serif"/>
          <w:b w:val="false"/>
          <w:color w:val="000000"/>
          <w:sz w:val="16"/>
        </w:rPr>
      </w:pPr>
      <w:r>
        <w:rPr>
          <w:rFonts w:ascii="Arial;sans-serif" w:hAnsi="Arial;sans-serif"/>
          <w:b w:val="false"/>
          <w:color w:val="000000"/>
          <w:sz w:val="16"/>
        </w:rPr>
        <w:t>* The material contained in Exhibit 32.1 is not deemed “filed” with the SEC and is not to be incorporated by reference into any filing of the Company under the Securities Act of 1933 or the Exchange Act, whether made before or after the date hereof and irrespective of any general incorporation language contained in such filing, except to the extent that the registrant specifically incorporates it by reference.</w:t>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FF"/>
          <w:sz w:val="18"/>
          <w:u w:val="single"/>
        </w:rPr>
      </w:pPr>
      <w:r>
        <w:rPr>
          <w:rFonts w:ascii="Arial;sans-serif" w:hAnsi="Arial;sans-serif"/>
          <w:b w:val="false"/>
          <w:color w:val="0000FF"/>
          <w:sz w:val="18"/>
          <w:u w:val="single"/>
        </w:rPr>
        <w:t>Table of Contents</w:t>
      </w:r>
    </w:p>
    <w:p>
      <w:pPr>
        <w:pStyle w:val="TextBody"/>
        <w:bidi w:val="0"/>
        <w:spacing w:before="160" w:after="160"/>
        <w:jc w:val="center"/>
        <w:rPr/>
      </w:pPr>
      <w:r>
        <w:rPr/>
      </w:r>
    </w:p>
    <w:p>
      <w:pPr>
        <w:pStyle w:val="TextBody"/>
        <w:bidi w:val="0"/>
        <w:spacing w:lineRule="auto" w:line="288" w:before="160" w:after="16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60" w:after="160"/>
        <w:ind w:left="0" w:right="0" w:firstLine="720"/>
        <w:jc w:val="left"/>
        <w:rPr>
          <w:rFonts w:ascii="Arial;sans-serif" w:hAnsi="Arial;sans-serif"/>
          <w:b w:val="false"/>
          <w:color w:val="000000"/>
          <w:sz w:val="20"/>
        </w:rPr>
      </w:pPr>
      <w:r>
        <w:rPr>
          <w:rFonts w:ascii="Arial;sans-serif" w:hAnsi="Arial;sans-serif"/>
          <w:b w:val="false"/>
          <w:color w:val="000000"/>
          <w:sz w:val="20"/>
        </w:rPr>
        <w:t>Pursuant to the requirements of the Securities and Exchange Act of 1934, the registrant has duly caused this report to be signed on its behalf by the undersigned, thereunto duly authorized.</w:t>
      </w:r>
    </w:p>
    <w:tbl>
      <w:tblPr>
        <w:tblW w:w="10205" w:type="dxa"/>
        <w:jc w:val="left"/>
        <w:tblInd w:w="0" w:type="dxa"/>
        <w:tblLayout w:type="fixed"/>
        <w:tblCellMar>
          <w:top w:w="28" w:type="dxa"/>
          <w:left w:w="28" w:type="dxa"/>
          <w:bottom w:w="28" w:type="dxa"/>
          <w:right w:w="28" w:type="dxa"/>
        </w:tblCellMar>
      </w:tblPr>
      <w:tblGrid>
        <w:gridCol w:w="212"/>
        <w:gridCol w:w="186"/>
        <w:gridCol w:w="188"/>
        <w:gridCol w:w="360"/>
        <w:gridCol w:w="360"/>
        <w:gridCol w:w="362"/>
        <w:gridCol w:w="109"/>
        <w:gridCol w:w="109"/>
        <w:gridCol w:w="109"/>
        <w:gridCol w:w="334"/>
        <w:gridCol w:w="334"/>
        <w:gridCol w:w="334"/>
        <w:gridCol w:w="334"/>
        <w:gridCol w:w="334"/>
        <w:gridCol w:w="334"/>
        <w:gridCol w:w="1871"/>
        <w:gridCol w:w="1785"/>
        <w:gridCol w:w="2550"/>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10" w:type="dxa"/>
            <w:gridSpan w:val="9"/>
            <w:tcBorders/>
            <w:tcMar>
              <w:top w:w="0" w:type="dxa"/>
              <w:left w:w="0" w:type="dxa"/>
              <w:bottom w:w="0" w:type="dxa"/>
              <w:right w:w="0" w:type="dxa"/>
            </w:tcMar>
            <w:vAlign w:val="center"/>
          </w:tcPr>
          <w:p>
            <w:pPr>
              <w:pStyle w:val="TableContents"/>
              <w:bidi w:val="0"/>
              <w:spacing w:lineRule="auto" w:line="240" w:before="160" w:after="283"/>
              <w:jc w:val="center"/>
              <w:rPr>
                <w:rFonts w:ascii="Arial;sans-serif" w:hAnsi="Arial;sans-serif"/>
                <w:b/>
                <w:color w:val="000000"/>
                <w:sz w:val="20"/>
              </w:rPr>
            </w:pPr>
            <w:r>
              <w:rPr>
                <w:rFonts w:ascii="Arial;sans-serif" w:hAnsi="Arial;sans-serif"/>
                <w:b/>
                <w:color w:val="000000"/>
                <w:sz w:val="20"/>
              </w:rPr>
              <w:t>SALARIUS PHARMACEUTICALS, INC.</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David J. Arthur</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David J. Arthur</w:t>
            </w:r>
          </w:p>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President and Chief Executive Officer (Principal Executive Officer)</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Mark J. Rosenblum</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Mark J. Rosenblum</w:t>
            </w:r>
          </w:p>
          <w:p>
            <w:pPr>
              <w:pStyle w:val="TableContents"/>
              <w:bidi w:val="0"/>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Chief Financial Officer and Executive Vice President of Finance (Principal Financial Officer and Principal Accounting Officer)</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Date: </w:t>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160" w:after="16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 Securities Exchange Act Rules 13a-14(a) and 15d-14(a) 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David J. Arthur, President and Chief Executive Officer, certify that: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1. I have reviewed this Quarterly Report on Form 10-Q of Salarius Pharmaceuticals, Inc.;</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tbl>
      <w:tblPr>
        <w:tblW w:w="7706" w:type="dxa"/>
        <w:jc w:val="left"/>
        <w:tblInd w:w="0" w:type="dxa"/>
        <w:tblLayout w:type="fixed"/>
        <w:tblCellMar>
          <w:top w:w="28" w:type="dxa"/>
          <w:left w:w="28" w:type="dxa"/>
          <w:bottom w:w="28" w:type="dxa"/>
          <w:right w:w="28" w:type="dxa"/>
        </w:tblCellMar>
      </w:tblPr>
      <w:tblGrid>
        <w:gridCol w:w="521"/>
        <w:gridCol w:w="458"/>
        <w:gridCol w:w="460"/>
        <w:gridCol w:w="109"/>
        <w:gridCol w:w="109"/>
        <w:gridCol w:w="109"/>
        <w:gridCol w:w="1738"/>
        <w:gridCol w:w="1738"/>
        <w:gridCol w:w="2464"/>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David J. Arthur</w:t>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J. Arthur</w:t>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August 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 (Principal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16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 Securities Exchange Act Rules 13a-14(a) and 15d-14(a) 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Mark J. Rosenblum, Executive Vice President and Interim Chief Financial Officer, certify that: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1. I have reviewed this Quarterly Report on Form 10-Q of Salarius Pharmaceuticals, Inc.;</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tbl>
      <w:tblPr>
        <w:tblW w:w="6490" w:type="dxa"/>
        <w:jc w:val="left"/>
        <w:tblInd w:w="0" w:type="dxa"/>
        <w:tblLayout w:type="fixed"/>
        <w:tblCellMar>
          <w:top w:w="28" w:type="dxa"/>
          <w:left w:w="28" w:type="dxa"/>
          <w:bottom w:w="28" w:type="dxa"/>
          <w:right w:w="28" w:type="dxa"/>
        </w:tblCellMar>
      </w:tblPr>
      <w:tblGrid>
        <w:gridCol w:w="521"/>
        <w:gridCol w:w="458"/>
        <w:gridCol w:w="460"/>
        <w:gridCol w:w="109"/>
        <w:gridCol w:w="109"/>
        <w:gridCol w:w="109"/>
        <w:gridCol w:w="1380"/>
        <w:gridCol w:w="1380"/>
        <w:gridCol w:w="1964"/>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Mark J. Rosenblum</w:t>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 J. Rosenblum</w:t>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August 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b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16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before="0" w:after="0"/>
        <w:jc w:val="left"/>
        <w:rPr/>
      </w:pPr>
      <w:r>
        <w:rPr/>
      </w:r>
    </w:p>
    <w:p>
      <w:pPr>
        <w:pStyle w:val="TextBody"/>
        <w:bidi w:val="0"/>
        <w:spacing w:lineRule="auto" w:line="288" w:before="160" w:after="160"/>
        <w:jc w:val="center"/>
        <w:rPr>
          <w:rFonts w:ascii="Arial;sans-serif" w:hAnsi="Arial;sans-serif"/>
          <w:b/>
          <w:color w:val="000000"/>
          <w:sz w:val="20"/>
        </w:rPr>
      </w:pPr>
      <w:r>
        <w:rPr>
          <w:rFonts w:ascii="Arial;sans-serif" w:hAnsi="Arial;sans-serif"/>
          <w:b/>
          <w:color w:val="000000"/>
          <w:sz w:val="20"/>
        </w:rPr>
        <w:t>Certification Pursuant to 18 U.S.C. Section 1350, as Adopted Pursuant to Section 906 of the Sarbanes-Oxley Act of 2002</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Quarterly Report on Form 10-Q of Salarius Pharmaceuticals, Inc. (the "Company") for the fiscal period ended June 30, 2024 as filed with the Securities and Exchange Commission on the date hereof (the "Report"), the undersigned hereby certify, pursuant to 18 U.S.C. Section 1350, as adopted pursuant to Section 906 of the Sarbanes-Oxley Act of 2002, that to the best of their knowledge: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 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tbl>
      <w:tblPr>
        <w:tblW w:w="7706" w:type="dxa"/>
        <w:jc w:val="left"/>
        <w:tblInd w:w="0" w:type="dxa"/>
        <w:tblLayout w:type="fixed"/>
        <w:tblCellMar>
          <w:top w:w="28" w:type="dxa"/>
          <w:left w:w="28" w:type="dxa"/>
          <w:bottom w:w="28" w:type="dxa"/>
          <w:right w:w="28" w:type="dxa"/>
        </w:tblCellMar>
      </w:tblPr>
      <w:tblGrid>
        <w:gridCol w:w="521"/>
        <w:gridCol w:w="458"/>
        <w:gridCol w:w="460"/>
        <w:gridCol w:w="109"/>
        <w:gridCol w:w="109"/>
        <w:gridCol w:w="109"/>
        <w:gridCol w:w="1738"/>
        <w:gridCol w:w="1738"/>
        <w:gridCol w:w="2464"/>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David J. Arthur</w:t>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J. Arthur</w:t>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August 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 (Principal Executive Officer)</w:t>
            </w:r>
          </w:p>
        </w:tc>
      </w:tr>
    </w:tbl>
    <w:tbl>
      <w:tblPr>
        <w:tblW w:w="7136" w:type="dxa"/>
        <w:jc w:val="left"/>
        <w:tblInd w:w="0" w:type="dxa"/>
        <w:tblLayout w:type="fixed"/>
        <w:tblCellMar>
          <w:top w:w="28" w:type="dxa"/>
          <w:left w:w="28" w:type="dxa"/>
          <w:bottom w:w="28" w:type="dxa"/>
          <w:right w:w="28" w:type="dxa"/>
        </w:tblCellMar>
      </w:tblPr>
      <w:tblGrid>
        <w:gridCol w:w="521"/>
        <w:gridCol w:w="458"/>
        <w:gridCol w:w="460"/>
        <w:gridCol w:w="109"/>
        <w:gridCol w:w="109"/>
        <w:gridCol w:w="109"/>
        <w:gridCol w:w="1569"/>
        <w:gridCol w:w="1569"/>
        <w:gridCol w:w="2232"/>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Mark J. Rosenblum</w:t>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 J. Rosenblum</w:t>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August 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br/>
              <w:t>(Principal Financial Officer and Principal Accounting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15219/000110465915007801/a15-4061_1ex3d1.htm" TargetMode="External"/><Relationship Id="rId3" Type="http://schemas.openxmlformats.org/officeDocument/2006/relationships/hyperlink" Target="https://www.sec.gov/Archives/edgar/data/1615219/000119312519199074/d754556dex31.htm" TargetMode="External"/><Relationship Id="rId4" Type="http://schemas.openxmlformats.org/officeDocument/2006/relationships/hyperlink" Target="https://www.sec.gov/Archives/edgar/data/1615219/000161521922000135/exhibit31.htm" TargetMode="External"/><Relationship Id="rId5" Type="http://schemas.openxmlformats.org/officeDocument/2006/relationships/hyperlink" Target="https://www.sec.gov/Archives/edgar/data/1615219/000119312519199074/d754556dex32.htm" TargetMode="External"/><Relationship Id="rId6" Type="http://schemas.openxmlformats.org/officeDocument/2006/relationships/hyperlink" Target="https://www.sec.gov/Archives/edgar/data/1615219/000161521922000034/salarius-bylawsamendment33.htm" TargetMode="External"/><Relationship Id="rId7" Type="http://schemas.openxmlformats.org/officeDocument/2006/relationships/hyperlink" Target="https://www.sec.gov/Archives/edgar/data/1615219/000161521924000045/slrx-certificateofamendm.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14058</Words>
  <Characters>78106</Characters>
  <CharactersWithSpaces>91516</CharactersWithSpaces>
  <Paragraphs>1059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