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10-Q</w:t>
      </w:r>
    </w:p>
    <w:tbl>
      <w:tblPr>
        <w:tblW w:w="10205" w:type="dxa"/>
        <w:jc w:val="center"/>
        <w:tblInd w:w="0" w:type="dxa"/>
        <w:tblLayout w:type="fixed"/>
        <w:tblCellMar>
          <w:top w:w="28" w:type="dxa"/>
          <w:left w:w="28" w:type="dxa"/>
          <w:bottom w:w="28" w:type="dxa"/>
          <w:right w:w="28" w:type="dxa"/>
        </w:tblCellMar>
      </w:tblPr>
      <w:tblGrid>
        <w:gridCol w:w="191"/>
        <w:gridCol w:w="168"/>
        <w:gridCol w:w="168"/>
        <w:gridCol w:w="2816"/>
        <w:gridCol w:w="2816"/>
        <w:gridCol w:w="4046"/>
      </w:tblGrid>
      <w:tr>
        <w:trPr/>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(Mark One)</w:t>
            </w:r>
          </w:p>
        </w:tc>
      </w:tr>
      <w:tr>
        <w:trPr/>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QUARTERLY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For the quarterly period ended September 30, 2024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OR</w:t>
            </w:r>
          </w:p>
        </w:tc>
      </w:tr>
      <w:tr>
        <w:trPr/>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TRANSITION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Transition Period from to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001-36812</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SALARIUS PHARMACEUTICALS, INC.</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4971" w:type="dxa"/>
        <w:jc w:val="center"/>
        <w:tblInd w:w="0" w:type="dxa"/>
        <w:tblLayout w:type="fixed"/>
        <w:tblCellMar>
          <w:top w:w="28" w:type="dxa"/>
          <w:left w:w="28" w:type="dxa"/>
          <w:bottom w:w="28" w:type="dxa"/>
          <w:right w:w="28" w:type="dxa"/>
        </w:tblCellMar>
      </w:tblPr>
      <w:tblGrid>
        <w:gridCol w:w="124"/>
        <w:gridCol w:w="109"/>
        <w:gridCol w:w="109"/>
        <w:gridCol w:w="742"/>
        <w:gridCol w:w="742"/>
        <w:gridCol w:w="751"/>
        <w:gridCol w:w="109"/>
        <w:gridCol w:w="109"/>
        <w:gridCol w:w="109"/>
        <w:gridCol w:w="563"/>
        <w:gridCol w:w="563"/>
        <w:gridCol w:w="56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46-5087339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(State or other jurisdiction of</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(I.R.S. Employer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Identification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2450 Holcombe Blvd., Suite X, Houston, TX 77021</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(Address of principal executive offices)(Zip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(832)804-9144</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firstLine="270"/>
        <w:jc w:val="left"/>
        <w:rPr/>
      </w:pPr>
      <w:r>
        <w:rPr/>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527" w:type="dxa"/>
        <w:jc w:val="left"/>
        <w:tblInd w:w="0" w:type="dxa"/>
        <w:tblLayout w:type="fixed"/>
        <w:tblCellMar>
          <w:top w:w="28" w:type="dxa"/>
          <w:left w:w="28" w:type="dxa"/>
          <w:bottom w:w="28" w:type="dxa"/>
          <w:right w:w="28" w:type="dxa"/>
        </w:tblCellMar>
      </w:tblPr>
      <w:tblGrid>
        <w:gridCol w:w="954"/>
        <w:gridCol w:w="838"/>
        <w:gridCol w:w="848"/>
        <w:gridCol w:w="109"/>
        <w:gridCol w:w="109"/>
        <w:gridCol w:w="109"/>
        <w:gridCol w:w="524"/>
        <w:gridCol w:w="524"/>
        <w:gridCol w:w="526"/>
        <w:gridCol w:w="109"/>
        <w:gridCol w:w="109"/>
        <w:gridCol w:w="109"/>
        <w:gridCol w:w="1071"/>
        <w:gridCol w:w="1071"/>
        <w:gridCol w:w="1517"/>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$0.0001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SLRX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88" w:before="60" w:after="60"/>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w:t>
      </w:r>
      <w:r>
        <w:rPr>
          <w:color w:val="000000"/>
        </w:rPr>
        <w:t xml:space="preserve"> ☒ </w:t>
      </w:r>
      <w:r>
        <w:rPr>
          <w:rFonts w:ascii="Arial;sans-serif" w:hAnsi="Arial;sans-serif"/>
          <w:b w:val="false"/>
          <w:color w:val="000000"/>
          <w:sz w:val="16"/>
        </w:rPr>
        <w:t>No</w:t>
      </w:r>
      <w:r>
        <w:rPr>
          <w:color w:val="000000"/>
        </w:rPr>
        <w:t xml:space="preserve"> ☐</w:t>
      </w:r>
    </w:p>
    <w:p>
      <w:pPr>
        <w:pStyle w:val="TextBody"/>
        <w:bidi w:val="0"/>
        <w:spacing w:lineRule="auto" w:line="288" w:before="60" w:after="60"/>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 </w:t>
      </w:r>
      <w:r>
        <w:rPr>
          <w:rFonts w:ascii="Arial;sans-serif" w:hAnsi="Arial;sans-serif"/>
          <w:b w:val="false"/>
          <w:color w:val="000000"/>
          <w:sz w:val="16"/>
        </w:rPr>
        <w:t>No</w:t>
      </w:r>
      <w:r>
        <w:rPr>
          <w:color w:val="000000"/>
        </w:rPr>
        <w:t>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11"/>
        <w:gridCol w:w="537"/>
        <w:gridCol w:w="540"/>
        <w:gridCol w:w="109"/>
        <w:gridCol w:w="109"/>
        <w:gridCol w:w="109"/>
        <w:gridCol w:w="425"/>
        <w:gridCol w:w="425"/>
        <w:gridCol w:w="427"/>
        <w:gridCol w:w="109"/>
        <w:gridCol w:w="109"/>
        <w:gridCol w:w="109"/>
        <w:gridCol w:w="540"/>
        <w:gridCol w:w="540"/>
        <w:gridCol w:w="542"/>
        <w:gridCol w:w="109"/>
        <w:gridCol w:w="109"/>
        <w:gridCol w:w="109"/>
        <w:gridCol w:w="646"/>
        <w:gridCol w:w="646"/>
        <w:gridCol w:w="649"/>
        <w:gridCol w:w="109"/>
        <w:gridCol w:w="109"/>
        <w:gridCol w:w="109"/>
        <w:gridCol w:w="661"/>
        <w:gridCol w:w="661"/>
        <w:gridCol w:w="664"/>
        <w:gridCol w:w="109"/>
        <w:gridCol w:w="109"/>
        <w:gridCol w:w="165"/>
      </w:tblGrid>
      <w:tr>
        <w:trPr/>
        <w:tc>
          <w:tcPr>
            <w:tcW w:w="6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8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6"/>
              </w:rPr>
              <w:t>Emerging Growth Company</w:t>
            </w:r>
          </w:p>
        </w:tc>
        <w:tc>
          <w:tcPr>
            <w:tcW w:w="3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check mark whether the registrant is a shell company (as defined in Rule 12b-2 of the Exchange Act.) Yes</w:t>
      </w:r>
      <w:r>
        <w:rPr>
          <w:color w:val="000000"/>
        </w:rPr>
        <w:t xml:space="preserve"> ☐ </w:t>
      </w:r>
      <w:r>
        <w:rPr>
          <w:rFonts w:ascii="Arial;sans-serif" w:hAnsi="Arial;sans-serif"/>
          <w:b w:val="false"/>
          <w:color w:val="000000"/>
          <w:sz w:val="16"/>
        </w:rPr>
        <w:t>No</w:t>
      </w:r>
      <w:r>
        <w:rPr>
          <w:color w:val="000000"/>
        </w:rPr>
        <w:t>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As of November 11, 2024, there were 1,441,157 shares of common stock outstanding.</w:t>
      </w:r>
    </w:p>
    <w:p>
      <w:pPr>
        <w:pStyle w:val="TextBody"/>
        <w:bidi w:val="0"/>
        <w:spacing w:before="60" w:after="60"/>
        <w:jc w:val="left"/>
        <w:rPr/>
      </w:pPr>
      <w:r>
        <w:rPr/>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TABLE OF CONTENTS</w:t>
      </w:r>
    </w:p>
    <w:tbl>
      <w:tblPr>
        <w:tblW w:w="9781" w:type="dxa"/>
        <w:jc w:val="left"/>
        <w:tblInd w:w="0" w:type="dxa"/>
        <w:tblLayout w:type="fixed"/>
        <w:tblCellMar>
          <w:top w:w="28" w:type="dxa"/>
          <w:left w:w="28" w:type="dxa"/>
          <w:bottom w:w="28" w:type="dxa"/>
          <w:right w:w="28" w:type="dxa"/>
        </w:tblCellMar>
      </w:tblPr>
      <w:tblGrid>
        <w:gridCol w:w="505"/>
        <w:gridCol w:w="443"/>
        <w:gridCol w:w="448"/>
        <w:gridCol w:w="2613"/>
        <w:gridCol w:w="2613"/>
        <w:gridCol w:w="2618"/>
        <w:gridCol w:w="158"/>
        <w:gridCol w:w="158"/>
        <w:gridCol w:w="225"/>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97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13">
              <w:r>
                <w:rPr>
                  <w:rStyle w:val="InternetLink"/>
                  <w:rFonts w:ascii="Arial;sans-serif" w:hAnsi="Arial;sans-serif"/>
                  <w:b w:val="false"/>
                  <w:color w:val="0000FF"/>
                  <w:sz w:val="20"/>
                  <w:u w:val="single"/>
                </w:rPr>
                <w:t xml:space="preserve">PART I. </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13">
              <w:r>
                <w:rPr>
                  <w:rStyle w:val="InternetLink"/>
                  <w:rFonts w:ascii="Arial;sans-serif" w:hAnsi="Arial;sans-serif"/>
                  <w:b w:val="false"/>
                  <w:color w:val="0000FF"/>
                  <w:sz w:val="20"/>
                  <w:u w:val="single"/>
                </w:rPr>
                <w:t>Financial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16">
              <w:r>
                <w:rPr>
                  <w:rStyle w:val="InternetLink"/>
                  <w:rFonts w:ascii="Arial;sans-serif" w:hAnsi="Arial;sans-serif"/>
                  <w:b w:val="false"/>
                  <w:color w:val="0000FF"/>
                  <w:sz w:val="20"/>
                  <w:u w:val="singl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13">
              <w:r>
                <w:rPr>
                  <w:rStyle w:val="InternetLink"/>
                  <w:rFonts w:ascii="Arial;sans-serif" w:hAnsi="Arial;sans-serif"/>
                  <w:b w:val="false"/>
                  <w:color w:val="0000FF"/>
                  <w:sz w:val="20"/>
                  <w:u w:val="single"/>
                </w:rPr>
                <w:t>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142311047444ca3b017e5f6cb8ffd_16">
              <w:r>
                <w:rPr>
                  <w:rStyle w:val="InternetLink"/>
                  <w:rFonts w:ascii="Arial;sans-serif" w:hAnsi="Arial;sans-serif"/>
                  <w:b w:val="false"/>
                  <w:color w:val="0000FF"/>
                  <w:sz w:val="20"/>
                  <w:u w:val="single"/>
                </w:rPr>
                <w:t>5</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19">
              <w:r>
                <w:rPr>
                  <w:rStyle w:val="InternetLink"/>
                  <w:rFonts w:ascii="Arial;sans-serif" w:hAnsi="Arial;sans-serif"/>
                  <w:b w:val="false"/>
                  <w:color w:val="000080"/>
                  <w:sz w:val="20"/>
                  <w:u w:val="single"/>
                </w:rPr>
                <w:t xml:space="preserve">Condensed </w:t>
              </w:r>
            </w:hyperlink>
            <w:hyperlink w:anchor="i968142311047444ca3b017e5f6cb8ffd_19">
              <w:r>
                <w:rPr>
                  <w:rStyle w:val="InternetLink"/>
                  <w:rFonts w:ascii="Arial;sans-serif" w:hAnsi="Arial;sans-serif"/>
                  <w:b w:val="false"/>
                  <w:color w:val="000080"/>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142311047444ca3b017e5f6cb8ffd_19">
              <w:r>
                <w:rPr>
                  <w:rStyle w:val="InternetLink"/>
                  <w:rFonts w:ascii="Arial;sans-serif" w:hAnsi="Arial;sans-serif"/>
                  <w:b w:val="false"/>
                  <w:color w:val="0000FF"/>
                  <w:sz w:val="20"/>
                  <w:u w:val="single"/>
                </w:rPr>
                <w:t>5</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22">
              <w:r>
                <w:rPr>
                  <w:rStyle w:val="InternetLink"/>
                  <w:rFonts w:ascii="Arial;sans-serif" w:hAnsi="Arial;sans-serif"/>
                  <w:b w:val="false"/>
                  <w:color w:val="000080"/>
                  <w:sz w:val="20"/>
                  <w:u w:val="single"/>
                </w:rPr>
                <w:t xml:space="preserve">Condensed </w:t>
              </w:r>
            </w:hyperlink>
            <w:hyperlink w:anchor="i968142311047444ca3b017e5f6cb8ffd_22">
              <w:r>
                <w:rPr>
                  <w:rStyle w:val="InternetLink"/>
                  <w:rFonts w:ascii="Arial;sans-serif" w:hAnsi="Arial;sans-serif"/>
                  <w:b w:val="false"/>
                  <w:color w:val="000080"/>
                  <w:sz w:val="20"/>
                  <w:u w:val="single"/>
                </w:rPr>
                <w:t>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142311047444ca3b017e5f6cb8ffd_22">
              <w:r>
                <w:rPr>
                  <w:rStyle w:val="InternetLink"/>
                  <w:rFonts w:ascii="Arial;sans-serif" w:hAnsi="Arial;sans-serif"/>
                  <w:b w:val="false"/>
                  <w:color w:val="0000FF"/>
                  <w:sz w:val="20"/>
                  <w:u w:val="single"/>
                </w:rPr>
                <w:t>6</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28">
              <w:r>
                <w:rPr>
                  <w:rStyle w:val="InternetLink"/>
                  <w:rFonts w:ascii="Arial;sans-serif" w:hAnsi="Arial;sans-serif"/>
                  <w:b w:val="false"/>
                  <w:color w:val="000080"/>
                  <w:sz w:val="20"/>
                  <w:u w:val="single"/>
                </w:rPr>
                <w:t xml:space="preserve">Condensed </w:t>
              </w:r>
            </w:hyperlink>
            <w:hyperlink w:anchor="i968142311047444ca3b017e5f6cb8ffd_28">
              <w:r>
                <w:rPr>
                  <w:rStyle w:val="InternetLink"/>
                  <w:rFonts w:ascii="Arial;sans-serif" w:hAnsi="Arial;sans-serif"/>
                  <w:b w:val="false"/>
                  <w:color w:val="000080"/>
                  <w:sz w:val="20"/>
                  <w:u w:val="single"/>
                </w:rPr>
                <w:t xml:space="preserve">Consolidated Statements of Cash Flows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142311047444ca3b017e5f6cb8ffd_28">
              <w:r>
                <w:rPr>
                  <w:rStyle w:val="InternetLink"/>
                  <w:rFonts w:ascii="Arial;sans-serif" w:hAnsi="Arial;sans-serif"/>
                  <w:b w:val="false"/>
                  <w:color w:val="0000FF"/>
                  <w:sz w:val="20"/>
                  <w:u w:val="single"/>
                </w:rPr>
                <w:t>7</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31">
              <w:r>
                <w:rPr>
                  <w:rStyle w:val="InternetLink"/>
                  <w:rFonts w:ascii="Arial;sans-serif" w:hAnsi="Arial;sans-serif"/>
                  <w:b w:val="false"/>
                  <w:color w:val="000080"/>
                  <w:sz w:val="20"/>
                  <w:u w:val="single"/>
                </w:rPr>
                <w:t xml:space="preserve">Condensed </w:t>
              </w:r>
            </w:hyperlink>
            <w:hyperlink w:anchor="i968142311047444ca3b017e5f6cb8ffd_31">
              <w:r>
                <w:rPr>
                  <w:rStyle w:val="InternetLink"/>
                  <w:rFonts w:ascii="Arial;sans-serif" w:hAnsi="Arial;sans-serif"/>
                  <w:b w:val="false"/>
                  <w:color w:val="000080"/>
                  <w:sz w:val="20"/>
                  <w:u w:val="single"/>
                </w:rPr>
                <w:t>Consolidated Statement</w:t>
              </w:r>
            </w:hyperlink>
            <w:hyperlink w:anchor="i968142311047444ca3b017e5f6cb8ffd_31">
              <w:r>
                <w:rPr>
                  <w:rStyle w:val="InternetLink"/>
                  <w:rFonts w:ascii="Arial;sans-serif" w:hAnsi="Arial;sans-serif"/>
                  <w:b w:val="false"/>
                  <w:color w:val="000080"/>
                  <w:sz w:val="20"/>
                  <w:u w:val="single"/>
                </w:rPr>
                <w:t>s</w:t>
              </w:r>
            </w:hyperlink>
            <w:hyperlink w:anchor="i968142311047444ca3b017e5f6cb8ffd_31">
              <w:r>
                <w:rPr>
                  <w:rStyle w:val="InternetLink"/>
                  <w:rFonts w:ascii="Arial;sans-serif" w:hAnsi="Arial;sans-serif"/>
                  <w:b w:val="false"/>
                  <w:color w:val="000080"/>
                  <w:sz w:val="20"/>
                  <w:u w:val="single"/>
                </w:rPr>
                <w:t xml:space="preserve">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142311047444ca3b017e5f6cb8ffd_31">
              <w:r>
                <w:rPr>
                  <w:rStyle w:val="InternetLink"/>
                  <w:rFonts w:ascii="Arial;sans-serif" w:hAnsi="Arial;sans-serif"/>
                  <w:b w:val="false"/>
                  <w:color w:val="0000FF"/>
                  <w:sz w:val="20"/>
                  <w:u w:val="single"/>
                </w:rPr>
                <w:t>8</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37">
              <w:r>
                <w:rPr>
                  <w:rStyle w:val="InternetLink"/>
                  <w:rFonts w:ascii="Arial;sans-serif" w:hAnsi="Arial;sans-serif"/>
                  <w:b w:val="false"/>
                  <w:color w:val="000080"/>
                  <w:sz w:val="20"/>
                  <w:u w:val="single"/>
                </w:rPr>
                <w:t>Notes to</w:t>
              </w:r>
            </w:hyperlink>
            <w:hyperlink w:anchor="i968142311047444ca3b017e5f6cb8ffd_37">
              <w:r>
                <w:rPr>
                  <w:rStyle w:val="InternetLink"/>
                  <w:rFonts w:ascii="Arial;sans-serif" w:hAnsi="Arial;sans-serif"/>
                  <w:b w:val="false"/>
                  <w:color w:val="000080"/>
                  <w:sz w:val="20"/>
                  <w:u w:val="single"/>
                </w:rPr>
                <w:t xml:space="preserve"> Condensed </w:t>
              </w:r>
            </w:hyperlink>
            <w:hyperlink w:anchor="i968142311047444ca3b017e5f6cb8ffd_37">
              <w:r>
                <w:rPr>
                  <w:rStyle w:val="InternetLink"/>
                  <w:rFonts w:ascii="Arial;sans-serif" w:hAnsi="Arial;sans-serif"/>
                  <w:b w:val="false"/>
                  <w:color w:val="000080"/>
                  <w:sz w:val="20"/>
                  <w:u w:val="single"/>
                </w:rPr>
                <w:t>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142311047444ca3b017e5f6cb8ffd_37">
              <w:r>
                <w:rPr>
                  <w:rStyle w:val="InternetLink"/>
                  <w:rFonts w:ascii="Arial;sans-serif" w:hAnsi="Arial;sans-serif"/>
                  <w:b w:val="false"/>
                  <w:color w:val="0000FF"/>
                  <w:sz w:val="20"/>
                  <w:u w:val="single"/>
                </w:rPr>
                <w:t>10</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76">
              <w:r>
                <w:rPr>
                  <w:rStyle w:val="InternetLink"/>
                  <w:rFonts w:ascii="Arial;sans-serif" w:hAnsi="Arial;sans-serif"/>
                  <w:b w:val="false"/>
                  <w:color w:val="0000FF"/>
                  <w:sz w:val="20"/>
                  <w:u w:val="single"/>
                </w:rPr>
                <w:t>Item 2.</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76">
              <w:r>
                <w:rPr>
                  <w:rStyle w:val="InternetLink"/>
                  <w:rFonts w:ascii="Arial;sans-serif" w:hAnsi="Arial;sans-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142311047444ca3b017e5f6cb8ffd_76">
              <w:r>
                <w:rPr>
                  <w:rStyle w:val="InternetLink"/>
                  <w:rFonts w:ascii="Arial;sans-serif" w:hAnsi="Arial;sans-serif"/>
                  <w:b w:val="false"/>
                  <w:color w:val="0000FF"/>
                  <w:sz w:val="20"/>
                  <w:u w:val="single"/>
                </w:rPr>
                <w:t>18</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85">
              <w:r>
                <w:rPr>
                  <w:rStyle w:val="InternetLink"/>
                  <w:rFonts w:ascii="Arial;sans-serif" w:hAnsi="Arial;sans-serif"/>
                  <w:b w:val="false"/>
                  <w:color w:val="0000FF"/>
                  <w:sz w:val="20"/>
                  <w:u w:val="single"/>
                </w:rPr>
                <w:t>Item 3.</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85">
              <w:r>
                <w:rPr>
                  <w:rStyle w:val="InternetLink"/>
                  <w:rFonts w:ascii="Arial;sans-serif" w:hAnsi="Arial;sans-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142311047444ca3b017e5f6cb8ffd_85">
              <w:r>
                <w:rPr>
                  <w:rStyle w:val="InternetLink"/>
                  <w:rFonts w:ascii="Arial;sans-serif" w:hAnsi="Arial;sans-serif"/>
                  <w:b w:val="false"/>
                  <w:color w:val="0000FF"/>
                  <w:sz w:val="20"/>
                  <w:u w:val="single"/>
                </w:rPr>
                <w:t>23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88">
              <w:r>
                <w:rPr>
                  <w:rStyle w:val="InternetLink"/>
                  <w:rFonts w:ascii="Arial;sans-serif" w:hAnsi="Arial;sans-serif"/>
                  <w:b w:val="false"/>
                  <w:color w:val="0000FF"/>
                  <w:sz w:val="20"/>
                  <w:u w:val="single"/>
                </w:rPr>
                <w:t>Item 4.</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88">
              <w:r>
                <w:rPr>
                  <w:rStyle w:val="InternetLink"/>
                  <w:rFonts w:ascii="Arial;sans-serif" w:hAnsi="Arial;sans-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142311047444ca3b017e5f6cb8ffd_88">
              <w:r>
                <w:rPr>
                  <w:rStyle w:val="InternetLink"/>
                  <w:rFonts w:ascii="Arial;sans-serif" w:hAnsi="Arial;sans-serif"/>
                  <w:b w:val="false"/>
                  <w:color w:val="0000FF"/>
                  <w:sz w:val="20"/>
                  <w:u w:val="single"/>
                </w:rPr>
                <w:t>23</w:t>
              </w:r>
            </w:hyperlink>
          </w:p>
        </w:tc>
      </w:tr>
      <w:tr>
        <w:trPr/>
        <w:tc>
          <w:tcPr>
            <w:tcW w:w="97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91">
              <w:r>
                <w:rPr>
                  <w:rStyle w:val="InternetLink"/>
                  <w:rFonts w:ascii="Arial;sans-serif" w:hAnsi="Arial;sans-serif"/>
                  <w:b w:val="false"/>
                  <w:color w:val="0000FF"/>
                  <w:sz w:val="20"/>
                  <w:u w:val="single"/>
                </w:rPr>
                <w:t>PART II.</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91">
              <w:r>
                <w:rPr>
                  <w:rStyle w:val="InternetLink"/>
                  <w:rFonts w:ascii="Arial;sans-serif" w:hAnsi="Arial;sans-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94">
              <w:r>
                <w:rPr>
                  <w:rStyle w:val="InternetLink"/>
                  <w:rFonts w:ascii="Arial;sans-serif" w:hAnsi="Arial;sans-serif"/>
                  <w:b w:val="false"/>
                  <w:color w:val="0000FF"/>
                  <w:sz w:val="20"/>
                  <w:u w:val="singl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94">
              <w:r>
                <w:rPr>
                  <w:rStyle w:val="InternetLink"/>
                  <w:rFonts w:ascii="Arial;sans-serif" w:hAnsi="Arial;sans-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142311047444ca3b017e5f6cb8ffd_94">
              <w:r>
                <w:rPr>
                  <w:rStyle w:val="InternetLink"/>
                  <w:rFonts w:ascii="Arial;sans-serif" w:hAnsi="Arial;sans-serif"/>
                  <w:b w:val="false"/>
                  <w:color w:val="0000FF"/>
                  <w:sz w:val="20"/>
                  <w:u w:val="single"/>
                </w:rPr>
                <w:t>23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97">
              <w:r>
                <w:rPr>
                  <w:rStyle w:val="InternetLink"/>
                  <w:rFonts w:ascii="Arial;sans-serif" w:hAnsi="Arial;sans-serif"/>
                  <w:b w:val="false"/>
                  <w:color w:val="0000FF"/>
                  <w:sz w:val="20"/>
                  <w:u w:val="single"/>
                </w:rPr>
                <w:t>Item 1A.</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97">
              <w:r>
                <w:rPr>
                  <w:rStyle w:val="InternetLink"/>
                  <w:rFonts w:ascii="Arial;sans-serif" w:hAnsi="Arial;sans-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142311047444ca3b017e5f6cb8ffd_97">
              <w:r>
                <w:rPr>
                  <w:rStyle w:val="InternetLink"/>
                  <w:rFonts w:ascii="Arial;sans-serif" w:hAnsi="Arial;sans-serif"/>
                  <w:b w:val="false"/>
                  <w:color w:val="0000FF"/>
                  <w:sz w:val="20"/>
                  <w:u w:val="single"/>
                </w:rPr>
                <w:t>23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Item 2</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Unregistered Sales of Equity Securities and Use of Proceeds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142311047444ca3b017e5f6cb8ffd_97">
              <w:r>
                <w:rPr>
                  <w:rStyle w:val="InternetLink"/>
                  <w:rFonts w:ascii="Arial;sans-serif" w:hAnsi="Arial;sans-serif"/>
                  <w:b w:val="false"/>
                  <w:color w:val="0000FF"/>
                  <w:sz w:val="20"/>
                  <w:u w:val="single"/>
                </w:rPr>
                <w:t>23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Item 3</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Defaults Upon Senior Securities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142311047444ca3b017e5f6cb8ffd_97">
              <w:r>
                <w:rPr>
                  <w:rStyle w:val="InternetLink"/>
                  <w:rFonts w:ascii="Arial;sans-serif" w:hAnsi="Arial;sans-serif"/>
                  <w:b w:val="false"/>
                  <w:color w:val="0000FF"/>
                  <w:sz w:val="20"/>
                  <w:u w:val="single"/>
                </w:rPr>
                <w:t>23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Item 4</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Mine Safety Disclosures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142311047444ca3b017e5f6cb8ffd_97">
              <w:r>
                <w:rPr>
                  <w:rStyle w:val="InternetLink"/>
                  <w:rFonts w:ascii="Arial;sans-serif" w:hAnsi="Arial;sans-serif"/>
                  <w:b w:val="false"/>
                  <w:color w:val="0000FF"/>
                  <w:sz w:val="20"/>
                  <w:u w:val="single"/>
                </w:rPr>
                <w:t>23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Item 5</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 xml:space="preserve">Other Information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142311047444ca3b017e5f6cb8ffd_97">
              <w:r>
                <w:rPr>
                  <w:rStyle w:val="InternetLink"/>
                  <w:rFonts w:ascii="Arial;sans-serif" w:hAnsi="Arial;sans-serif"/>
                  <w:b w:val="false"/>
                  <w:color w:val="0000FF"/>
                  <w:sz w:val="20"/>
                  <w:u w:val="single"/>
                </w:rPr>
                <w:t>23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112">
              <w:r>
                <w:rPr>
                  <w:rStyle w:val="InternetLink"/>
                  <w:rFonts w:ascii="Arial;sans-serif" w:hAnsi="Arial;sans-serif"/>
                  <w:b w:val="false"/>
                  <w:color w:val="0000FF"/>
                  <w:sz w:val="20"/>
                  <w:u w:val="single"/>
                </w:rPr>
                <w:t>Item 6.</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112">
              <w:r>
                <w:rPr>
                  <w:rStyle w:val="InternetLink"/>
                  <w:rFonts w:ascii="Arial;sans-serif" w:hAnsi="Arial;sans-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142311047444ca3b017e5f6cb8ffd_112">
              <w:r>
                <w:rPr>
                  <w:rStyle w:val="InternetLink"/>
                  <w:rFonts w:ascii="Arial;sans-serif" w:hAnsi="Arial;sans-serif"/>
                  <w:b w:val="false"/>
                  <w:color w:val="0000FF"/>
                  <w:sz w:val="20"/>
                  <w:u w:val="single"/>
                </w:rPr>
                <w:t>26</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142311047444ca3b017e5f6cb8ffd_115">
              <w:r>
                <w:rPr>
                  <w:rStyle w:val="InternetLink"/>
                  <w:rFonts w:ascii="Arial;sans-serif" w:hAnsi="Arial;sans-serif"/>
                  <w:b w:val="false"/>
                  <w:color w:val="0000FF"/>
                  <w:sz w:val="20"/>
                  <w:u w:val="single"/>
                </w:rPr>
                <w:t>SIGNATURES</w:t>
              </w:r>
            </w:hyperlink>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142311047444ca3b017e5f6cb8ffd_115">
              <w:r>
                <w:rPr>
                  <w:rStyle w:val="InternetLink"/>
                  <w:rFonts w:ascii="Arial;sans-serif" w:hAnsi="Arial;sans-serif"/>
                  <w:b w:val="false"/>
                  <w:color w:val="0000FF"/>
                  <w:sz w:val="20"/>
                  <w:u w:val="single"/>
                </w:rPr>
                <w:t>27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Various statements made in this Quarterly Report on Form 10-Q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our ability to continue as a going concern and support our operations into the first half of 2025;</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our expectations regarding the exploration of strategic alternatives;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our strategy, including significantly reducing our expenditures on operational and research and development activities and taking other cost savings measures in connection with our ongoing review of strategic alternatives;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expectations regarding the benefits of our cost-saving measures;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ability to preserve capital while we continue to assess potential strategic alternatives;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expected timing for incurring costs associated with the cost savings measures;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our expectations regarding our clinical trials and any investigator-initiated clinical trials, including our assessment of potential options to continue the clinical development of seclidemstat for Ewing sarcoma;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our expectations as to revenue, cash flow, and expenses;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liquidity position, the expected sufficiency of such position for anticipated operating and capital requirements; and</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expectations regarding our ability to remain listed on Nasdaq;</w:t>
      </w:r>
    </w:p>
    <w:p>
      <w:pPr>
        <w:pStyle w:val="TextBody"/>
        <w:bidi w:val="0"/>
        <w:spacing w:before="0" w:after="240"/>
        <w:jc w:val="both"/>
        <w:rPr/>
      </w:pPr>
      <w:r>
        <w:rPr/>
      </w:r>
    </w:p>
    <w:p>
      <w:pPr>
        <w:pStyle w:val="TextBody"/>
        <w:bidi w:val="0"/>
        <w:spacing w:lineRule="auto" w:line="276" w:before="0" w:after="240"/>
        <w:jc w:val="both"/>
        <w:rPr/>
      </w:pPr>
      <w:r>
        <w:rPr>
          <w:rFonts w:ascii="Arial;sans-serif" w:hAnsi="Arial;sans-serif"/>
          <w:b w:val="false"/>
          <w:color w:val="000000"/>
          <w:sz w:val="20"/>
        </w:rPr>
        <w:t>Forward-looking statements also include statements other than statements of current or historical fact, including, without limitation, all statements</w:t>
      </w:r>
      <w:r>
        <w:rPr>
          <w:color w:val="000000"/>
        </w:rPr>
        <w:t xml:space="preserve"> </w:t>
      </w:r>
      <w:r>
        <w:rPr>
          <w:rFonts w:ascii="Arial;sans-serif" w:hAnsi="Arial;sans-serif"/>
          <w:b w:val="false"/>
          <w:color w:val="000000"/>
          <w:sz w:val="20"/>
        </w:rPr>
        <w:t>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 “will,” “estimate,” “continue,” “anticipate,” “intend,” “expect,” “indicate,” “seek,” “should,” “would,”</w:t>
      </w:r>
      <w:r>
        <w:rPr>
          <w:color w:val="000000"/>
        </w:rPr>
        <w:t xml:space="preserve"> “</w:t>
      </w:r>
      <w:r>
        <w:rPr>
          <w:rFonts w:ascii="Arial;sans-serif" w:hAnsi="Arial;sans-serif"/>
          <w:b w:val="false"/>
          <w:color w:val="000000"/>
          <w:sz w:val="20"/>
        </w:rPr>
        <w:t>target”,</w:t>
      </w:r>
      <w:r>
        <w:rPr>
          <w:color w:val="000000"/>
        </w:rPr>
        <w:t xml:space="preserve"> “</w:t>
      </w:r>
      <w:r>
        <w:rPr>
          <w:rFonts w:ascii="Arial;sans-serif" w:hAnsi="Arial;sans-serif"/>
          <w:b w:val="false"/>
          <w:color w:val="000000"/>
          <w:sz w:val="20"/>
        </w:rPr>
        <w:t>potential,” “evaluate,” “proceeding.”</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 following are some of the factors that could cause actual results to differ materially from the anticipated results or other expectations expressed, anticipated or implied in our forward-looking statements:</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the risk that if we do not successfully complete a strategic transaction or obtain additional financing in the near term, the company will need to pursue a dissolution and liquidation of our company;</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the risk that we are delisted from Nasdaq;</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imposition of restrictions imposed by the FDA on The University of Texas MD Anderson Cancer Center or MDACC, investigator-initiated clinical trial evaluating seclidemstat (SP-2577) in combination with azacitidine in adult patients with myelodysplastic syndromes and chronic myelomonocytic leukemia, including the partial clinical hold imposed on or about July 9, 2024;</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uncertainties about the exploration and evaluation of strategic alternatives, including that they may not result in a definitive transaction or enhance stockholder value and may create a distraction or uncertainty that may adversely affect our operating results, business or investor perceptions;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potential adverse impacts regarding our announcement regarding our implementation of a series of additional cost-savings measures designed to extend our expected cash runway into the first half of 2025, including the cessation of employment of David Arthur, our Chief Executive Officer, who is continuing to serve in such role on a part-time consulting basis;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risk that the Company’s cost saving initiatives and exploration of strategic alternatives are not successful and do not increase stockholder value;</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uncertainties related to a potential proxy contest;</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unanticipated difficulties with preserving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unanticipated charges not currently contemplated that may occur as a result of the Company’s cost savings plan;</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uncertainties about the paths of our programs and our ability to evaluate and identify a path forward for those programs, particularly given the constraints we have as a small company with limited financial, personnel and other operating resources;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adequacy of our capital to support our future operations including any strategic alternatives we may pursue;</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fluctuations in our operating results; and</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other factors described in our filings with the SEC.</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cannot guarantee that the results and other expectations expressed, anticipated or implied in any forward-looking statement will be realized. The risks set forth under Item 1A of our Annual Report on Form 10-K for the fiscal year ended December 31, 2023, as supplemented by Part II, Item 1A of this Quarterly Report on Form 10-Q,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49" w:type="dxa"/>
        <w:jc w:val="center"/>
        <w:tblInd w:w="0" w:type="dxa"/>
        <w:tblLayout w:type="fixed"/>
        <w:tblCellMar>
          <w:top w:w="28" w:type="dxa"/>
          <w:left w:w="28" w:type="dxa"/>
          <w:bottom w:w="28" w:type="dxa"/>
          <w:right w:w="28" w:type="dxa"/>
        </w:tblCellMar>
      </w:tblPr>
      <w:tblGrid>
        <w:gridCol w:w="271"/>
        <w:gridCol w:w="238"/>
        <w:gridCol w:w="241"/>
        <w:gridCol w:w="614"/>
        <w:gridCol w:w="614"/>
        <w:gridCol w:w="87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32"/>
        <w:gridCol w:w="2077"/>
        <w:gridCol w:w="2045"/>
        <w:gridCol w:w="244"/>
        <w:gridCol w:w="1182"/>
        <w:gridCol w:w="126"/>
        <w:gridCol w:w="109"/>
        <w:gridCol w:w="109"/>
        <w:gridCol w:w="109"/>
        <w:gridCol w:w="238"/>
        <w:gridCol w:w="1157"/>
        <w:gridCol w:w="177"/>
      </w:tblGrid>
      <w:tr>
        <w:trPr/>
        <w:tc>
          <w:tcPr>
            <w:tcW w:w="2632"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r>
      <w:tr>
        <w:trPr/>
        <w:tc>
          <w:tcPr>
            <w:tcW w:w="6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(Audited)</w:t>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3,284,029 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5,899,910 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6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538,617 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619,763 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3,822,646 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6,519,673 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3,859,164</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6,586,523</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Liabilities and stockholders' equity </w:t>
            </w:r>
          </w:p>
        </w:tc>
        <w:tc>
          <w:tcPr>
            <w:tcW w:w="155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602,853 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439,931 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406,745 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6754"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6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328,849 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289,643 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934,581 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1,299,241 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6754"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6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5)</w:t>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$0.0001 par value; 10,000,000 shares authorized; 0 issued and outstanding</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$0.0001 par value; 100,000,000 shares authorized; 1,441,157 and 492,304 shares issued and outstanding at September 30, 2024 and December 31, 2023, respectively</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83,384,124 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81,635,074 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(80,459,685)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(76,347,841)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stockholders' equity </w:t>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2,924,583 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5,287,282 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3,859,164</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6,586,523</w:t>
            </w: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08"/>
        <w:gridCol w:w="879"/>
        <w:gridCol w:w="881"/>
        <w:gridCol w:w="211"/>
        <w:gridCol w:w="873"/>
        <w:gridCol w:w="109"/>
        <w:gridCol w:w="109"/>
        <w:gridCol w:w="109"/>
        <w:gridCol w:w="109"/>
        <w:gridCol w:w="211"/>
        <w:gridCol w:w="1038"/>
        <w:gridCol w:w="109"/>
        <w:gridCol w:w="109"/>
        <w:gridCol w:w="109"/>
        <w:gridCol w:w="109"/>
        <w:gridCol w:w="211"/>
        <w:gridCol w:w="1038"/>
        <w:gridCol w:w="109"/>
        <w:gridCol w:w="109"/>
        <w:gridCol w:w="109"/>
        <w:gridCol w:w="109"/>
        <w:gridCol w:w="211"/>
        <w:gridCol w:w="1143"/>
        <w:gridCol w:w="109"/>
        <w:gridCol w:w="109"/>
        <w:gridCol w:w="109"/>
        <w:gridCol w:w="109"/>
        <w:gridCol w:w="157"/>
      </w:tblGrid>
      <w:tr>
        <w:trPr/>
        <w:tc>
          <w:tcPr>
            <w:tcW w:w="160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Nine Months Ended</w:t>
              <w:br/>
              <w:t>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7,113,794 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3,650,920 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4,810,449 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2,532,185 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4,245,603 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11,924,243 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other income (expense)</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(1,006,471)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(2,532,185)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(4,245,603)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(11,924,243)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 and other</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continuing operations</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(972,121)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(2,442,816)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(4,111,844)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(11,660,897)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Net loss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(972,121)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(2,442,816)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(4,111,844)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(11,660,897)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per common share — basic and diluted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Weighted-average number of common shares outstanding — basic and diluted (1)</w:t>
            </w:r>
          </w:p>
        </w:tc>
        <w:tc>
          <w:tcPr>
            <w:tcW w:w="10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Share and per share amounts have been restated to reflect the 1-for-8 reverse stock split effected in June 14, 2024</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retroactive basis for all periods presented.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789" w:type="dxa"/>
        <w:jc w:val="left"/>
        <w:tblInd w:w="0" w:type="dxa"/>
        <w:tblLayout w:type="fixed"/>
        <w:tblCellMar>
          <w:top w:w="28" w:type="dxa"/>
          <w:left w:w="28" w:type="dxa"/>
          <w:bottom w:w="28" w:type="dxa"/>
          <w:right w:w="28" w:type="dxa"/>
        </w:tblCellMar>
      </w:tblPr>
      <w:tblGrid>
        <w:gridCol w:w="2358"/>
        <w:gridCol w:w="2073"/>
        <w:gridCol w:w="2079"/>
        <w:gridCol w:w="211"/>
        <w:gridCol w:w="1081"/>
        <w:gridCol w:w="109"/>
        <w:gridCol w:w="109"/>
        <w:gridCol w:w="109"/>
        <w:gridCol w:w="109"/>
        <w:gridCol w:w="211"/>
        <w:gridCol w:w="1186"/>
        <w:gridCol w:w="154"/>
      </w:tblGrid>
      <w:tr>
        <w:trPr/>
        <w:tc>
          <w:tcPr>
            <w:tcW w:w="2358"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(4,111,844)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(11,660,897)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 receivable write-off</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(1,769,690)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(635,067)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(3,782,819)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(11,334,908)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equity securities,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6,920,530 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note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financing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6,809,061 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(2,615,881)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(4,525,847)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period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5,899,910 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12,106,435 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3,284,029 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7,580,588 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cash flow information:</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investing and financing activities: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Accrued issuance costs for issuance of equity securities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premium financed by note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38"/>
        <w:gridCol w:w="421"/>
        <w:gridCol w:w="424"/>
        <w:gridCol w:w="510"/>
        <w:gridCol w:w="511"/>
        <w:gridCol w:w="268"/>
        <w:gridCol w:w="110"/>
        <w:gridCol w:w="110"/>
        <w:gridCol w:w="110"/>
        <w:gridCol w:w="228"/>
        <w:gridCol w:w="532"/>
        <w:gridCol w:w="110"/>
        <w:gridCol w:w="109"/>
        <w:gridCol w:w="109"/>
        <w:gridCol w:w="109"/>
        <w:gridCol w:w="222"/>
        <w:gridCol w:w="1185"/>
        <w:gridCol w:w="114"/>
        <w:gridCol w:w="109"/>
        <w:gridCol w:w="109"/>
        <w:gridCol w:w="109"/>
        <w:gridCol w:w="215"/>
        <w:gridCol w:w="1157"/>
        <w:gridCol w:w="111"/>
        <w:gridCol w:w="109"/>
        <w:gridCol w:w="109"/>
        <w:gridCol w:w="109"/>
        <w:gridCol w:w="226"/>
        <w:gridCol w:w="1098"/>
        <w:gridCol w:w="117"/>
        <w:gridCol w:w="109"/>
        <w:gridCol w:w="109"/>
        <w:gridCol w:w="109"/>
        <w:gridCol w:w="109"/>
        <w:gridCol w:w="109"/>
        <w:gridCol w:w="162"/>
      </w:tblGrid>
      <w:tr>
        <w:trPr/>
        <w:tc>
          <w:tcPr>
            <w:tcW w:w="73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Total Stockholders'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2022</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281,987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74,189,728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(63,805,148)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10,384,608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311,681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(5,340,773)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(5,340,773)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2023</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308,536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74,704,751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(69,145,921)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5,558,861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10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110,472 </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6,608,779 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6,608,790 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(3,877,308)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(3,877,308)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2023</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419,008</w:t>
            </w: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81,436,989</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(73,023,229)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8,413,802</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10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73,296 </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(2,442,816)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(2,442,816)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30, 2023</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492,304</w:t>
            </w: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81,549,699</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(75,466,045)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6,083,703</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2023</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492,304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81,635,074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(76,347,841)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5,287,282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47,000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(1,715,290)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(1,715,290)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2024</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539,304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81,712,615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(78,063,131)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3,649,538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and other, net</w:t>
            </w:r>
          </w:p>
        </w:tc>
        <w:tc>
          <w:tcPr>
            <w:tcW w:w="10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101,873 </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65,070 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65,080 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(1,424,433)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(1,424,433)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2024</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641,177</w:t>
            </w: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81,862,853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(79,487,564)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2,375,353</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10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799,980 </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1,461,262 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1,461,342 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(972,121)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(972,121)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September 30, 2024</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1,441,157</w:t>
            </w: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144</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83,384,124</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(80,459,685)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2,924,583</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Share and per share amounts have been restated to reflect the 1-for-8 reverse stock split effected in June 14, 2024 on retroactive basis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
        <w:jc w:val="left"/>
        <w:rPr>
          <w:rFonts w:ascii="Arial;sans-serif" w:hAnsi="Arial;sans-serif"/>
          <w:b/>
          <w:color w:val="000000"/>
          <w:sz w:val="20"/>
        </w:rPr>
      </w:pPr>
      <w:r>
        <w:rPr>
          <w:rFonts w:ascii="Arial;sans-serif" w:hAnsi="Arial;sans-serif"/>
          <w:b/>
          <w:color w:val="000000"/>
          <w:sz w:val="20"/>
        </w:rPr>
        <w:t>NOTE 1. ORGANIZATION AND OPERATIONS</w:t>
      </w:r>
    </w:p>
    <w:p>
      <w:pPr>
        <w:pStyle w:val="TextBody"/>
        <w:bidi w:val="0"/>
        <w:spacing w:before="0" w:after="20"/>
        <w:jc w:val="left"/>
        <w:rPr/>
      </w:pPr>
      <w:r>
        <w:rPr/>
      </w:r>
    </w:p>
    <w:p>
      <w:pPr>
        <w:pStyle w:val="TextBody"/>
        <w:bidi w:val="0"/>
        <w:spacing w:lineRule="auto" w:line="288" w:before="0" w:after="20"/>
        <w:jc w:val="left"/>
        <w:rPr>
          <w:rFonts w:ascii="Arial;sans-serif" w:hAnsi="Arial;sans-serif"/>
          <w:b/>
          <w:color w:val="000000"/>
          <w:sz w:val="20"/>
        </w:rPr>
      </w:pPr>
      <w:r>
        <w:rPr>
          <w:rFonts w:ascii="Arial;sans-serif" w:hAnsi="Arial;sans-serif"/>
          <w:b/>
          <w:color w:val="000000"/>
          <w:sz w:val="20"/>
        </w:rPr>
        <w:t>Nature of Business</w:t>
      </w:r>
    </w:p>
    <w:p>
      <w:pPr>
        <w:pStyle w:val="TextBody"/>
        <w:bidi w:val="0"/>
        <w:spacing w:before="0" w:after="20"/>
        <w:jc w:val="left"/>
        <w:rPr/>
      </w:pPr>
      <w:r>
        <w:rPr/>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Salarius Pharmaceuticals, Inc. (“Salarius” or the “Company”), together with its subsidiaries, Salarius Pharmaceuticals, LLC, Flex Innovation Group LLC, and TK Pharma, Inc., is a clinical-stage biopharmaceutical company focused on developing effective treatments for cancers with high, unmet medical need. Specifically, the Company is concentrated on developing treatments for cancers caused by dysregulated gene expression, i.e., genes that are incorrectly turned on or off. The Company has two classes of drugs that address gene dysregulation: targeted protein inhibitors and targeted protein degraders. The Company's technologies have the potential to work in both liquid and solid tumors. The Company's current pipeline consists of two small molecule drugs: 1) SP-3164, a targeted protein degrader, and 2) seclidemstat (SP-2577), a targeted protein inhibitor. The Company is located in Houston, Texas. On August 8, 2023, the Company announced that it retained Canaccord Genuity, LLC to lead a comprehensive review of strategic alternatives focusing on maximizing stockholder value, including but not limited to, an acquisition, merger, reverse merger, divestiture of assets, licensing, or other strategic transactions involving the Company. In connection with the evaluation of strategic alternatives and in order to extend Company resources, the Company implemented multiple cost-savings plans to extend the Company’s expected cash runway into the first half of 2025.</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Going Concern</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Based on Salarius’ expected cash requirements, Salarius believes that there is substantial doubt that its existing cash and cash equivalents, will be sufficient to fund its operations through one year from the financial statements' issuance date. The Company may attempt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 </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Although the Company is currently exploring various strategic alternatives, these strategic alternatives may not be successful in the next several months prior to its cash position getting to the point that it will need to pursue the winding down and dissolution of the Company. If the Company does not raise capital or successfully engage a strategic partner before the first half of 2025, it will be forced to cease operations, liquidate assets and possibly seek bankruptcy protection or engage in a similar process.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Reverse Stock Splits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June 14, 2024, the Company filed a Certificate of Amendment to the Company’s restated certificate of incorporation, as amended, with the Secretary of State of the State of Delaware to effect a 1-for-8 reverse stock split of the Company’s issued and outstanding shares of common stock, par value $0.0001 per share (the “Reverse Stock Split”) which became effective as of June 14, 2024. All historical share and per share amounts reflected throughout this report have been adjusted to reflect the Reverse Stock Split.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October 14, 2022, the Company filed a Certificate of Amendment to the Company’s restated certificate of incorporation with the Secretary of State of the State of Delaware to effect a 1-for-25 reverse stock split of the Company’s issued and outstanding shares of common stock, par value $0.0001 per share (the “Reverse Stock Split”) which became effective as of October 14, 2022. All historical share and per share amounts reflected throughout this report have been adjusted to reflect the Reverse Stock Split.</w:t>
      </w:r>
    </w:p>
    <w:p>
      <w:pPr>
        <w:pStyle w:val="TextBody"/>
        <w:bidi w:val="0"/>
        <w:spacing w:before="16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2. BASIS OF PRESENTATION AND SIGNIFICANT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Principles of Consolidation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condensed consolidated financial statements include the accounts of the Company and its wholly owned subsidiaries. All significant intercompany balances and transactions have been eliminated in consolidation.</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Unaudited Interim Financial Information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2023 included elsewhere in the Company's Annual Report on Form 10-K filed with the SEC on March 22, 2024, as amended on April 22, 2024. In the opinion of management, the unaudited interim financial statements reflect all the adjustments (consisting of normal recurring adjustments) necessary to state fairly the Company’s financial position as of September 30, 2024 and the results of operations for the three and nine months ended September 30, 2024 and 2023. The interim results of operations are not necessarily indicative of the results that may occur for the full fiscal year. The December 31, 2023 balance sheet included herein was derived from the audited financial statements, but does not include all disclosures, including notes, required by GAAP for complete financial statements.</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and Cash Equivalents</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Salarius considers all highly liquid investments with original maturities of three months or less to be cash equivalents. </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Financial Instruments and Credit Risks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Although the balances in these accounts exceed the federally insured limit from time to time, the Company has not incurred losses related to these deposits.</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Warrants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determines whether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allocates the transaction proceeds to the warrants and any other free-standing instruments issued in the transaction based on an allowable allocation method.</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Clinical Trial Accruals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Grants Receivable and Revenue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Salarius’ source of revenue had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 Final reimbursement from the grant was received in the first quarter of 2024. The Company's CPRIT grant expired during 2023 and no additional amounts are expected to be recognized or received.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Research and Development Costs</w:t>
      </w:r>
    </w:p>
    <w:p>
      <w:pPr>
        <w:pStyle w:val="TextBody"/>
        <w:bidi w:val="0"/>
        <w:spacing w:before="0" w:after="0"/>
        <w:jc w:val="left"/>
        <w:rPr/>
      </w:pPr>
      <w:r>
        <w:rPr/>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pStyle w:val="TextBody"/>
        <w:bidi w:val="0"/>
        <w:spacing w:before="0" w:after="0"/>
        <w:jc w:val="both"/>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Equity-Based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Salarius measures equity-based compensation based on the grant date fair value of the awards and recognizes the associated expense in the financial statements over the requisite service period of the award, which is generally the vesting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uses the Black-Scholes option valuation model to estimate the fair value of stock options granted to employees and directors. Assumptions utilized in these models including expected volatility calculated based on implied volatility from traded stocks of peer companies, dividend yield and risk-free interest rate. Additionally, forfeitures are accounted for in compensation cost as they occur. Restricted stock and restricted stock units granted to employees and directors are measured at fair value based upon the closing price of the Company's common stock on the grant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Loss Per Share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number of anti-dilutive shares, consisting of common shares underlying (i) common stock options, (ii) stock purchase warrants, (iii) rights entitling holders to receive warrants to purchase the Company's common shares, and (iv) restricted stock units which have been excluded from the computation of diluted loss per share, was approximately 1,047,070 and 1,370,516 shares as of September 30, 2024 and 2023, respectively.</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September 30, 2024 and December 31, 2023,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3. GRANT RECEIVABLE FROM CPRIT</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Grants receivable balances are zero at September 30, 2024 and December 31, 2023. During the nine months ended September 30, 2024 and 2023, the Company received $0.1 million and $1.5 million from CPRIT, respectively. Since inception, the Company has received approximately $16.1 million under the grant. The grant was closed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NOTE 4. PREPAID EXPENSES AND OTHER CURRENT ASSETS</w:t>
      </w:r>
    </w:p>
    <w:p>
      <w:pPr>
        <w:pStyle w:val="TextBody"/>
        <w:bidi w:val="0"/>
        <w:spacing w:lineRule="auto" w:line="288" w:before="160" w:after="240"/>
        <w:jc w:val="left"/>
        <w:rPr>
          <w:rFonts w:ascii="Arial;sans-serif" w:hAnsi="Arial;sans-serif"/>
          <w:b w:val="false"/>
          <w:color w:val="000000"/>
          <w:sz w:val="20"/>
        </w:rPr>
      </w:pPr>
      <w:r>
        <w:rPr>
          <w:rFonts w:ascii="Arial;sans-serif" w:hAnsi="Arial;sans-serif"/>
          <w:b w:val="false"/>
          <w:color w:val="000000"/>
          <w:sz w:val="20"/>
        </w:rPr>
        <w:t xml:space="preserve">Prepaid expenses and other current assets at September 30, 2024 and December 31, 2023 consisted of the following: </w:t>
      </w:r>
    </w:p>
    <w:tbl>
      <w:tblPr>
        <w:tblW w:w="8456" w:type="dxa"/>
        <w:jc w:val="left"/>
        <w:tblInd w:w="0" w:type="dxa"/>
        <w:tblLayout w:type="fixed"/>
        <w:tblCellMar>
          <w:top w:w="28" w:type="dxa"/>
          <w:left w:w="28" w:type="dxa"/>
          <w:bottom w:w="28" w:type="dxa"/>
          <w:right w:w="28" w:type="dxa"/>
        </w:tblCellMar>
      </w:tblPr>
      <w:tblGrid>
        <w:gridCol w:w="1563"/>
        <w:gridCol w:w="1376"/>
        <w:gridCol w:w="1381"/>
        <w:gridCol w:w="344"/>
        <w:gridCol w:w="1398"/>
        <w:gridCol w:w="178"/>
        <w:gridCol w:w="109"/>
        <w:gridCol w:w="109"/>
        <w:gridCol w:w="109"/>
        <w:gridCol w:w="326"/>
        <w:gridCol w:w="1325"/>
        <w:gridCol w:w="238"/>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419,602 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468,495 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prepaid and current assets</w:t>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119,015 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151,268 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prepaid expenses and other current assets</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538,617 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619,763 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Arial;sans-serif" w:hAnsi="Arial;sans-serif"/>
          <w:b w:val="false"/>
          <w:color w:val="000000"/>
          <w:sz w:val="20"/>
        </w:rPr>
        <w:t>Insurance is mainly comprised of prepaid directors' and officers' insurance. In July 2024, the Company financed its directors and officers' insurance premium with a short term note, the principal amount of which is approximately $0.4 million bearing interest at a rate of 9.74%. The note payable balance, which was included within Current Liabilities on the Condensed Consolidated Balance Sheet was $0.3</w:t>
      </w:r>
      <w:r>
        <w:rPr>
          <w:color w:val="000000"/>
        </w:rPr>
        <w:t xml:space="preserve"> </w:t>
      </w:r>
      <w:r>
        <w:rPr>
          <w:rFonts w:ascii="Arial;sans-serif" w:hAnsi="Arial;sans-serif"/>
          <w:b w:val="false"/>
          <w:color w:val="000000"/>
          <w:sz w:val="20"/>
        </w:rPr>
        <w:t xml:space="preserve">million at both September 30, 2024 and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5. COMMITMENTS AND CONTINGENCIES</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Cancer Prevention and Research Institute of Texas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June 2016, the Company entered into a Cancer Research Grant Contract with CPRIT. Pursuant to the contract, CPRIT awarded the Company a grant up to $18.7 million, further modified to $16.1 million to fund development of LSD 1 inhibitor. The grant expired in 2023.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License Agreement with the University of Utah Research Foundation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2011, the Company entered into a license agreement with the University of Utah, under which the Company acquired an exclusive license to an epigenetic enzyme lysine specific demethylase 1 ("LSD1"). In exchange for the license, the Company issued 2% equity ownership in the Company on a fully diluted basis at the effective date of the agreement subject to certain adjustments specified in the agreement, such as granted revenue sharing rights on any resulting products or processes to commence on first commercial sale, and milestone payments based upon regulatory approval of any resulting product or process as well as on the second anniversary of first commercial sale.</w:t>
      </w:r>
    </w:p>
    <w:p>
      <w:pPr>
        <w:pStyle w:val="TextBody"/>
        <w:bidi w:val="0"/>
        <w:spacing w:before="0" w:after="0"/>
        <w:jc w:val="left"/>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Lease Agreement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presently leases office space under operating lease agreements on a month-to-month basis.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NOTE 6. FAIR VALUE OF FINANCIAL INSTRUMENTS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Level 1 - Unadjusted quoted prices in active markets for identical assets or liabilities.</w:t>
      </w:r>
    </w:p>
    <w:p>
      <w:pPr>
        <w:pStyle w:val="TextBody"/>
        <w:bidi w:val="0"/>
        <w:spacing w:lineRule="auto" w:line="288" w:before="0" w:after="60"/>
        <w:ind w:left="0" w:right="0" w:hanging="810"/>
        <w:jc w:val="both"/>
        <w:rPr>
          <w:rFonts w:ascii="Arial;sans-serif" w:hAnsi="Arial;sans-serif"/>
          <w:b w:val="false"/>
          <w:color w:val="000000"/>
          <w:sz w:val="20"/>
        </w:rPr>
      </w:pPr>
      <w:r>
        <w:rPr>
          <w:rFonts w:ascii="Arial;sans-serif" w:hAnsi="Arial;sans-serif"/>
          <w:b w:val="false"/>
          <w:color w:val="000000"/>
          <w:sz w:val="20"/>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Level 3 - Significant unobservable inputs including Salarius’ own assumptions in determining fair value.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believes the recorded values of its financial instruments, including cash and cash equivalents, accounts payable and note payable approximate their fair values due to the short-term nature of these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7. STOCKHOLDERS' EQUITY</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Common Stock - Issuances</w:t>
      </w:r>
    </w:p>
    <w:p>
      <w:pPr>
        <w:pStyle w:val="TextBody"/>
        <w:bidi w:val="0"/>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 xml:space="preserve">During the nine months ended September 30, 2024 and September 30, 2023, the Company sold 608,949 and 87,034 shares of common stock in an "at the market offering" ("ATM") with gross proceeds of $1.7 million and $1.7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 xml:space="preserve">On May 11, 2023, the Company entered into a Securities Purchase Agreement (the “Purchase Agreement”) with an accredited investor (the “Investor”), pursuant to which the Company agreed to issue and sell to the Investor in a private placement (the “Offering”) (i) 41,250 shares (the “Shares”) of the Company’s common stock, par value $0.0001 per share (the “Common Stock”), (ii) pre-funded warrants (the “Pre-Funded Warrants”) to purchase up to 413,296 shares of Common Stock, (iii) Series A-1 warrants (the “Series A-1 Warrants”) to purchase up to 454,546 shares of Common Stock and (iv) Series A-2 warrants (the “Series A-2 Warrants”) and together with the Series A-1 Warrants, the “Common Stock Warrants,” and together with the Pre-Funded Warrants, the “Warrants”) to purchase up to 454,546 shares of Common Stock, at a purchase price of (a) $13.20 per Share and accompanying Common Stock Warrants and (b) $13.1992 per Pre-Funded Warrant and accompanying Common Stock Warrants. The aggregate gross proceeds from the Offering were approximately $6.0 million, exclusive of placement agent fees and expenses and other offering expenses. The Offering closed on May 16, 2023. </w:t>
      </w:r>
    </w:p>
    <w:p>
      <w:pPr>
        <w:pStyle w:val="TextBody"/>
        <w:bidi w:val="0"/>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 xml:space="preserve">During the nine months ended September 30, 2024 and September 30, 2023 , the Company issued 340,000 and 73,296 shares of its Common Stock upon the exercise of Pre-Funded Warrants. </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 xml:space="preserve">Warrants Exercisable for Cash </w:t>
      </w:r>
    </w:p>
    <w:p>
      <w:pPr>
        <w:pStyle w:val="TextBody"/>
        <w:bidi w:val="0"/>
        <w:spacing w:lineRule="auto" w:line="288" w:before="0" w:after="240"/>
        <w:jc w:val="both"/>
        <w:rPr/>
      </w:pPr>
      <w:r>
        <w:rPr>
          <w:rFonts w:ascii="Arial;sans-serif" w:hAnsi="Arial;sans-serif"/>
          <w:b w:val="false"/>
          <w:color w:val="000000"/>
          <w:sz w:val="20"/>
          <w:shd w:fill="FFFFFF" w:val="clear"/>
        </w:rPr>
        <w:t>The Company has five-year (5) warrants outstanding that were issued in February 2020 and subsequently modified in December 2020 in connection with the issuance of additional inducement warrants. The warrants are exercisable at a price per share of $</w:t>
      </w:r>
      <w:r>
        <w:rPr>
          <w:rFonts w:ascii="Arial;sans-serif" w:hAnsi="Arial;sans-serif"/>
          <w:b w:val="false"/>
          <w:color w:val="000000"/>
          <w:sz w:val="20"/>
        </w:rPr>
        <w:t>230.00</w:t>
      </w:r>
      <w:r>
        <w:rPr>
          <w:rFonts w:ascii="Arial;sans-serif" w:hAnsi="Arial;sans-serif"/>
          <w:b w:val="false"/>
          <w:color w:val="000000"/>
          <w:sz w:val="20"/>
          <w:shd w:fill="FFFFFF" w:val="clear"/>
        </w:rPr>
        <w:t>. The inducement warrants expire on June 11, 2026, and are exercisable at a price per share of $</w:t>
      </w:r>
      <w:r>
        <w:rPr>
          <w:rFonts w:ascii="Arial;sans-serif" w:hAnsi="Arial;sans-serif"/>
          <w:b w:val="false"/>
          <w:color w:val="000000"/>
          <w:sz w:val="20"/>
        </w:rPr>
        <w:t>236.40</w:t>
      </w:r>
      <w:r>
        <w:rPr>
          <w:rFonts w:ascii="Arial;sans-serif" w:hAnsi="Arial;sans-serif"/>
          <w:b w:val="false"/>
          <w:color w:val="000000"/>
          <w:sz w:val="20"/>
          <w:shd w:fill="FFFFFF" w:val="clear"/>
        </w:rPr>
        <w:t>. The Company has five-and-one-half-year (5.5) year warrants outstanding that were issued in April 2022, with an exercise price of $</w:t>
      </w:r>
      <w:r>
        <w:rPr>
          <w:rFonts w:ascii="Arial;sans-serif" w:hAnsi="Arial;sans-serif"/>
          <w:b w:val="false"/>
          <w:color w:val="000000"/>
          <w:sz w:val="20"/>
        </w:rPr>
        <w:t>67.98</w:t>
      </w:r>
      <w:r>
        <w:rPr>
          <w:color w:val="000000"/>
          <w:shd w:fill="FFFFFF" w:val="clear"/>
        </w:rPr>
        <w:t xml:space="preserve"> </w:t>
      </w:r>
      <w:r>
        <w:rPr>
          <w:rFonts w:ascii="Arial;sans-serif" w:hAnsi="Arial;sans-serif"/>
          <w:b w:val="false"/>
          <w:color w:val="000000"/>
          <w:sz w:val="20"/>
          <w:shd w:fill="FFFFFF" w:val="clear"/>
        </w:rPr>
        <w:t xml:space="preserve">per share. The warrants became exercisable six months following the issuance date and will expire five and one-half years from the issuance date. </w:t>
      </w:r>
    </w:p>
    <w:p>
      <w:pPr>
        <w:pStyle w:val="TextBody"/>
        <w:bidi w:val="0"/>
        <w:spacing w:lineRule="auto" w:line="268" w:before="0" w:after="240"/>
        <w:jc w:val="both"/>
        <w:rPr/>
      </w:pPr>
      <w:r>
        <w:rPr>
          <w:rFonts w:ascii="Arial;sans-serif" w:hAnsi="Arial;sans-serif"/>
          <w:b w:val="false"/>
          <w:color w:val="000000"/>
          <w:sz w:val="20"/>
        </w:rPr>
        <w:t>The Company's Series A-1 Warrants are exercisable for a period of five and one-half (5.5) years from the issuance date at an exercise price of $11.20 per share, expiring on November 16, 2028. Series A-2 Warrants expired on November 18, 2024. Each Pre-Funded Warrant was sold in lieu of shares of Common Stock, are exercisable immediately upon issuance, have an exercise price of $0.0008 per share and expire when exercised in full. At September 30, 2024, there were zero</w:t>
      </w:r>
      <w:r>
        <w:rPr>
          <w:color w:val="000000"/>
        </w:rPr>
        <w:t xml:space="preserve"> </w:t>
      </w:r>
      <w:r>
        <w:rPr>
          <w:rFonts w:ascii="Arial;sans-serif" w:hAnsi="Arial;sans-serif"/>
          <w:b w:val="false"/>
          <w:color w:val="000000"/>
          <w:sz w:val="20"/>
        </w:rPr>
        <w:t>Pre- Funded Warrants outstanding.</w:t>
      </w:r>
    </w:p>
    <w:p>
      <w:pPr>
        <w:pStyle w:val="TextBody"/>
        <w:bidi w:val="0"/>
        <w:spacing w:lineRule="auto" w:line="288" w:before="0" w:after="240"/>
        <w:jc w:val="both"/>
        <w:rPr/>
      </w:pPr>
      <w:r>
        <w:rPr>
          <w:rFonts w:ascii="Arial;sans-serif" w:hAnsi="Arial;sans-serif"/>
          <w:b w:val="false"/>
          <w:color w:val="000000"/>
          <w:sz w:val="20"/>
          <w:shd w:fill="FFFFFF" w:val="clear"/>
        </w:rPr>
        <w:t xml:space="preserve">In connection with the above mentioned Offering, the Company issued warrants to representatives </w:t>
      </w:r>
      <w:r>
        <w:rPr>
          <w:rFonts w:ascii="Arial;sans-serif" w:hAnsi="Arial;sans-serif"/>
          <w:b w:val="false"/>
          <w:color w:val="000000"/>
          <w:sz w:val="20"/>
        </w:rPr>
        <w:t xml:space="preserve">to purchase up to 31,818 shares of common stock at an exercise price per share of $16.50 and a term of five and one-half (5.5) years. </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As of September 30, 2024 and 2023, approximately 1,015,385 and 1,355,600 warrants remain outstanding (0 and 340,000 are Pre-Funded Warrants), respectively.</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 terms of the outstanding warrants require the Company, upon the consummation of any fundamental transaction to, among other obligations, cause any successor entity resulting from the fundamental transaction to assume the Company's obligations under the warrants and the associated transaction documents. In addition, holders of warrants are entitled to participate in any fundamental transaction on an as-converted or as-exercised basis, which could result in the holders of the Company's common stock receiving a lesser portion of the consideration from a fundamental transaction. In addition, certain of our outstanding warrants provide that, in the event of a fundamental transaction that is approved by our board of directors, the holders of such warrants have the option to require us to pay to such holders an amount of cash equal to the Black-Scholes value of the warrants. Such amount could be significantly more than the warrant holders would otherwise receive if they were to exercise their warrants and receive the same consideration as the other holders of common stock, which in turn could reduce the consideration that holders of common stock would be concurrently entitled to receive in such fundamental transaction. The terms of the warrants could also impede the Company's ability to enter into certain transactions or obtain additional financing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 xml:space="preserve">NOTE 8. EQUITY-BASED COMPENSATION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Equity Incentive Plans</w:t>
      </w:r>
    </w:p>
    <w:p>
      <w:pPr>
        <w:pStyle w:val="TextBody"/>
        <w:bidi w:val="0"/>
        <w:spacing w:lineRule="auto" w:line="288" w:before="160" w:after="160"/>
        <w:jc w:val="both"/>
        <w:rPr>
          <w:rFonts w:ascii="Arial;sans-serif" w:hAnsi="Arial;sans-serif"/>
          <w:b w:val="false"/>
          <w:color w:val="000000"/>
          <w:sz w:val="20"/>
        </w:rPr>
      </w:pPr>
      <w:r>
        <w:rPr>
          <w:rFonts w:ascii="Arial;sans-serif" w:hAnsi="Arial;sans-serif"/>
          <w:b w:val="false"/>
          <w:color w:val="000000"/>
          <w:sz w:val="20"/>
        </w:rPr>
        <w:t xml:space="preserve">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160" w:after="160"/>
        <w:jc w:val="both"/>
        <w:rPr>
          <w:rFonts w:ascii="Arial;sans-serif" w:hAnsi="Arial;sans-serif"/>
          <w:b w:val="false"/>
          <w:color w:val="000000"/>
          <w:sz w:val="20"/>
        </w:rPr>
      </w:pPr>
      <w:r>
        <w:rPr>
          <w:rFonts w:ascii="Arial;sans-serif" w:hAnsi="Arial;sans-serif"/>
          <w:b w:val="false"/>
          <w:color w:val="000000"/>
          <w:sz w:val="20"/>
        </w:rPr>
        <w:t>Company's employees, including officers, and to non-employee directors and consultants. As of September 30, 2024, there were approximately 9,844 shares remaining available for grant awards under the 2015 Plan.</w:t>
      </w:r>
    </w:p>
    <w:p>
      <w:pPr>
        <w:pStyle w:val="TextBody"/>
        <w:bidi w:val="0"/>
        <w:spacing w:lineRule="auto" w:line="288" w:before="160" w:after="160"/>
        <w:jc w:val="both"/>
        <w:rPr/>
      </w:pPr>
      <w:r>
        <w:rPr>
          <w:rFonts w:ascii="Arial;sans-serif" w:hAnsi="Arial;sans-serif"/>
          <w:b w:val="false"/>
          <w:color w:val="000000"/>
          <w:sz w:val="20"/>
        </w:rPr>
        <w:t>During the nine-month periods ended September 30, 2024 and 2023, the Company awarded 21,125</w:t>
      </w:r>
      <w:r>
        <w:rPr>
          <w:color w:val="000000"/>
        </w:rPr>
        <w:t xml:space="preserve"> </w:t>
      </w:r>
      <w:r>
        <w:rPr>
          <w:rFonts w:ascii="Times New Roman;sans-serif" w:hAnsi="Times New Roman;sans-serif"/>
          <w:b w:val="false"/>
          <w:color w:val="000000"/>
          <w:sz w:val="20"/>
        </w:rPr>
        <w:t xml:space="preserve">and </w:t>
      </w:r>
      <w:r>
        <w:rPr>
          <w:rFonts w:ascii="Arial;sans-serif" w:hAnsi="Arial;sans-serif"/>
          <w:b w:val="false"/>
          <w:color w:val="000000"/>
          <w:sz w:val="20"/>
        </w:rPr>
        <w:t>0 stock options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awarded during the nine - month period ended September 30, 2024 was $0.1 million, which has been estimated with the following assumptions on the grant date.</w:t>
      </w:r>
    </w:p>
    <w:p>
      <w:pPr>
        <w:pStyle w:val="TextBody"/>
        <w:bidi w:val="0"/>
        <w:spacing w:before="160" w:after="160"/>
        <w:jc w:val="both"/>
        <w:rPr/>
      </w:pPr>
      <w:r>
        <w:rPr/>
      </w:r>
    </w:p>
    <w:tbl>
      <w:tblPr>
        <w:tblW w:w="6071" w:type="dxa"/>
        <w:jc w:val="center"/>
        <w:tblInd w:w="0" w:type="dxa"/>
        <w:tblLayout w:type="fixed"/>
        <w:tblCellMar>
          <w:top w:w="28" w:type="dxa"/>
          <w:left w:w="28" w:type="dxa"/>
          <w:bottom w:w="28" w:type="dxa"/>
          <w:right w:w="28" w:type="dxa"/>
        </w:tblCellMar>
      </w:tblPr>
      <w:tblGrid>
        <w:gridCol w:w="880"/>
        <w:gridCol w:w="773"/>
        <w:gridCol w:w="777"/>
        <w:gridCol w:w="625"/>
        <w:gridCol w:w="625"/>
        <w:gridCol w:w="625"/>
        <w:gridCol w:w="516"/>
        <w:gridCol w:w="516"/>
        <w:gridCol w:w="73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4.25%-4.61%</w:t>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    </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106.07% - 123.31% </w:t>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life (years)    </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5.00-6.00</w:t>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dividend yield    </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val="false"/>
          <w:color w:val="000000"/>
          <w:sz w:val="20"/>
        </w:rPr>
      </w:pPr>
      <w:r>
        <w:rPr>
          <w:rFonts w:ascii="Arial;sans-serif" w:hAnsi="Arial;sans-serif"/>
          <w:b w:val="false"/>
          <w:color w:val="000000"/>
          <w:sz w:val="20"/>
        </w:rPr>
        <w:t xml:space="preserve">During the nine months ended September 30, 2023, the Company awarded 1,525 restricted stock units to its employees and 4,580 restricted stock awards to its officers and directors, pursuant to the plan described above. Both the restricted stock units and restricted stock awards are valued at the closing price $12.56 of the Company's common stock on the grant date, and generally vest over one to four years. Total fair value of the restricted stock awards and restricted stock units awarded during the nine - month period ended September 30, 2023 is $76,679. </w:t>
      </w:r>
    </w:p>
    <w:p>
      <w:pPr>
        <w:pStyle w:val="TextBody"/>
        <w:bidi w:val="0"/>
        <w:spacing w:before="160" w:after="160"/>
        <w:jc w:val="both"/>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following table summarizes stock option activity for employees and non-employees for the nine months ended September 30, 2024 and 2023: </w:t>
      </w:r>
    </w:p>
    <w:tbl>
      <w:tblPr>
        <w:tblW w:w="8809" w:type="dxa"/>
        <w:jc w:val="left"/>
        <w:tblInd w:w="0" w:type="dxa"/>
        <w:tblLayout w:type="fixed"/>
        <w:tblCellMar>
          <w:top w:w="28" w:type="dxa"/>
          <w:left w:w="28" w:type="dxa"/>
          <w:bottom w:w="28" w:type="dxa"/>
          <w:right w:w="28" w:type="dxa"/>
        </w:tblCellMar>
      </w:tblPr>
      <w:tblGrid>
        <w:gridCol w:w="1162"/>
        <w:gridCol w:w="1022"/>
        <w:gridCol w:w="1025"/>
        <w:gridCol w:w="375"/>
        <w:gridCol w:w="376"/>
        <w:gridCol w:w="251"/>
        <w:gridCol w:w="109"/>
        <w:gridCol w:w="109"/>
        <w:gridCol w:w="109"/>
        <w:gridCol w:w="351"/>
        <w:gridCol w:w="1252"/>
        <w:gridCol w:w="183"/>
        <w:gridCol w:w="109"/>
        <w:gridCol w:w="109"/>
        <w:gridCol w:w="109"/>
        <w:gridCol w:w="595"/>
        <w:gridCol w:w="595"/>
        <w:gridCol w:w="596"/>
        <w:gridCol w:w="109"/>
        <w:gridCol w:w="109"/>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w:t>
              <w:br/>
              <w:t>Remaining</w:t>
              <w:br/>
              <w:t>Contractual</w:t>
              <w:br/>
              <w:t>Term (in years)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at December 31, 2022</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13,391 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September 30, 2023</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13,391 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September 30, 2023</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2023</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21,125 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September 30, 2024</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31,554 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September 30, 2024</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September 30, 2024 and 2023, there was approximately $0.1 million and $0.4 million, respectively,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0.75 years.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tbl>
      <w:tblPr>
        <w:tblW w:w="9209" w:type="dxa"/>
        <w:jc w:val="center"/>
        <w:tblInd w:w="0" w:type="dxa"/>
        <w:tblLayout w:type="fixed"/>
        <w:tblCellMar>
          <w:top w:w="28" w:type="dxa"/>
          <w:left w:w="28" w:type="dxa"/>
          <w:bottom w:w="28" w:type="dxa"/>
          <w:right w:w="28" w:type="dxa"/>
        </w:tblCellMar>
      </w:tblPr>
      <w:tblGrid>
        <w:gridCol w:w="271"/>
        <w:gridCol w:w="238"/>
        <w:gridCol w:w="241"/>
        <w:gridCol w:w="2474"/>
        <w:gridCol w:w="2474"/>
        <w:gridCol w:w="351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8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tc>
      </w:tr>
    </w:tbl>
    <w:p>
      <w:pPr>
        <w:pStyle w:val="TextBody"/>
        <w:bidi w:val="0"/>
        <w:spacing w:lineRule="auto" w:line="276" w:before="240" w:after="240"/>
        <w:jc w:val="both"/>
        <w:rPr/>
      </w:pPr>
      <w:r>
        <w:rPr>
          <w:rFonts w:ascii="Arial;sans-serif" w:hAnsi="Arial;sans-serif"/>
          <w:b w:val="false"/>
          <w:i/>
          <w:color w:val="000000"/>
          <w:sz w:val="20"/>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sans-serif" w:hAnsi="Arial;sans-serif"/>
          <w:b w:val="false"/>
          <w:color w:val="000000"/>
          <w:sz w:val="20"/>
        </w:rPr>
        <w:t>Annual Report</w:t>
      </w:r>
      <w:r>
        <w:rPr>
          <w:color w:val="000000"/>
        </w:rPr>
        <w:t xml:space="preserve"> </w:t>
      </w:r>
      <w:r>
        <w:rPr>
          <w:rFonts w:ascii="Arial;sans-serif" w:hAnsi="Arial;sans-serif"/>
          <w:b w:val="false"/>
          <w:i/>
          <w:color w:val="000000"/>
          <w:sz w:val="20"/>
        </w:rPr>
        <w:t xml:space="preserve">on Form 10-K for the year ended December 31, 2023, filed with the SEC on March 22, 2024, as amended on April 22, 2024.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sans-serif" w:hAnsi="Arial;sans-serif"/>
          <w:b w:val="false"/>
          <w:color w:val="000000"/>
          <w:sz w:val="20"/>
        </w:rPr>
        <w:t>Annual Report</w:t>
      </w:r>
      <w:r>
        <w:rPr>
          <w:color w:val="000000"/>
        </w:rPr>
        <w:t xml:space="preserve"> </w:t>
      </w:r>
      <w:r>
        <w:rPr>
          <w:rFonts w:ascii="Arial;sans-serif" w:hAnsi="Arial;sans-serif"/>
          <w:b w:val="false"/>
          <w:i/>
          <w:color w:val="000000"/>
          <w:sz w:val="20"/>
        </w:rPr>
        <w:t>on Form 10-K for the year ended December 31, 2023,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pStyle w:val="TextBody"/>
        <w:bidi w:val="0"/>
        <w:spacing w:lineRule="auto" w:line="276" w:before="0" w:after="240"/>
        <w:jc w:val="both"/>
        <w:rPr>
          <w:rFonts w:ascii="Arial;sans-serif" w:hAnsi="Arial;sans-serif"/>
          <w:b/>
          <w:color w:val="000000"/>
          <w:sz w:val="20"/>
        </w:rPr>
      </w:pPr>
      <w:r>
        <w:rPr>
          <w:rFonts w:ascii="Arial;sans-serif" w:hAnsi="Arial;sans-serif"/>
          <w:b/>
          <w:color w:val="000000"/>
          <w:sz w:val="20"/>
        </w:rPr>
        <w:t>Recent Development</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On July 19, 2024, we announced we decided to close our ongoing Phase 1/2 clinical trial evaluating seclidemstat for Ewing sarcoma, including closing the remaining clinical trial sites. We are terminating the ongoing clinical trial in an effort to conserve cash while our Board of Directors continues its exploration of potential strategic alternatives focused on maximizing shareholder value and potential options to continue the clinical development for Ewing sarcoma in the future. We intend to continue supporting MD Anderson Cancer Center (“MDACC”) in MDACC’s sponsored clinical trial evaluating seclidemstat (SP-2577) in combination with azacitidine in adult patients with myelodysplastic syndromes and chronic myelomonocytic leukemia, which remains on partial clinical hold following a serious and unexpected grade 4 adverse event.</w:t>
      </w:r>
    </w:p>
    <w:p>
      <w:pPr>
        <w:pStyle w:val="TextBody"/>
        <w:bidi w:val="0"/>
        <w:spacing w:lineRule="auto" w:line="276" w:before="0" w:after="240"/>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We are a clinical-stage biopharmaceutical company focused on developing effective treatments for parties with cancer with high, unmet medical need. Specifically, we are concentrated on developing treatments for cancers caused by dysregulated gene expression, i.e., genes which are incorrectly turned on or off. We have two classes of drugs that address gene dysregulation: targeted protein inhibitors and targeted protein degraders. Our technologies have the potential to work in both liquid and solid tumors. Our current pipeline consists of two small molecule drugs: 1) SP-3164, targeted protein degrader, and 2) seclidemstat (SP-2577), a targeted inhibitor. We are located in Houston, Texas. On August 8, 2023, we announced that we retained Canaccord Genuity, LLC to lead a comprehensive review of strategic alternatives focusing on maximizing stockholder value, including but not limited to, an acquisition, merger, reverse merger, divestiture of assets, licensing, or other strategic transactions involving our company. In connection with the evaluation of strategic alternatives and in order to extend our resources, we implemented multiple cost-savings plans to extend our expected cash runway into the first half of 2025.</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We have no products approved for commercial sale and have not generated any revenue from product sales. We have never been profitable and have incurred operating losses in each year since inception. We had an accumulated deficit of $80.5 million as of September 30, 2024. Substantially all of our operating losses resulted from expenses incurred in connection with our research and development programs and from general and administrative costs associated with our operations. As of September 30, 2024, we had cash and cash equivalents of $3.3 million. During the three month ended September 30, 2024, we sold 564,730 shares of our common stock in an ATM offering with gross proceeds of $1.5 million.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believe that there is presently insufficient funding available to allow us to continue our current and planned clinical programs for a period exceeding 12 months from the date of this filing with the SEC.</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The lack of revenue from product sales to date and recurring losses from operations since our inception raise substantial doubt as to our ability to continue as a going concern. We will continue to require substantial additional capital to continue our operations and any clinical development activities that we determine to advance and will need such additional capital within the next several months to continue to fund our operations beyond the first half of 2025. The amount and timing of our future funding requirements will depend on many factors, including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results of our evaluation of strategic alternatives, and our Board’s consideration of potential options to continue the clinical development for Ewing sarcoma in the future. Failure to raise capital as and when needed, on favorable terms or at all, would have a material negative impact on our financial condition and our ability to continue our operations.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We may attempt obtain additional capital through the sale of equity securities in one or more offerings or through issuances of debt instruments, which will likely cause significant dilution to our existing shareholders. We may also consider new collaborations or selectively partnering our technology. However, we cannot provide any assurance that we will be successful in accomplishing any of our plans to obtain additional capital or be able to do so on terms acceptable to us.</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Although we are currently exploring various strategic alternatives, these strategic alternatives may not be successful in the next several months prior to our cash position getting to the point that we will need to pursue the winding down and dissolution of the Company. If we do not raise capital or successfully engage a strategic partner in the next several months, we will be forced to cease operations, liquidate our assets and possibly seek bankruptcy protection or engage in a similar process. </w:t>
      </w:r>
    </w:p>
    <w:p>
      <w:pPr>
        <w:pStyle w:val="TextBody"/>
        <w:bidi w:val="0"/>
        <w:spacing w:lineRule="auto" w:line="276" w:before="0" w:after="240"/>
        <w:jc w:val="both"/>
        <w:rPr>
          <w:rFonts w:ascii="Arial;sans-serif" w:hAnsi="Arial;sans-serif"/>
          <w:b/>
          <w:color w:val="000000"/>
          <w:sz w:val="20"/>
        </w:rPr>
      </w:pPr>
      <w:r>
        <w:rPr>
          <w:rFonts w:ascii="Arial;sans-serif" w:hAnsi="Arial;sans-serif"/>
          <w:b/>
          <w:color w:val="000000"/>
          <w:sz w:val="20"/>
        </w:rPr>
        <w:t>Program Development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goal is to develop SP-3164 and SP-2577 for treatment of cancers; however, due to limited financial and operational resources our Board of Directors continues to explore strategic alternatives to maximize return for investors, which includes selling or out licensing SP-3164 and/or SP-2577 to a third party. We have significantly reduced costs in both programs. </w:t>
      </w:r>
    </w:p>
    <w:p>
      <w:pPr>
        <w:pStyle w:val="TextBody"/>
        <w:bidi w:val="0"/>
        <w:spacing w:lineRule="auto" w:line="276" w:before="0" w:after="240"/>
        <w:jc w:val="both"/>
        <w:rPr>
          <w:rFonts w:ascii="Arial;sans-serif" w:hAnsi="Arial;sans-serif"/>
          <w:b/>
          <w:i/>
          <w:color w:val="000000"/>
          <w:sz w:val="20"/>
        </w:rPr>
      </w:pPr>
      <w:r>
        <w:rPr>
          <w:rFonts w:ascii="Arial;sans-serif" w:hAnsi="Arial;sans-serif"/>
          <w:b/>
          <w:i/>
          <w:color w:val="000000"/>
          <w:sz w:val="20"/>
        </w:rPr>
        <w:t>SP-3164 – Targeted Protein Degradation</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Our plan has been to develop SP-3164 in high unmet need hematological indications and solid tumors. Our goal was to file an IND application with the U.S. Food and Drug Administration for SP-3164 in the first half of 2023, and begin a Phase 1/2 clinical trial in the second half of 2023, however the lack of funding required us to curtail spending necessary to begin the clinical trial program.</w:t>
      </w:r>
    </w:p>
    <w:p>
      <w:pPr>
        <w:pStyle w:val="TextBody"/>
        <w:bidi w:val="0"/>
        <w:spacing w:lineRule="auto" w:line="276" w:before="0" w:after="240"/>
        <w:jc w:val="both"/>
        <w:rPr>
          <w:rFonts w:ascii="Arial;sans-serif" w:hAnsi="Arial;sans-serif"/>
          <w:b/>
          <w:i/>
          <w:color w:val="000000"/>
          <w:sz w:val="20"/>
        </w:rPr>
      </w:pPr>
      <w:r>
        <w:rPr>
          <w:rFonts w:ascii="Arial;sans-serif" w:hAnsi="Arial;sans-serif"/>
          <w:b/>
          <w:i/>
          <w:color w:val="000000"/>
          <w:sz w:val="20"/>
        </w:rPr>
        <w:t>SP-2577 Ewing Sarcoma</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Ewing sarcoma is a devastating pediatric and young adult cancer for which there are no approved targeted therapies. The cause of Ewing sarcoma is a chromosomal translocation involving the Ewing sarcoma breakpoint region 1 (EWSR1) gene and ETS family genes, resulting in expression of a fusion oncoprotein. The resulting oncoprotein has been found to co-localize with LSD1 throughout the genome, making LSD1 an attractive therapeutic target for Ewing sarcoma. Based on data from the National Institute of Health (NIH) and physician collaborators, we believe there are approximately 500 Ewing sarcoma patients diagnosed annually in the United States. Current treatment for Ewing sarcoma consists of an intensive chemotherapy regime, radiation and often disfiguring surgeries. According to published literature, including “Management of recurrent Ewing sarcoma: challenges and approaches” by David Van Mater and Lars Wagner, patients with overt metastasis (20-30% of patients) or recurrent disease (~20%) have poor prognosis, with less than a 30% chance of experiencing disease-free survival, and there is currently not a standardized treatment available for recurrent Ewing sarcoma.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On July 19, 2024, we announced we have determined to close our ongoing Phase 1/2 clinical trial evaluating seclidemstat for Ewing sarcoma, including closing the remaining clinical trial sites. We terminated the ongoing clinical trial in an effort to conserve cash while our Board of Directors continues its exploration of potential strategic alternatives. We intend to continue supporting MDACC in MDACC’s sponsored clinical trial evaluating seclidemstat (SP-2577) in combination with azacitidine in adult patients with myelodysplastic syndromes and chronic myelomonocytic leukemia, which remains on partial clinical hold following a serious and unexpected grade 4 adverse event.</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76" w:before="0" w:after="240"/>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76" w:before="0" w:after="240"/>
        <w:jc w:val="both"/>
        <w:rPr>
          <w:rFonts w:ascii="Arial;sans-serif" w:hAnsi="Arial;sans-serif"/>
          <w:b/>
          <w:i/>
          <w:color w:val="000000"/>
          <w:sz w:val="20"/>
        </w:rPr>
      </w:pPr>
      <w:r>
        <w:rPr>
          <w:rFonts w:ascii="Arial;sans-serif" w:hAnsi="Arial;sans-serif"/>
          <w:b/>
          <w:i/>
          <w:color w:val="000000"/>
          <w:sz w:val="20"/>
        </w:rPr>
        <w:t>Three months ended September 30, 2024 Compared to the Three months ended September 30, 2023</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following table sets forth the condensed consolidated results of our operations for the three months ended September 30, 2024 compared to September 30, 2023. </w:t>
      </w:r>
    </w:p>
    <w:p>
      <w:pPr>
        <w:pStyle w:val="TextBody"/>
        <w:bidi w:val="0"/>
        <w:spacing w:before="0" w:after="240"/>
        <w:jc w:val="both"/>
        <w:rPr/>
      </w:pPr>
      <w:r>
        <w:rPr/>
      </w:r>
    </w:p>
    <w:tbl>
      <w:tblPr>
        <w:tblW w:w="8907" w:type="dxa"/>
        <w:jc w:val="center"/>
        <w:tblInd w:w="0" w:type="dxa"/>
        <w:tblLayout w:type="fixed"/>
        <w:tblCellMar>
          <w:top w:w="28" w:type="dxa"/>
          <w:left w:w="28" w:type="dxa"/>
          <w:bottom w:w="28" w:type="dxa"/>
          <w:right w:w="28" w:type="dxa"/>
        </w:tblCellMar>
      </w:tblPr>
      <w:tblGrid>
        <w:gridCol w:w="1228"/>
        <w:gridCol w:w="1079"/>
        <w:gridCol w:w="1082"/>
        <w:gridCol w:w="253"/>
        <w:gridCol w:w="1029"/>
        <w:gridCol w:w="131"/>
        <w:gridCol w:w="131"/>
        <w:gridCol w:w="131"/>
        <w:gridCol w:w="131"/>
        <w:gridCol w:w="253"/>
        <w:gridCol w:w="1228"/>
        <w:gridCol w:w="131"/>
        <w:gridCol w:w="109"/>
        <w:gridCol w:w="109"/>
        <w:gridCol w:w="109"/>
        <w:gridCol w:w="211"/>
        <w:gridCol w:w="1081"/>
        <w:gridCol w:w="109"/>
        <w:gridCol w:w="109"/>
        <w:gridCol w:w="109"/>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137,234 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1,036,354 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(899,120)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2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869,237 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1,495,831 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(626,594)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 and other</w:t>
            </w:r>
          </w:p>
        </w:tc>
        <w:tc>
          <w:tcPr>
            <w:tcW w:w="12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34,350 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89,369 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972,121</w:t>
            </w:r>
            <w:r>
              <w:rPr>
                <w:color w:val="000000"/>
              </w:rPr>
              <w:t>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2,442,816</w:t>
            </w:r>
            <w:r>
              <w:rPr>
                <w:color w:val="000000"/>
              </w:rPr>
              <w:t>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(1,470,695)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p>
      <w:pPr>
        <w:pStyle w:val="TextBody"/>
        <w:bidi w:val="0"/>
        <w:spacing w:lineRule="auto" w:line="288" w:before="160" w:after="240"/>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Research and development expenses decreased during the three months ended September 30, 2024 compared to the same period in 2023 primarily related to the cost-savings plan implemented in the third quarter of 2023 which included a significant reduction in operating personnel.</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65"/>
        <w:gridCol w:w="1457"/>
        <w:gridCol w:w="1461"/>
        <w:gridCol w:w="211"/>
        <w:gridCol w:w="751"/>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56"/>
      </w:tblGrid>
      <w:tr>
        <w:trPr/>
        <w:tc>
          <w:tcPr>
            <w:tcW w:w="176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SP-2577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SP-3164</w:t>
            </w:r>
          </w:p>
        </w:tc>
      </w:tr>
      <w:tr>
        <w:trPr/>
        <w:tc>
          <w:tcPr>
            <w:tcW w:w="46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Research and development costs by candidates and by categories:</w:t>
            </w:r>
          </w:p>
        </w:tc>
        <w:tc>
          <w:tcPr>
            <w:tcW w:w="55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r>
      <w:tr>
        <w:trPr/>
        <w:tc>
          <w:tcPr>
            <w:tcW w:w="4683" w:type="dxa"/>
            <w:gridSpan w:val="3"/>
            <w:vMerge w:val="continue"/>
            <w:tcBorders/>
            <w:tcMar>
              <w:top w:w="0" w:type="dxa"/>
              <w:left w:w="0" w:type="dxa"/>
              <w:bottom w:w="0" w:type="dxa"/>
              <w:right w:w="0" w:type="dxa"/>
            </w:tcMar>
            <w:vAlign w:val="center"/>
          </w:tcPr>
          <w:p>
            <w:pPr>
              <w:pStyle w:val="Normal"/>
              <w:bidi w:val="0"/>
              <w:jc w:val="left"/>
              <w:rPr/>
            </w:pPr>
            <w:r>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Outsourced research and development costs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103,541 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costs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104,503 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and laboratory costs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research and development costs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89,033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671,708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48,201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364,646</w:t>
            </w:r>
            <w:r>
              <w:rPr>
                <w:color w:val="000000"/>
              </w:rPr>
              <w:t>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General and administrative expenses were $0.9 million during the three months ended September 30, 2024, compared to $1.5 million for the three months ended September 30, 2023. The decrease is related to cost savings plan activities put in place in the third quarter of 2023 including lower personnel cost, insurance expense, and facility costs that were offset by higher legal expenses.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240"/>
        <w:jc w:val="both"/>
        <w:rPr>
          <w:rFonts w:ascii="Arial;sans-serif" w:hAnsi="Arial;sans-serif"/>
          <w:b/>
          <w:i/>
          <w:color w:val="000000"/>
          <w:sz w:val="20"/>
        </w:rPr>
      </w:pPr>
      <w:r>
        <w:rPr>
          <w:rFonts w:ascii="Arial;sans-serif" w:hAnsi="Arial;sans-serif"/>
          <w:b/>
          <w:i/>
          <w:color w:val="000000"/>
          <w:sz w:val="20"/>
        </w:rPr>
        <w:t>Nine months ended September 30, 2024 Compared to Nine months ended September 30, 2023</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 following table sets forth the condensed consolidated results of our operations for the nine months ended September 30, 2024 compared to September 30, 2023.</w:t>
      </w:r>
    </w:p>
    <w:tbl>
      <w:tblPr>
        <w:tblW w:w="8803" w:type="dxa"/>
        <w:jc w:val="left"/>
        <w:tblInd w:w="0" w:type="dxa"/>
        <w:tblLayout w:type="fixed"/>
        <w:tblCellMar>
          <w:top w:w="28" w:type="dxa"/>
          <w:left w:w="28" w:type="dxa"/>
          <w:bottom w:w="28" w:type="dxa"/>
          <w:right w:w="28" w:type="dxa"/>
        </w:tblCellMar>
      </w:tblPr>
      <w:tblGrid>
        <w:gridCol w:w="1228"/>
        <w:gridCol w:w="1079"/>
        <w:gridCol w:w="1082"/>
        <w:gridCol w:w="224"/>
        <w:gridCol w:w="1087"/>
        <w:gridCol w:w="116"/>
        <w:gridCol w:w="116"/>
        <w:gridCol w:w="116"/>
        <w:gridCol w:w="116"/>
        <w:gridCol w:w="224"/>
        <w:gridCol w:w="1199"/>
        <w:gridCol w:w="116"/>
        <w:gridCol w:w="109"/>
        <w:gridCol w:w="109"/>
        <w:gridCol w:w="109"/>
        <w:gridCol w:w="211"/>
        <w:gridCol w:w="1081"/>
        <w:gridCol w:w="109"/>
        <w:gridCol w:w="109"/>
        <w:gridCol w:w="109"/>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594,683 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7,113,794 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(6,519,111)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3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3,650,920 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4,810,449 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(1,159,529)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 and other</w:t>
            </w:r>
          </w:p>
        </w:tc>
        <w:tc>
          <w:tcPr>
            <w:tcW w:w="13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133,759 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263,346 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4,111,844</w:t>
            </w:r>
            <w:r>
              <w:rPr>
                <w:color w:val="000000"/>
              </w:rPr>
              <w:t>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11,660,897</w:t>
            </w:r>
            <w:r>
              <w:rPr>
                <w:color w:val="000000"/>
              </w:rPr>
              <w:t>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(7,549,053)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76" w:before="160" w:after="240"/>
        <w:jc w:val="both"/>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68" w:before="0" w:after="0"/>
        <w:jc w:val="both"/>
        <w:rPr/>
      </w:pPr>
      <w:r>
        <w:rPr>
          <w:rFonts w:ascii="Arial;sans-serif" w:hAnsi="Arial;sans-serif"/>
          <w:b w:val="false"/>
          <w:color w:val="000000"/>
          <w:sz w:val="20"/>
        </w:rPr>
        <w:t>Research and development expenses decreased during the nine</w:t>
      </w:r>
      <w:r>
        <w:rPr>
          <w:color w:val="000000"/>
        </w:rPr>
        <w:t xml:space="preserve"> </w:t>
      </w:r>
      <w:r>
        <w:rPr>
          <w:rFonts w:ascii="Arial;sans-serif" w:hAnsi="Arial;sans-serif"/>
          <w:b w:val="false"/>
          <w:color w:val="000000"/>
          <w:sz w:val="20"/>
        </w:rPr>
        <w:t>months ended September 30, 2024 compared to the same period in 2023 primarily related to the cost-savings plan implemented in the third quarter of 2023 which included a significant reduction in operating personnel.</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93"/>
        <w:gridCol w:w="1274"/>
        <w:gridCol w:w="1277"/>
        <w:gridCol w:w="211"/>
        <w:gridCol w:w="856"/>
        <w:gridCol w:w="109"/>
        <w:gridCol w:w="109"/>
        <w:gridCol w:w="109"/>
        <w:gridCol w:w="109"/>
        <w:gridCol w:w="211"/>
        <w:gridCol w:w="1021"/>
        <w:gridCol w:w="109"/>
        <w:gridCol w:w="109"/>
        <w:gridCol w:w="109"/>
        <w:gridCol w:w="109"/>
        <w:gridCol w:w="211"/>
        <w:gridCol w:w="856"/>
        <w:gridCol w:w="109"/>
        <w:gridCol w:w="109"/>
        <w:gridCol w:w="109"/>
        <w:gridCol w:w="109"/>
        <w:gridCol w:w="211"/>
        <w:gridCol w:w="1021"/>
        <w:gridCol w:w="155"/>
      </w:tblGrid>
      <w:tr>
        <w:trPr/>
        <w:tc>
          <w:tcPr>
            <w:tcW w:w="159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SP-2577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SP-3164</w:t>
            </w:r>
          </w:p>
        </w:tc>
      </w:tr>
      <w:tr>
        <w:trPr/>
        <w:tc>
          <w:tcPr>
            <w:tcW w:w="41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Research and development costs by candidates and by categories:</w:t>
            </w:r>
          </w:p>
        </w:tc>
        <w:tc>
          <w:tcPr>
            <w:tcW w:w="60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4144"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Outsourced research and development costs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258,417 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1,432,648 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2,647,128 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costs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1,539,865 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207,569 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and laboratory costs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1,168,434 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research and development costs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333,622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3,090,663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261,061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4,023,131</w:t>
            </w: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160" w:after="160"/>
        <w:jc w:val="both"/>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76" w:before="160" w:after="160"/>
        <w:jc w:val="both"/>
        <w:rPr/>
      </w:pPr>
      <w:r>
        <w:rPr>
          <w:rFonts w:ascii="Arial;sans-serif" w:hAnsi="Arial;sans-serif"/>
          <w:b w:val="false"/>
          <w:color w:val="000000"/>
          <w:sz w:val="20"/>
        </w:rPr>
        <w:t>General and administrative expenses were $3.7 million during the nine months ended September 30, 2024, compared to $4.8 million for the nine months ended September 30, 2023. The decrease is related to cost savings plan activities put in place in the third quarter of 2023 including lower personnel cost, a one-time reduction of bad debt expense, lower insurance and facility expenses, which were partially offset by contractual separation costs of $0.5 million incurred and paid during the nine month period ended September 30, 2024 i</w:t>
      </w:r>
      <w:r>
        <w:rPr>
          <w:rFonts w:ascii="Arial;sans-serif" w:hAnsi="Arial;sans-serif"/>
          <w:b w:val="false"/>
          <w:color w:val="000000"/>
          <w:sz w:val="20"/>
          <w:shd w:fill="FFFFFF" w:val="clear"/>
        </w:rPr>
        <w:t xml:space="preserve">n connection with our President and Chief Executive Officer ending his full-time employment and transitioning to a part-time consultant role, effective February 20, 2024 and slightly higher legal costs compared to the same period in the prior year. </w:t>
      </w:r>
    </w:p>
    <w:p>
      <w:pPr>
        <w:pStyle w:val="TextBody"/>
        <w:bidi w:val="0"/>
        <w:spacing w:before="16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4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Since inception, we have incurred operating losses and we anticipate that we will continue to incur losses for the foreseeable future. In August 2023, we commenced a process to explore and evaluate strategic alternatives to enhance shareholder value, which could result in a fundamental transaction as defined by certain of our outstanding warrants to purchase shares of our common stock. The terms of certain of the outstanding warrants require us, upon the consummation of any fundamental transaction to, among other obligations, cause any successor entity resulting from the fundamental transaction to assume our obligations under the warrants and the associated transaction documents. In addition, holders of warrants are entitled to participate in any fundamental transaction on an as-converted or as-exercised basis, which could result in the holders of our common stock receiving a lesser portion of the consideration from a fundamental transaction. In addition, certain of our outstanding warrants provide that, in the event of a fundamental transaction that is approved by our board of directors, the holders of such warrants have the option to require us to pay to such holders an amount of cash equal to the Black-Scholes value of the warrants. Such amount could be significantly more than the warrant holders would otherwise receive if they were to exercise their warrants and receive the same consideration as the other holders of common stock, which in turn could reduce the consideration that holders of common stock would be concurrently entitled to receive in such fundamental transaction. The terms of the warrants could also impede our ability to enter into certain transactions or obtain additional financing in the future. In conjunction with our exploration of strategic alternatives, we are exploring opportunities to extend our resources.</w:t>
      </w:r>
    </w:p>
    <w:p>
      <w:pPr>
        <w:pStyle w:val="TextBody"/>
        <w:bidi w:val="0"/>
        <w:spacing w:lineRule="auto" w:line="288" w:before="0" w:after="0"/>
        <w:jc w:val="both"/>
        <w:rPr/>
      </w:pPr>
      <w:r>
        <w:rPr>
          <w:rFonts w:ascii="Arial;sans-serif" w:hAnsi="Arial;sans-serif"/>
          <w:b w:val="false"/>
          <w:color w:val="000000"/>
          <w:sz w:val="20"/>
        </w:rPr>
        <w:t>As of September 30, 2024, cash and cash equivalents totaled $3.3 million, which were held in bank deposit accounts and a money market account. Working capital totaled $2.9 million as of September 30, 2024. Our cash and cash equivalents balance decreased during the nine months ended September 30, 2024, primarily due to cash used in operating activities. We believe that our $3.3 million in cash and cash equivalents on hand as of September 30, 2024 is sufficient to fund our current and restructured operations into the first half of 2025. Our stockholders' equity balance was $2.9</w:t>
      </w:r>
      <w:r>
        <w:rPr>
          <w:color w:val="000000"/>
        </w:rPr>
        <w:t xml:space="preserve"> </w:t>
      </w:r>
      <w:r>
        <w:rPr>
          <w:rFonts w:ascii="Arial;sans-serif" w:hAnsi="Arial;sans-serif"/>
          <w:b w:val="false"/>
          <w:color w:val="000000"/>
          <w:sz w:val="20"/>
        </w:rPr>
        <w:t xml:space="preserve">million </w:t>
      </w:r>
      <w:r>
        <w:rPr>
          <w:rFonts w:ascii="Times New Roman;sans-serif" w:hAnsi="Times New Roman;sans-serif"/>
          <w:b w:val="false"/>
          <w:color w:val="000000"/>
          <w:sz w:val="20"/>
        </w:rPr>
        <w:t xml:space="preserve">at </w:t>
      </w:r>
      <w:r>
        <w:rPr>
          <w:rFonts w:ascii="Arial;sans-serif" w:hAnsi="Arial;sans-serif"/>
          <w:b w:val="false"/>
          <w:color w:val="000000"/>
          <w:sz w:val="20"/>
        </w:rPr>
        <w:t xml:space="preserve">September 30, 2024. </w:t>
      </w:r>
    </w:p>
    <w:p>
      <w:pPr>
        <w:pStyle w:val="TextBody"/>
        <w:bidi w:val="0"/>
        <w:spacing w:before="0" w:after="0"/>
        <w:jc w:val="left"/>
        <w:rPr/>
      </w:pPr>
      <w:r>
        <w:rPr/>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To provide the maximum degree of financial flexibility, and subject to our exploration of strategic alternatives, we may consider various potential opportunities to fund future operations and/or modulate liquidity needs, including: (i) seeking various strategic transactions, including a merger, licensing arrangement or sale that provide funding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programs; (ii) entering into one or more collaborations to offset costs; (iii) reducing our expenditures on all business activities and/or restructuring our operations and reducing staff. If we are unable to execute on these activities, we may be forced to evaluate additional alternatives including a wind down of our operations.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do not expect to generate any revenue from product sales unless and until we obtain regulatory approval for and commercialize our product candidate. At the same time, in connection with our exploration of strategic alternatives, we expect to continue to incur significant expenses and expect that our operating losses may fluctuate significantly from quarter-to-quarter and year-to-year.</w:t>
      </w:r>
    </w:p>
    <w:p>
      <w:pPr>
        <w:pStyle w:val="TextBody"/>
        <w:bidi w:val="0"/>
        <w:spacing w:before="0" w:after="0"/>
        <w:jc w:val="left"/>
        <w:rPr/>
      </w:pPr>
      <w:r>
        <w:rPr/>
      </w:r>
    </w:p>
    <w:p>
      <w:pPr>
        <w:pStyle w:val="TextBody"/>
        <w:bidi w:val="0"/>
        <w:spacing w:lineRule="auto" w:line="288" w:before="0" w:after="240"/>
        <w:jc w:val="both"/>
        <w:rPr/>
      </w:pPr>
      <w:r>
        <w:rPr>
          <w:rFonts w:ascii="Arial;sans-serif" w:hAnsi="Arial;sans-serif"/>
          <w:b w:val="false"/>
          <w:color w:val="000000"/>
          <w:sz w:val="20"/>
        </w:rPr>
        <w:t>To date, we have secured capital from the sale of equity and grant revenue. Until we can generate a sufficient amount of revenue from our products, if ever, we intend, when required,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favorable terms acceptable to us. If we are unable to obtain additional financing, we may be required to significantly delay, scale back or discontinue the development or commercialization of our product candidate.</w:t>
      </w:r>
      <w:r>
        <w:rPr>
          <w:color w:val="000000"/>
        </w:rPr>
        <w:t xml:space="preserve"> </w:t>
      </w:r>
      <w:r>
        <w:rPr>
          <w:rFonts w:ascii="Arial;sans-serif" w:hAnsi="Arial;sans-serif"/>
          <w:b w:val="false"/>
          <w:color w:val="000000"/>
          <w:sz w:val="20"/>
        </w:rPr>
        <w:t xml:space="preserve">Furthermore, we may be unable to complete a collaboration, or if we do, we may be forced to relinquish valuable future product rights. </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Although we are currently exploring various strategic alternatives, these strategic alternatives may not be successful prior to our cash position getting to the point that we will need to pursue the winding down and dissolution of the Company. If we do not raise capital or successfully engage a strategic partner in the next several months, we will be forced to cease operations, liquidate our assets and possibly seek bankruptcy protection or engage in a similar process.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Flows</w:t>
      </w:r>
    </w:p>
    <w:tbl>
      <w:tblPr>
        <w:tblW w:w="7226" w:type="dxa"/>
        <w:jc w:val="left"/>
        <w:tblInd w:w="0" w:type="dxa"/>
        <w:tblLayout w:type="fixed"/>
        <w:tblCellMar>
          <w:top w:w="28" w:type="dxa"/>
          <w:left w:w="28" w:type="dxa"/>
          <w:bottom w:w="28" w:type="dxa"/>
          <w:right w:w="28" w:type="dxa"/>
        </w:tblCellMar>
      </w:tblPr>
      <w:tblGrid>
        <w:gridCol w:w="1397"/>
        <w:gridCol w:w="1230"/>
        <w:gridCol w:w="1243"/>
        <w:gridCol w:w="216"/>
        <w:gridCol w:w="1108"/>
        <w:gridCol w:w="111"/>
        <w:gridCol w:w="111"/>
        <w:gridCol w:w="111"/>
        <w:gridCol w:w="111"/>
        <w:gridCol w:w="216"/>
        <w:gridCol w:w="1215"/>
        <w:gridCol w:w="157"/>
      </w:tblGrid>
      <w:tr>
        <w:trPr/>
        <w:tc>
          <w:tcPr>
            <w:tcW w:w="139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in:</w:t>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(3,782,819)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(11,334,908)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Financing activities</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1,166,938 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6,809,061 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(2,615,881)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(4,525,847)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Operating Activities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Net cash used in operating activities was $3.8 million in the current period, a decrease of approximately $7.6 million from the same period a year ago. The decrease is primarily due to significantly reduced operating expenses and a significant reduction of accounts payable balance during the current period compared to the same period last year. </w:t>
      </w:r>
    </w:p>
    <w:p>
      <w:pPr>
        <w:pStyle w:val="TextBody"/>
        <w:bidi w:val="0"/>
        <w:spacing w:before="0" w:after="0"/>
        <w:jc w:val="left"/>
        <w:rPr/>
      </w:pPr>
      <w:r>
        <w:rPr/>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Financing Activities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Net cash provided by financing activities for the nine months ended September 30, 2024 was $1.2 million, mainly resulting from the Company's sale of common shares under the ATM program offset by the repayments on notes payable for D&amp;O insurance. Net cash provided by financing activities for the nine months ended September 30, 2023 was $6.8 million, resulting from the Company's sale of common shares under its ATM offering and Purchase Agreement . Please refer to Notes 4 and 7 for more information.</w:t>
      </w:r>
    </w:p>
    <w:p>
      <w:pPr>
        <w:pStyle w:val="TextBody"/>
        <w:bidi w:val="0"/>
        <w:spacing w:before="0" w:after="0"/>
        <w:jc w:val="left"/>
        <w:rPr/>
      </w:pPr>
      <w:r>
        <w:rPr/>
      </w:r>
    </w:p>
    <w:p>
      <w:pPr>
        <w:pStyle w:val="TextBody"/>
        <w:bidi w:val="0"/>
        <w:spacing w:lineRule="auto" w:line="247" w:before="0" w:after="0"/>
        <w:jc w:val="left"/>
        <w:rPr>
          <w:rFonts w:ascii="Arial;sans-serif" w:hAnsi="Arial;sans-serif"/>
          <w:b/>
          <w:i/>
          <w:color w:val="000000"/>
          <w:sz w:val="20"/>
        </w:rPr>
      </w:pPr>
      <w:r>
        <w:rPr>
          <w:rFonts w:ascii="Arial;sans-serif" w:hAnsi="Arial;sans-serif"/>
          <w:b/>
          <w:i/>
          <w:color w:val="000000"/>
          <w:sz w:val="20"/>
        </w:rPr>
        <w:t>Critical Accounting Policies and Estimates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There have been no material changes to our critical accounting policies from those described in "Management's Discussion and Analysis of Financial Condition and Results of Operations" included in our Annual Report on Form 10-K filed with SEC on March 22, 2024, as amended on April 22, 2024.</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Readers should refer to our Annual Report on Form 10-K, Note 2, Basis of Presentation and Significant Accounting Policies to the accompanying financial statements for descriptions of these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344" w:type="dxa"/>
        <w:jc w:val="center"/>
        <w:tblInd w:w="0" w:type="dxa"/>
        <w:tblLayout w:type="fixed"/>
        <w:tblCellMar>
          <w:top w:w="28" w:type="dxa"/>
          <w:left w:w="28" w:type="dxa"/>
          <w:bottom w:w="28" w:type="dxa"/>
          <w:right w:w="28" w:type="dxa"/>
        </w:tblCellMar>
      </w:tblPr>
      <w:tblGrid>
        <w:gridCol w:w="271"/>
        <w:gridCol w:w="238"/>
        <w:gridCol w:w="241"/>
        <w:gridCol w:w="1637"/>
        <w:gridCol w:w="1637"/>
        <w:gridCol w:w="232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Quantitative and Qualitative Disclosures about Market Risk</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are a smaller reporting company as defined by Rule 12b-2 of the Securities Exchange Act of 1934, as amended, and are not required to provide the information under this item.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83" w:type="dxa"/>
        <w:jc w:val="center"/>
        <w:tblInd w:w="0" w:type="dxa"/>
        <w:tblLayout w:type="fixed"/>
        <w:tblCellMar>
          <w:top w:w="28" w:type="dxa"/>
          <w:left w:w="28" w:type="dxa"/>
          <w:bottom w:w="28" w:type="dxa"/>
          <w:right w:w="28" w:type="dxa"/>
        </w:tblCellMar>
      </w:tblPr>
      <w:tblGrid>
        <w:gridCol w:w="292"/>
        <w:gridCol w:w="257"/>
        <w:gridCol w:w="260"/>
        <w:gridCol w:w="724"/>
        <w:gridCol w:w="724"/>
        <w:gridCol w:w="1026"/>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Controls and Procedures</w:t>
            </w:r>
          </w:p>
        </w:tc>
      </w:tr>
    </w:tbl>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principal financial officer, evaluated the effectiveness of our disclosure controls and procedures, as defined in Rules 13a-15(e) and 15d-15(e) under the Exchange Act, as of September 30, 2024.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2024, our principal executive officer and principal financial officer concluded that, as of such date, our disclosure controls and procedures were effective at the reasonable assurance level.</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September 30, 2024, there was no significant change in our internal control over financial reporting that has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74" w:type="dxa"/>
        <w:jc w:val="center"/>
        <w:tblInd w:w="0" w:type="dxa"/>
        <w:tblLayout w:type="fixed"/>
        <w:tblCellMar>
          <w:top w:w="28" w:type="dxa"/>
          <w:left w:w="28" w:type="dxa"/>
          <w:bottom w:w="28" w:type="dxa"/>
          <w:right w:w="28" w:type="dxa"/>
        </w:tblCellMar>
      </w:tblPr>
      <w:tblGrid>
        <w:gridCol w:w="271"/>
        <w:gridCol w:w="238"/>
        <w:gridCol w:w="241"/>
        <w:gridCol w:w="504"/>
        <w:gridCol w:w="504"/>
        <w:gridCol w:w="716"/>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Legal Proceedings</w:t>
            </w:r>
          </w:p>
        </w:tc>
      </w:tr>
    </w:tbl>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212529"/>
          <w:sz w:val="20"/>
          <w:shd w:fill="FFFFFF" w:val="clear"/>
        </w:rPr>
      </w:pPr>
      <w:r>
        <w:rPr>
          <w:rFonts w:ascii="Arial;sans-serif" w:hAnsi="Arial;sans-serif"/>
          <w:b w:val="false"/>
          <w:color w:val="212529"/>
          <w:sz w:val="20"/>
          <w:shd w:fill="FFFFFF" w:val="clear"/>
        </w:rPr>
        <w:t>We are not a party to any material legal proceedings on the date of this report. We may from time to time become involved in legal proceedings arising in the ordinary course of business, and the resolution of any such claims could be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90" w:type="dxa"/>
        <w:jc w:val="center"/>
        <w:tblInd w:w="0" w:type="dxa"/>
        <w:tblLayout w:type="fixed"/>
        <w:tblCellMar>
          <w:top w:w="28" w:type="dxa"/>
          <w:left w:w="28" w:type="dxa"/>
          <w:bottom w:w="28" w:type="dxa"/>
          <w:right w:w="28" w:type="dxa"/>
        </w:tblCellMar>
      </w:tblPr>
      <w:tblGrid>
        <w:gridCol w:w="320"/>
        <w:gridCol w:w="281"/>
        <w:gridCol w:w="284"/>
        <w:gridCol w:w="382"/>
        <w:gridCol w:w="382"/>
        <w:gridCol w:w="541"/>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Risk Factors</w:t>
            </w:r>
          </w:p>
        </w:tc>
      </w:tr>
    </w:tbl>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212529"/>
          <w:sz w:val="20"/>
          <w:shd w:fill="FFFFFF" w:val="clear"/>
        </w:rPr>
      </w:pPr>
      <w:r>
        <w:rPr>
          <w:rFonts w:ascii="Arial;sans-serif" w:hAnsi="Arial;sans-serif"/>
          <w:b w:val="false"/>
          <w:color w:val="212529"/>
          <w:sz w:val="20"/>
          <w:shd w:fill="FFFFFF" w:val="clear"/>
        </w:rPr>
        <w:t>Except as set forth below, there have been no material changes in our risk factors set forth in Part I, “ Item 1A. Risk Factors” in our 2023 Form 10-K. The risk factors disclosed in Part I, “ Item 1A. Risk Factors” in our 2023 Form 10-K as supplemented by the risk factors below could materially adversely affect our business, financial condition, or results of operations. This Quarterly Report on Form 10-Q also contains forward-looking statements that involve risks and uncertainties. Our actual results could differ materially from those anticipated in these forward-looking statements as a result of certain factors, including these risks. Additional risks not currently known or currently material to us may also harm our business.</w:t>
      </w:r>
    </w:p>
    <w:p>
      <w:pPr>
        <w:pStyle w:val="TextBody"/>
        <w:bidi w:val="0"/>
        <w:spacing w:before="0" w:after="0"/>
        <w:jc w:val="both"/>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Risks Related to our Financial Position and Capital Needs and Company</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 xml:space="preserve">We do not currently have sufficient working capital to fund our planned operations for the next twelve months and may not be able to continue as a going concern. There is uncertainty regarding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maintain liquidity sufficient to operate our business, which raises substantial doubt about our ability to continue as a going concern.</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do not currently have adequate financial resources to fund our forecasted operating costs for at least twelve months from the filing of this report. As of September 30, 2024, our cash and cash equivalents totaled $3.3 million, which were held in bank deposit accounts and a money market account. September 30, 2024, we have incurred an accumulated deficit of $80.5 million. For the nine months ended September 30, 2024, we reported net losses of $4.1 million. As a result, we believe our existing cash resources are sufficient to meet our anticipated needs into the first half of 2025, even after taking into account our significantly reduced operations, we would need to raise additional capital in the next several months in order to avoid a wind down and dissolution of our company. Our auditor’s report on our financial statements for the year ended December 31, 2023 includes an explanatory paragraph related to the existence of substantial doubt about our ability to continue as a going concern. Our ability to continue as a going concern is dependent upon our ability to obtain additional equity or debt financing, attain further operating efficiencies, reduce expenditures, and, ultimately, to generate revenue. Since inception, we have incurred net losses and negative cash flows from operations. We may not ever obtain additional financing. Our existing cash and cash equivalents will not be sufficient to enable us to continue the clinical development and commercialization of our product candidates for any indications or to in license any other product candidates and develop them. Although we are currently exploring various strategic alternatives, these strategic alternatives may not be successful in the next several months prior to our cash position getting to the point that we will need to pursue the winding down and dissolution of our company. If we do not raise capital in the next several months or engage a strategic partner, we will be forced to cease operations and liquidate our assets and seek bankruptcy protection or engage in a similar process. As such, we cannot conclude that such plans will be effectively implemented within one year after the date of this prospectus and there is uncertainty regarding our ability to maintain liquidity sufficient to operate our business effectively, which raises substantial doubt about our ability to continue as a going concern.</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If we do not successfully complete a strategic transaction or raise additional capital, we will need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There can be no guarantee that the process to identify a strategic transaction will result in a successfully completed transaction. If no strategic transaction is completed and we are unable to raise additional capital in the next several months, we will be forced to cease operations, liquidate assets and possibly seek bankruptcy protection or engage in a similar process. In that event, the amount of cash available for distribution to our stockholders will depend heavily on the timing of such decision and, ultimately, such liquidation, since the amount of cash available for distribution continues to decrease as we fund our operations and evaluate our strategic alternatives. In addition, if our board of directors were to approve and recommend, and our stockholders were to approve, a dissolution of our company,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could lose all or a significant portion of their investment in the event of a dissolution, liquidation or winding up of our company.</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Our common stock may be subject to delisting from Nasdaq.</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Our common stock is currently listed on the Nasdaq Capital Market, or Nasdaq. To maintain our listing on Nasdaq, we are required to maintain: (i) a minimum bid price of $1.00 per share, (ii) a market value of publicly held securities of $1 million, (iii) a certain number of round lot stockholders and (iv) one of the following: a net income from continuing operations (in the latest fiscal year or two of the three last fiscal years) of at least $500,000, a market value of listed securities of at least $35 million or a stockholders' equity of at least $2.5 million (the "Stockholders' Equity Requirement). Nasdaq has the authority to delist our common stock if we fail to maintain these minimum requirements. In addition, Nasdaq may delist us if, based on Nasdaq’s review of our company and pursuant to Nasdaq Listing Rule 5101, Nasdaq believes that we are a “public shell” and that the continued listing of our securities in no longer warranted. We have no current plans to delist our shares of common stock from Nasdaq. However, following the decision to close the clinical development of seclidemstat for Ewing sarcoma, we may be treated as a public shell under Nasdaq rules. Although Nasdaq evaluates whether a listed company is a public shell company based on a facts and circumstances determination, a Nasdaq-listed company with no or nominal operations and either no or nominal assets, assets consisting solely of cash and cash equivalents, or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consisting of any amount of cash and cash equivalents and nominal other assets is generally considered to be a public shell company. Listed companies determined to be public shell companies by Nasdaq may be subject to delisting proceedings or additional and more stringent listing criteria.</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On August 9, 2024, we reported in our Quarterly Report on Form 10-Q (“Form 10-Q”) that for the three months ended June 30, 2024, our stockholders’ equity was approximately $2.3 million. As further disclosed in the Form 10-Q, subsequent to June 30, 2024, the Company sold 564,730 shares of its common stock for gross proceeds of approximately $1.5 million pursuant to that certain At the Market Offering Agreement, dated as of February 5, 2021, with Ladenburg Thalmann &amp; Co. Inc. (the “ATM Financing Transaction”). On August 13, 2024 we reported via Current Report on Form 8-K that we regained compliance with the Stockholders’ Equity Requirement after giving effect to the ATM Financing Transaction. Notwithstanding the foregoing, Nasdaq will continue to monitor our ongoing compliance with the Stockholders’ Equity Requirement and, if at the time of the next periodic report the Company does not evidence compliance, the Company’s common stock may be subject to delisting.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are actively monitoring the market value of our publicly held securities and our stockholders’ equity and will consider any and all options available to us to maintain compliance. There can be no assurance, however, that we will be able to maintain compliance and meet Nasdaq’s continued listing requirements.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If our common stock is delisted from Nasdaq, whether because Nasdaq determines we are a “public shell” or we fail to maintain compliance with the continued listed requirements, or otherwise, our securities may qualify for trading over-the-counter, or OTC, in the United States on a market colloquially referred to as the “Pink Sheets.” Securities quoted on OTC are generally subject to lesser requirements than securities listed for trading on a U.S. national stock exchange, such as Nasdaq, including reduced corporate governance and public reporting standards. If Nasdaq should delist our common stock from trading, a reduction in some or all of the following may occur, each of which could have a material adverse effect on holders of our common stock: the liquidity of our common stock; the market price of the common stock; the number of institutional and general investors that will consider investing in the common stock; the number of investors in general that will consider investing in the common stock; the number of market makers in our common stock; the availability of information concerning the trading prices and volume of the common stock; and the number of broker-dealers willing to execute trades in our common stock. In addition to the foregoing, there are certain consequences under the Securities Act of being a public shell company, including the unavailability of Rule 144 thereunder for the resale of restricted securities and the inability to utilize Form S-8 for the registration of employee benefit plan securities.</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49" w:type="dxa"/>
        <w:jc w:val="left"/>
        <w:tblInd w:w="0" w:type="dxa"/>
        <w:tblLayout w:type="fixed"/>
        <w:tblCellMar>
          <w:top w:w="28" w:type="dxa"/>
          <w:left w:w="28" w:type="dxa"/>
          <w:bottom w:w="28" w:type="dxa"/>
          <w:right w:w="28" w:type="dxa"/>
        </w:tblCellMar>
      </w:tblPr>
      <w:tblGrid>
        <w:gridCol w:w="255"/>
        <w:gridCol w:w="223"/>
        <w:gridCol w:w="226"/>
        <w:gridCol w:w="1507"/>
        <w:gridCol w:w="1507"/>
        <w:gridCol w:w="2131"/>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 and Use of Proceeds</w:t>
            </w:r>
          </w:p>
        </w:tc>
      </w:tr>
    </w:tbl>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212529"/>
          <w:sz w:val="20"/>
          <w:shd w:fill="FFFFFF" w:val="clear"/>
        </w:rPr>
      </w:pPr>
      <w:r>
        <w:rPr>
          <w:rFonts w:ascii="Arial;sans-serif" w:hAnsi="Arial;sans-serif"/>
          <w:b w:val="false"/>
          <w:color w:val="212529"/>
          <w:sz w:val="20"/>
          <w:shd w:fill="FFFFFF" w:val="clear"/>
        </w:rPr>
        <w:t xml:space="preserve">No sales or issuances of unregistered securities occurred that have not previously been disclosed in a Current Report on Form 8-K.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09" w:type="dxa"/>
        <w:jc w:val="left"/>
        <w:tblInd w:w="0" w:type="dxa"/>
        <w:tblLayout w:type="fixed"/>
        <w:tblCellMar>
          <w:top w:w="28" w:type="dxa"/>
          <w:left w:w="28" w:type="dxa"/>
          <w:bottom w:w="28" w:type="dxa"/>
          <w:right w:w="28" w:type="dxa"/>
        </w:tblCellMar>
      </w:tblPr>
      <w:tblGrid>
        <w:gridCol w:w="255"/>
        <w:gridCol w:w="223"/>
        <w:gridCol w:w="226"/>
        <w:gridCol w:w="819"/>
        <w:gridCol w:w="819"/>
        <w:gridCol w:w="1167"/>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28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Defaults Upon Senior Securities</w:t>
            </w:r>
          </w:p>
        </w:tc>
      </w:tr>
    </w:tbl>
    <w:p>
      <w:pPr>
        <w:pStyle w:val="TextBody"/>
        <w:bidi w:val="0"/>
        <w:spacing w:lineRule="auto" w:line="276" w:before="0" w:after="0"/>
        <w:jc w:val="both"/>
        <w:rPr>
          <w:rFonts w:ascii="Arial;sans-serif" w:hAnsi="Arial;sans-serif"/>
          <w:b w:val="false"/>
          <w:color w:val="212529"/>
          <w:sz w:val="20"/>
          <w:shd w:fill="FFFFFF" w:val="clear"/>
        </w:rPr>
      </w:pPr>
      <w:r>
        <w:rPr>
          <w:rFonts w:ascii="Arial;sans-serif" w:hAnsi="Arial;sans-serif"/>
          <w:b w:val="false"/>
          <w:color w:val="212529"/>
          <w:sz w:val="20"/>
          <w:shd w:fill="FFFFFF" w:val="clear"/>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64" w:type="dxa"/>
        <w:jc w:val="left"/>
        <w:tblInd w:w="0" w:type="dxa"/>
        <w:tblLayout w:type="fixed"/>
        <w:tblCellMar>
          <w:top w:w="28" w:type="dxa"/>
          <w:left w:w="28" w:type="dxa"/>
          <w:bottom w:w="28" w:type="dxa"/>
          <w:right w:w="28" w:type="dxa"/>
        </w:tblCellMar>
      </w:tblPr>
      <w:tblGrid>
        <w:gridCol w:w="255"/>
        <w:gridCol w:w="223"/>
        <w:gridCol w:w="226"/>
        <w:gridCol w:w="632"/>
        <w:gridCol w:w="632"/>
        <w:gridCol w:w="89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21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Mine Safety Disclosures</w:t>
            </w:r>
          </w:p>
        </w:tc>
      </w:tr>
    </w:tbl>
    <w:p>
      <w:pPr>
        <w:pStyle w:val="TextBody"/>
        <w:bidi w:val="0"/>
        <w:spacing w:lineRule="auto" w:line="276" w:before="0" w:after="0"/>
        <w:jc w:val="both"/>
        <w:rPr>
          <w:rFonts w:ascii="Arial;sans-serif" w:hAnsi="Arial;sans-serif"/>
          <w:b w:val="false"/>
          <w:color w:val="212529"/>
          <w:sz w:val="20"/>
          <w:shd w:fill="FFFFFF" w:val="clear"/>
        </w:rPr>
      </w:pPr>
      <w:r>
        <w:rPr>
          <w:rFonts w:ascii="Arial;sans-serif" w:hAnsi="Arial;sans-serif"/>
          <w:b w:val="false"/>
          <w:color w:val="212529"/>
          <w:sz w:val="20"/>
          <w:shd w:fill="FFFFFF" w:val="clear"/>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74" w:type="dxa"/>
        <w:jc w:val="left"/>
        <w:tblInd w:w="0" w:type="dxa"/>
        <w:tblLayout w:type="fixed"/>
        <w:tblCellMar>
          <w:top w:w="28" w:type="dxa"/>
          <w:left w:w="28" w:type="dxa"/>
          <w:bottom w:w="28" w:type="dxa"/>
          <w:right w:w="28" w:type="dxa"/>
        </w:tblCellMar>
      </w:tblPr>
      <w:tblGrid>
        <w:gridCol w:w="255"/>
        <w:gridCol w:w="223"/>
        <w:gridCol w:w="226"/>
        <w:gridCol w:w="518"/>
        <w:gridCol w:w="518"/>
        <w:gridCol w:w="734"/>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5.</w:t>
            </w:r>
          </w:p>
        </w:tc>
        <w:tc>
          <w:tcPr>
            <w:tcW w:w="17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Information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tbl>
      <w:tblPr>
        <w:tblW w:w="1666" w:type="dxa"/>
        <w:jc w:val="left"/>
        <w:tblInd w:w="0" w:type="dxa"/>
        <w:tblLayout w:type="fixed"/>
        <w:tblCellMar>
          <w:top w:w="28" w:type="dxa"/>
          <w:left w:w="28" w:type="dxa"/>
          <w:bottom w:w="28" w:type="dxa"/>
          <w:right w:w="28" w:type="dxa"/>
        </w:tblCellMar>
      </w:tblPr>
      <w:tblGrid>
        <w:gridCol w:w="271"/>
        <w:gridCol w:w="238"/>
        <w:gridCol w:w="241"/>
        <w:gridCol w:w="268"/>
        <w:gridCol w:w="268"/>
        <w:gridCol w:w="38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351"/>
        <w:gridCol w:w="310"/>
        <w:gridCol w:w="269"/>
        <w:gridCol w:w="109"/>
        <w:gridCol w:w="109"/>
        <w:gridCol w:w="109"/>
        <w:gridCol w:w="2886"/>
        <w:gridCol w:w="2507"/>
        <w:gridCol w:w="3555"/>
      </w:tblGrid>
      <w:tr>
        <w:trPr/>
        <w:tc>
          <w:tcPr>
            <w:tcW w:w="3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55"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Description of Document</w:t>
            </w:r>
          </w:p>
        </w:tc>
      </w:tr>
      <w:tr>
        <w:trPr/>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Amended and Restated Certificate of Incorporation of the Registrant, incorporated by reference to Exhibit 3.1 of the Form 8-K filed on February 9, 2015</w:t>
              </w:r>
            </w:hyperlink>
          </w:p>
          <w:p>
            <w:pPr>
              <w:pStyle w:val="TableContents"/>
              <w:bidi w:val="0"/>
              <w:spacing w:before="0" w:after="0"/>
              <w:jc w:val="left"/>
              <w:rPr/>
            </w:pPr>
            <w:r>
              <w:rPr/>
            </w:r>
          </w:p>
          <w:p>
            <w:pPr>
              <w:pStyle w:val="TableContents"/>
              <w:bidi w:val="0"/>
              <w:spacing w:before="0" w:after="0"/>
              <w:jc w:val="left"/>
              <w:rPr/>
            </w:pPr>
            <w:r>
              <w:rPr/>
            </w:r>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Certificate of Amendment to the Amended and Restated Certificate of Incorporation of the Registrant filed with the Secretary of State of Delaware on July 18, 2019, incorporated by reference to Exhibit 3.1 of the Form 8-K filed on July 22, 2019</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Certificate of Amendment to the Amended and Restated Certificate of Incorporation filed with the Secretary of State of Delaware on October 14, 2022, incorporated by reference to Exhibit 3.1 of the Form 8-K filed on October 14, 2022</w:t>
              </w:r>
            </w:hyperlink>
          </w:p>
          <w:p>
            <w:pPr>
              <w:pStyle w:val="TableContents"/>
              <w:bidi w:val="0"/>
              <w:spacing w:before="0" w:after="0"/>
              <w:jc w:val="left"/>
              <w:rPr/>
            </w:pPr>
            <w:r>
              <w:rPr/>
            </w:r>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Amended and Restated Bylaws of the Registrant, effective July 19, 2019, incorporated by reference to Exhibit 3.2 of the Form 8-K filed on July 22, 2019</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Amendment to Amended and Restated Bylaws of the Registrant, effective April 1, 2022, incorporated by reference to Exhibit 3.1 of the Form 8-K filed on April 1, 2022</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Certificate of Amendment to the Amended and Restated Certificate of Incorporation of Salarius Pharmaceuticals, Inc., effective June 14, 2024, incorporated by reference to Exhibit 3.1 of the Form 8-K filed on June 14, 2024</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rx20240930ex-311.htm">
              <w:r>
                <w:rPr>
                  <w:rStyle w:val="InternetLink"/>
                  <w:rFonts w:ascii="Arial;sans-serif" w:hAnsi="Arial;sans-serif"/>
                  <w:b w:val="false"/>
                  <w:color w:val="0000FF"/>
                  <w:sz w:val="20"/>
                  <w:u w:val="single"/>
                </w:rPr>
                <w:t>Certification of the Principal Executive Officer pursuant to Rule 13a-14(a) or 15d-14(a) of the Securities Exchange Act of 1934</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rx20240930ex-312.htm">
              <w:r>
                <w:rPr>
                  <w:rStyle w:val="InternetLink"/>
                  <w:rFonts w:ascii="Arial;sans-serif" w:hAnsi="Arial;sans-serif"/>
                  <w:b w:val="false"/>
                  <w:color w:val="0000FF"/>
                  <w:sz w:val="20"/>
                  <w:u w:val="single"/>
                </w:rPr>
                <w:t>Certification of the Principal Financial Officer pursuant to Rule 13a-14(a) or 15d-14(a) of the Securities Exchange Act of 1934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rx20240930ex-321.htm">
              <w:r>
                <w:rPr>
                  <w:rStyle w:val="InternetLink"/>
                  <w:rFonts w:ascii="Arial;sans-serif" w:hAnsi="Arial;sans-serif"/>
                  <w:b w:val="false"/>
                  <w:color w:val="0000FF"/>
                  <w:sz w:val="20"/>
                  <w:u w:val="single"/>
                </w:rPr>
                <w:t>Certification of Principal Executive Officer and Principal Financial Officer pursuant to Rule 13a-14(b) or 15d-14(b) of the Exchange Act and 18 U.S.C. Section 1350</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following materials from Salarius Pharmaceuticals, Inc.'s Quarterly Report on Form 10-Q for the quarter ended September 30, 2024, formatted in XBRL (eXtensible Business Reporting Language):(i) Unaudited Condensed Consolidated Balance Sheets, (ii) Unaudited Condensed Consolidated Statements of Operations (iii) Unaudited Condensed Consolidated Statements of Stockholders' Equity (Deficit), (iv) Unaudited Condensed Consolidated Statements of Cash Flows, and (v) Notes to Condensed Unaudited Consolidated Financial Statements.</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 and included in Exhibit 101)</w:t>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240"/>
        <w:ind w:left="0" w:right="0" w:hanging="180"/>
        <w:jc w:val="both"/>
        <w:rPr>
          <w:rFonts w:ascii="Arial;sans-serif" w:hAnsi="Arial;sans-serif"/>
          <w:b w:val="false"/>
          <w:color w:val="000000"/>
          <w:sz w:val="16"/>
        </w:rPr>
      </w:pPr>
      <w:r>
        <w:rPr>
          <w:rFonts w:ascii="Arial;sans-serif" w:hAnsi="Arial;sans-serif"/>
          <w:b w:val="false"/>
          <w:color w:val="000000"/>
          <w:sz w:val="16"/>
        </w:rPr>
        <w:t>* 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before="160" w:after="160"/>
        <w:jc w:val="center"/>
        <w:rPr/>
      </w:pPr>
      <w:r>
        <w:rPr/>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and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210"/>
        <w:gridCol w:w="185"/>
        <w:gridCol w:w="187"/>
        <w:gridCol w:w="460"/>
        <w:gridCol w:w="460"/>
        <w:gridCol w:w="462"/>
        <w:gridCol w:w="109"/>
        <w:gridCol w:w="109"/>
        <w:gridCol w:w="109"/>
        <w:gridCol w:w="331"/>
        <w:gridCol w:w="331"/>
        <w:gridCol w:w="331"/>
        <w:gridCol w:w="331"/>
        <w:gridCol w:w="331"/>
        <w:gridCol w:w="331"/>
        <w:gridCol w:w="1793"/>
        <w:gridCol w:w="1702"/>
        <w:gridCol w:w="2433"/>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r>
      <w:tr>
        <w:trPr/>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14" w:type="dxa"/>
            <w:gridSpan w:val="9"/>
            <w:tcBorders/>
            <w:tcMar>
              <w:top w:w="0" w:type="dxa"/>
              <w:left w:w="0" w:type="dxa"/>
              <w:bottom w:w="0" w:type="dxa"/>
              <w:right w:w="0" w:type="dxa"/>
            </w:tcMar>
            <w:vAlign w:val="center"/>
          </w:tcPr>
          <w:p>
            <w:pPr>
              <w:pStyle w:val="TableContents"/>
              <w:bidi w:val="0"/>
              <w:spacing w:lineRule="auto" w:line="240" w:before="160" w:after="283"/>
              <w:jc w:val="center"/>
              <w:rPr>
                <w:rFonts w:ascii="Arial;sans-serif" w:hAnsi="Arial;sans-serif"/>
                <w:b/>
                <w:color w:val="000000"/>
                <w:sz w:val="20"/>
              </w:rPr>
            </w:pPr>
            <w:r>
              <w:rPr>
                <w:rFonts w:ascii="Arial;sans-serif" w:hAnsi="Arial;sans-serif"/>
                <w:b/>
                <w:color w:val="000000"/>
                <w:sz w:val="20"/>
              </w:rPr>
              <w:t>SALARIUS PHARMACEUTICALS, INC.</w:t>
            </w:r>
          </w:p>
        </w:tc>
      </w:tr>
      <w:tr>
        <w:trPr/>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Arthur</w:t>
            </w:r>
          </w:p>
        </w:tc>
      </w:tr>
      <w:tr>
        <w:trPr/>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J. Arthur</w:t>
            </w:r>
          </w:p>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President and Chief Executive Officer (Principal Executive Officer)</w:t>
            </w:r>
          </w:p>
        </w:tc>
      </w:tr>
      <w:tr>
        <w:trPr/>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J. Rosenblum</w:t>
            </w:r>
          </w:p>
        </w:tc>
      </w:tr>
      <w:tr>
        <w:trPr/>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 J. Rosenblum</w:t>
            </w:r>
          </w:p>
          <w:p>
            <w:pPr>
              <w:pStyle w:val="TableContents"/>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Chief Financial Officer and Executive Vice President of Finance (Principal Financial Officer and Principal Accounting Officer)</w:t>
            </w:r>
          </w:p>
        </w:tc>
      </w:tr>
      <w:tr>
        <w:trPr/>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14,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Securities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David J. Arthur, President and Chief Executive Officer, certify that: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Salarius Pharmaceuticals,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8081" w:type="dxa"/>
        <w:jc w:val="left"/>
        <w:tblInd w:w="0" w:type="dxa"/>
        <w:tblLayout w:type="fixed"/>
        <w:tblCellMar>
          <w:top w:w="28" w:type="dxa"/>
          <w:left w:w="28" w:type="dxa"/>
          <w:bottom w:w="28" w:type="dxa"/>
          <w:right w:w="28" w:type="dxa"/>
        </w:tblCellMar>
      </w:tblPr>
      <w:tblGrid>
        <w:gridCol w:w="657"/>
        <w:gridCol w:w="577"/>
        <w:gridCol w:w="580"/>
        <w:gridCol w:w="109"/>
        <w:gridCol w:w="109"/>
        <w:gridCol w:w="109"/>
        <w:gridCol w:w="1738"/>
        <w:gridCol w:w="1738"/>
        <w:gridCol w:w="246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Arthur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Arthur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November 14,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Securities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Mark J. Rosenblum, Executive Vice President and Interim Chief Financial Officer, certify that: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Salarius Pharmaceuticals,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6865" w:type="dxa"/>
        <w:jc w:val="left"/>
        <w:tblInd w:w="0" w:type="dxa"/>
        <w:tblLayout w:type="fixed"/>
        <w:tblCellMar>
          <w:top w:w="28" w:type="dxa"/>
          <w:left w:w="28" w:type="dxa"/>
          <w:bottom w:w="28" w:type="dxa"/>
          <w:right w:w="28" w:type="dxa"/>
        </w:tblCellMar>
      </w:tblPr>
      <w:tblGrid>
        <w:gridCol w:w="657"/>
        <w:gridCol w:w="577"/>
        <w:gridCol w:w="580"/>
        <w:gridCol w:w="109"/>
        <w:gridCol w:w="109"/>
        <w:gridCol w:w="109"/>
        <w:gridCol w:w="1380"/>
        <w:gridCol w:w="1380"/>
        <w:gridCol w:w="196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J. Rosenblum</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J. Rosenblum</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November 14,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b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left"/>
        <w:rPr/>
      </w:pPr>
      <w:r>
        <w:rPr/>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Certification Pursuant to 18 U.S.C. Section 1350, as Adopted Pursuant to Section 906 of the Sarbanes-Oxley Act of 2002</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Salarius Pharmaceuticals, Inc. (the "Company") for the fiscal period ended September 30, 2024 as filed with the Securities and Exchange Commission on the date hereof (the "Report"), the undersigned hereby certify, pursuant to 18 U.S.C. Section 1350, as adopted pursuant to Section 906 of the Sarbanes-Oxley Act of 2002, that to the best of their knowledge: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8081" w:type="dxa"/>
        <w:jc w:val="left"/>
        <w:tblInd w:w="0" w:type="dxa"/>
        <w:tblLayout w:type="fixed"/>
        <w:tblCellMar>
          <w:top w:w="28" w:type="dxa"/>
          <w:left w:w="28" w:type="dxa"/>
          <w:bottom w:w="28" w:type="dxa"/>
          <w:right w:w="28" w:type="dxa"/>
        </w:tblCellMar>
      </w:tblPr>
      <w:tblGrid>
        <w:gridCol w:w="657"/>
        <w:gridCol w:w="577"/>
        <w:gridCol w:w="580"/>
        <w:gridCol w:w="109"/>
        <w:gridCol w:w="109"/>
        <w:gridCol w:w="109"/>
        <w:gridCol w:w="1738"/>
        <w:gridCol w:w="1738"/>
        <w:gridCol w:w="246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Arthur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Arthur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November 14,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 (Principal Executive Officer)</w:t>
            </w:r>
          </w:p>
        </w:tc>
      </w:tr>
    </w:tbl>
    <w:tbl>
      <w:tblPr>
        <w:tblW w:w="7511" w:type="dxa"/>
        <w:jc w:val="left"/>
        <w:tblInd w:w="0" w:type="dxa"/>
        <w:tblLayout w:type="fixed"/>
        <w:tblCellMar>
          <w:top w:w="28" w:type="dxa"/>
          <w:left w:w="28" w:type="dxa"/>
          <w:bottom w:w="28" w:type="dxa"/>
          <w:right w:w="28" w:type="dxa"/>
        </w:tblCellMar>
      </w:tblPr>
      <w:tblGrid>
        <w:gridCol w:w="657"/>
        <w:gridCol w:w="577"/>
        <w:gridCol w:w="580"/>
        <w:gridCol w:w="109"/>
        <w:gridCol w:w="109"/>
        <w:gridCol w:w="109"/>
        <w:gridCol w:w="1569"/>
        <w:gridCol w:w="1569"/>
        <w:gridCol w:w="2232"/>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J. Rosenblum</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J. Rosenblum</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November 14,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br/>
              <w:t>(Principal Financial Officer and Principal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15219/000110465915007801/a15-4061_1ex3d1.htm" TargetMode="External"/><Relationship Id="rId3" Type="http://schemas.openxmlformats.org/officeDocument/2006/relationships/hyperlink" Target="https://www.sec.gov/Archives/edgar/data/1615219/000119312519199074/d754556dex31.htm" TargetMode="External"/><Relationship Id="rId4" Type="http://schemas.openxmlformats.org/officeDocument/2006/relationships/hyperlink" Target="https://www.sec.gov/Archives/edgar/data/1615219/000161521922000135/exhibit31.htm" TargetMode="External"/><Relationship Id="rId5" Type="http://schemas.openxmlformats.org/officeDocument/2006/relationships/hyperlink" Target="https://www.sec.gov/Archives/edgar/data/1615219/000119312519199074/d754556dex32.htm" TargetMode="External"/><Relationship Id="rId6" Type="http://schemas.openxmlformats.org/officeDocument/2006/relationships/hyperlink" Target="https://www.sec.gov/Archives/edgar/data/1615219/000161521922000034/salarius-bylawsamendment33.htm" TargetMode="External"/><Relationship Id="rId7" Type="http://schemas.openxmlformats.org/officeDocument/2006/relationships/hyperlink" Target="https://www.sec.gov/Archives/edgar/data/1615219/000161521924000045/slrx-certificateofamendm.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13403</Words>
  <Characters>75100</Characters>
  <CharactersWithSpaces>87849</CharactersWithSpaces>
  <Paragraphs>1117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