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74"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298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20" w:type="dxa"/>
            <w:vAlign w:val="bottom"/>
            <w:tcBorders>
              <w:bottom w:val="single" w:sz="8" w:color="auto"/>
            </w:tcBorders>
          </w:tcPr>
          <w:p>
            <w:pPr>
              <w:spacing w:after="0"/>
              <w:rPr>
                <w:sz w:val="16"/>
                <w:szCs w:val="16"/>
                <w:color w:val="auto"/>
              </w:rPr>
            </w:pPr>
          </w:p>
        </w:tc>
        <w:tc>
          <w:tcPr>
            <w:tcW w:w="4140" w:type="dxa"/>
            <w:vAlign w:val="bottom"/>
          </w:tcPr>
          <w:p>
            <w:pPr>
              <w:spacing w:after="0"/>
              <w:rPr>
                <w:sz w:val="16"/>
                <w:szCs w:val="16"/>
                <w:color w:val="auto"/>
              </w:rPr>
            </w:pPr>
          </w:p>
        </w:tc>
      </w:tr>
      <w:tr>
        <w:trPr>
          <w:trHeight w:val="232"/>
        </w:trPr>
        <w:tc>
          <w:tcPr>
            <w:tcW w:w="3280" w:type="dxa"/>
            <w:vAlign w:val="bottom"/>
          </w:tcPr>
          <w:p>
            <w:pPr>
              <w:spacing w:after="0"/>
              <w:rPr>
                <w:sz w:val="20"/>
                <w:szCs w:val="20"/>
                <w:color w:val="auto"/>
              </w:rPr>
            </w:pPr>
          </w:p>
        </w:tc>
        <w:tc>
          <w:tcPr>
            <w:tcW w:w="7980" w:type="dxa"/>
            <w:vAlign w:val="bottom"/>
            <w:gridSpan w:val="7"/>
          </w:tcPr>
          <w:p>
            <w:pPr>
              <w:jc w:val="center"/>
              <w:ind w:right="3228"/>
              <w:spacing w:after="0"/>
              <w:rPr>
                <w:sz w:val="20"/>
                <w:szCs w:val="20"/>
                <w:color w:val="auto"/>
              </w:rPr>
            </w:pPr>
            <w:r>
              <w:rPr>
                <w:rFonts w:ascii="Times New Roman" w:cs="Times New Roman" w:eastAsia="Times New Roman" w:hAnsi="Times New Roman"/>
                <w:sz w:val="16"/>
                <w:szCs w:val="16"/>
                <w:b w:val="1"/>
                <w:bCs w:val="1"/>
                <w:color w:val="auto"/>
              </w:rPr>
              <w:t>Commission File Number 001-36812</w:t>
            </w:r>
          </w:p>
        </w:tc>
      </w:tr>
      <w:tr>
        <w:trPr>
          <w:trHeight w:val="447"/>
        </w:trPr>
        <w:tc>
          <w:tcPr>
            <w:tcW w:w="11260" w:type="dxa"/>
            <w:vAlign w:val="bottom"/>
            <w:gridSpan w:val="8"/>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SALARIUS PHARMACEUTICALS, INC.</w:t>
            </w:r>
          </w:p>
        </w:tc>
      </w:tr>
      <w:tr>
        <w:trPr>
          <w:trHeight w:val="212"/>
        </w:trPr>
        <w:tc>
          <w:tcPr>
            <w:tcW w:w="3280" w:type="dxa"/>
            <w:vAlign w:val="bottom"/>
          </w:tcPr>
          <w:p>
            <w:pPr>
              <w:spacing w:after="0"/>
              <w:rPr>
                <w:sz w:val="18"/>
                <w:szCs w:val="18"/>
                <w:color w:val="auto"/>
              </w:rPr>
            </w:pPr>
          </w:p>
        </w:tc>
        <w:tc>
          <w:tcPr>
            <w:tcW w:w="7980" w:type="dxa"/>
            <w:vAlign w:val="bottom"/>
            <w:gridSpan w:val="7"/>
          </w:tcPr>
          <w:p>
            <w:pPr>
              <w:jc w:val="center"/>
              <w:ind w:right="320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30"/>
        </w:trPr>
        <w:tc>
          <w:tcPr>
            <w:tcW w:w="3280" w:type="dxa"/>
            <w:vAlign w:val="bottom"/>
          </w:tcPr>
          <w:p>
            <w:pPr>
              <w:jc w:val="center"/>
              <w:ind w:left="225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000" w:type="dxa"/>
            <w:vAlign w:val="bottom"/>
            <w:gridSpan w:val="5"/>
          </w:tcPr>
          <w:p>
            <w:pPr>
              <w:jc w:val="right"/>
              <w:ind w:right="2368"/>
              <w:spacing w:after="0"/>
              <w:rPr>
                <w:sz w:val="20"/>
                <w:szCs w:val="20"/>
                <w:color w:val="auto"/>
              </w:rPr>
            </w:pPr>
            <w:r>
              <w:rPr>
                <w:rFonts w:ascii="Times New Roman" w:cs="Times New Roman" w:eastAsia="Times New Roman" w:hAnsi="Times New Roman"/>
                <w:sz w:val="16"/>
                <w:szCs w:val="16"/>
                <w:b w:val="1"/>
                <w:bCs w:val="1"/>
                <w:color w:val="auto"/>
              </w:rPr>
              <w:t>46-5087339</w:t>
            </w:r>
          </w:p>
        </w:tc>
      </w:tr>
      <w:tr>
        <w:trPr>
          <w:trHeight w:val="184"/>
        </w:trPr>
        <w:tc>
          <w:tcPr>
            <w:tcW w:w="626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4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6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4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2"/>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2450 Holcombe Blvd., Suite X</w:t>
            </w: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0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Houston, TX</w:t>
            </w: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0" w:type="dxa"/>
            <w:vAlign w:val="bottom"/>
            <w:gridSpan w:val="5"/>
          </w:tcPr>
          <w:p>
            <w:pPr>
              <w:jc w:val="right"/>
              <w:ind w:right="2568"/>
              <w:spacing w:after="0"/>
              <w:rPr>
                <w:sz w:val="20"/>
                <w:szCs w:val="20"/>
                <w:color w:val="auto"/>
              </w:rPr>
            </w:pPr>
            <w:r>
              <w:rPr>
                <w:rFonts w:ascii="Times New Roman" w:cs="Times New Roman" w:eastAsia="Times New Roman" w:hAnsi="Times New Roman"/>
                <w:sz w:val="14"/>
                <w:szCs w:val="14"/>
                <w:b w:val="1"/>
                <w:bCs w:val="1"/>
                <w:color w:val="auto"/>
              </w:rPr>
              <w:t>77021</w:t>
            </w:r>
          </w:p>
        </w:tc>
      </w:tr>
      <w:tr>
        <w:trPr>
          <w:trHeight w:val="203"/>
        </w:trPr>
        <w:tc>
          <w:tcPr>
            <w:tcW w:w="626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1"/>
        </w:trPr>
        <w:tc>
          <w:tcPr>
            <w:tcW w:w="3280" w:type="dxa"/>
            <w:vAlign w:val="bottom"/>
          </w:tcPr>
          <w:p>
            <w:pPr>
              <w:spacing w:after="0"/>
              <w:rPr>
                <w:sz w:val="24"/>
                <w:szCs w:val="24"/>
                <w:color w:val="auto"/>
              </w:rPr>
            </w:pPr>
          </w:p>
        </w:tc>
        <w:tc>
          <w:tcPr>
            <w:tcW w:w="7980" w:type="dxa"/>
            <w:vAlign w:val="bottom"/>
            <w:gridSpan w:val="7"/>
          </w:tcPr>
          <w:p>
            <w:pPr>
              <w:jc w:val="center"/>
              <w:ind w:right="320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(832) 834-9144</w:t>
            </w:r>
          </w:p>
        </w:tc>
      </w:tr>
      <w:tr>
        <w:trPr>
          <w:trHeight w:val="269"/>
        </w:trPr>
        <w:tc>
          <w:tcPr>
            <w:tcW w:w="3280" w:type="dxa"/>
            <w:vAlign w:val="bottom"/>
            <w:tcBorders>
              <w:bottom w:val="single" w:sz="8" w:color="auto"/>
            </w:tcBorders>
          </w:tcPr>
          <w:p>
            <w:pPr>
              <w:spacing w:after="0"/>
              <w:rPr>
                <w:sz w:val="23"/>
                <w:szCs w:val="23"/>
                <w:color w:val="auto"/>
              </w:rPr>
            </w:pPr>
          </w:p>
        </w:tc>
        <w:tc>
          <w:tcPr>
            <w:tcW w:w="7980" w:type="dxa"/>
            <w:vAlign w:val="bottom"/>
            <w:tcBorders>
              <w:bottom w:val="single" w:sz="8" w:color="auto"/>
            </w:tcBorders>
            <w:gridSpan w:val="7"/>
          </w:tcPr>
          <w:p>
            <w:pPr>
              <w:jc w:val="center"/>
              <w:ind w:right="3228"/>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80"/>
        </w:trPr>
        <w:tc>
          <w:tcPr>
            <w:tcW w:w="3280" w:type="dxa"/>
            <w:vAlign w:val="bottom"/>
            <w:tcBorders>
              <w:lef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76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9"/>
              </w:rPr>
              <w:t>Trading</w:t>
            </w:r>
          </w:p>
        </w:tc>
        <w:tc>
          <w:tcPr>
            <w:tcW w:w="3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40" w:type="dxa"/>
            <w:vAlign w:val="bottom"/>
            <w:tcBorders>
              <w:right w:val="single" w:sz="8" w:color="auto"/>
            </w:tcBorders>
          </w:tcPr>
          <w:p>
            <w:pPr>
              <w:spacing w:after="0"/>
              <w:rPr>
                <w:sz w:val="15"/>
                <w:szCs w:val="15"/>
                <w:color w:val="auto"/>
              </w:rPr>
            </w:pPr>
          </w:p>
        </w:tc>
      </w:tr>
      <w:tr>
        <w:trPr>
          <w:trHeight w:val="202"/>
        </w:trPr>
        <w:tc>
          <w:tcPr>
            <w:tcW w:w="3280" w:type="dxa"/>
            <w:vAlign w:val="bottom"/>
            <w:tcBorders>
              <w:left w:val="single" w:sz="8" w:color="auto"/>
            </w:tcBorders>
          </w:tcPr>
          <w:p>
            <w:pPr>
              <w:jc w:val="center"/>
              <w:ind w:left="1155"/>
              <w:spacing w:after="0"/>
              <w:rPr>
                <w:sz w:val="20"/>
                <w:szCs w:val="20"/>
                <w:color w:val="auto"/>
              </w:rPr>
            </w:pPr>
            <w:r>
              <w:rPr>
                <w:rFonts w:ascii="Times New Roman" w:cs="Times New Roman" w:eastAsia="Times New Roman" w:hAnsi="Times New Roman"/>
                <w:sz w:val="14"/>
                <w:szCs w:val="14"/>
                <w:color w:val="auto"/>
              </w:rPr>
              <w:t>Title of each class</w:t>
            </w:r>
          </w:p>
        </w:tc>
        <w:tc>
          <w:tcPr>
            <w:tcW w:w="1220" w:type="dxa"/>
            <w:vAlign w:val="bottom"/>
            <w:tcBorders>
              <w:right w:val="single" w:sz="8" w:color="auto"/>
            </w:tcBorders>
          </w:tcPr>
          <w:p>
            <w:pPr>
              <w:spacing w:after="0"/>
              <w:rPr>
                <w:sz w:val="17"/>
                <w:szCs w:val="17"/>
                <w:color w:val="auto"/>
              </w:rPr>
            </w:pPr>
          </w:p>
        </w:tc>
        <w:tc>
          <w:tcPr>
            <w:tcW w:w="176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Symbol(s)</w:t>
            </w:r>
          </w:p>
        </w:tc>
        <w:tc>
          <w:tcPr>
            <w:tcW w:w="3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Borders>
              <w:right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28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190"/>
        </w:trPr>
        <w:tc>
          <w:tcPr>
            <w:tcW w:w="3280" w:type="dxa"/>
            <w:vAlign w:val="bottom"/>
            <w:tcBorders>
              <w:left w:val="single" w:sz="8" w:color="auto"/>
              <w:bottom w:val="single" w:sz="8" w:color="auto"/>
            </w:tcBorders>
          </w:tcPr>
          <w:p>
            <w:pPr>
              <w:jc w:val="center"/>
              <w:ind w:left="1155"/>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122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color w:val="auto"/>
              </w:rPr>
              <w:t>SLRX</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140" w:type="dxa"/>
            <w:vAlign w:val="bottom"/>
            <w:tcBorders>
              <w:bottom w:val="single" w:sz="8" w:color="auto"/>
              <w:right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8" w:lineRule="exact"/>
        <w:rPr>
          <w:sz w:val="24"/>
          <w:szCs w:val="24"/>
          <w:color w:val="auto"/>
        </w:rPr>
      </w:pPr>
    </w:p>
    <w:p>
      <w:pPr>
        <w:ind w:right="262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2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67"/>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1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8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6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line="36" w:lineRule="exact"/>
        <w:rPr>
          <w:sz w:val="20"/>
          <w:szCs w:val="20"/>
          <w:color w:val="auto"/>
        </w:rPr>
      </w:pPr>
    </w:p>
    <w:p>
      <w:pPr>
        <w:ind w:right="1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0"/>
          <w:szCs w:val="20"/>
          <w:color w:val="auto"/>
        </w:rPr>
      </w:pPr>
    </w:p>
    <w:p>
      <w:pPr>
        <w:ind w:right="26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0"/>
          <w:szCs w:val="20"/>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June 30, 2023 (the last business day of the registrant's most recently completed second fiscal quarter, the aggregate market value of the common stock of the registrant held by non-affiliates of the registrant was $4,920,592 based on the last reported sale price of the registrant's common stock on the Nasdaq Capital Market on June 30,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April 16, 2024, there were 4,776,433 shares of common stock outstanding.</w:t>
      </w: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4062730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registrant is filing this Amendment No. 1 to Annual Report on Form 10-K/A, or this Amendment (also referred to herein as this report), to amend the Annual Report on Form 10-K for the fiscal year ended December 31, 2023 (Commission File Number 001-36812), or the 2023 Annual Report on Form 10-K, as filed by the registrant with the Securities and Exchange Commission, or the SEC, on March 22, 2024. The purpose of this Amendment is to include in Part III the information that was to be incorporated by reference from the proxy statement for the registrant’s 2024 Annual Meeting of Stockholders, as well as to update certain of the information included on the cover page of the 2023 Annual Report on Form 10-K and in the list of exhibits included in Item 15 and the Exhibit Index of this report. The Part III information was previously omitted from the 2023 Annual Report on Form 10-K in reliance on General Instruction G(3) to Form 10-K, which permits the information in Items 10 through 14 of Part III of Form 10-K to be incorporated in the Form 10-K by reference from the registrant’s definitive proxy statement if such statement is filed not later than 120 days after the registrant’s fiscal year-end. The registrant is filing this Form 10-K/A to include Part III information in the 2023 Annual Report on Form 10-K because the registrant does not expect to file a definitive proxy statement containing such information within 120 days after the end of the fiscal year covered by the 2023 Annual Report on Form 10-K. This Amendment hereby amends the cover page, Part III, Items 10 through 14, and Part IV, Item 15 of the 2023 Annual Report on Form 10-K. In addition, as required by Rule 12b-15 under the Securities Exchange Act of 1934, as amended, or the Exchange Act, new certifications by the registrant’s principal executive officer and principal financial officer are filed as exhibits to this Amendment.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attempt has been made in this Amendment to modify or update the other disclosures presented in the 2023 Annual Report on Form 10-K. This Amendment does not reflect events occurring after the filing of the 2023 Annual Report on Form 10-K (i.e., those events occurring after March 22, 2024) or modify or update those disclosures that may be affected by subsequent events. Accordingly, this Amendment should be read in conjunction with the 2023 Annual Report on Form 10-K and the registrant’s other filings with the SEC.</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this report, unless otherwise indicated or the context otherwise requires, all references to “Salarius,” “the registrant,” “the Company,” “we,” “us,” and “our” refer to Salarius Pharmaceuticals, Inc. together with its wholly owned subsidiaries. On October 14, 2022, the registrant effected a 1-for-25 reverse split of shares of its common stock. All share and per share data in this report gives effect to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1053465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Salarius Pharmaceuticals,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 (Amendment No. 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0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511"/>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8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8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8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8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98"/>
        </w:trPr>
        <w:tc>
          <w:tcPr>
            <w:tcW w:w="20" w:type="dxa"/>
            <w:vAlign w:val="bottom"/>
          </w:tcPr>
          <w:p>
            <w:pPr>
              <w:spacing w:after="0"/>
              <w:rPr>
                <w:sz w:val="17"/>
                <w:szCs w:val="17"/>
                <w:color w:val="auto"/>
              </w:rPr>
            </w:pPr>
          </w:p>
        </w:tc>
        <w:tc>
          <w:tcPr>
            <w:tcW w:w="6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Part IV</w:t>
            </w:r>
          </w:p>
        </w:tc>
        <w:tc>
          <w:tcPr>
            <w:tcW w:w="320" w:type="dxa"/>
            <w:vAlign w:val="bottom"/>
            <w:gridSpan w:val="2"/>
          </w:tcPr>
          <w:p>
            <w:pPr>
              <w:spacing w:after="0"/>
              <w:rPr>
                <w:sz w:val="17"/>
                <w:szCs w:val="17"/>
                <w:color w:val="auto"/>
              </w:rPr>
            </w:pPr>
          </w:p>
        </w:tc>
        <w:tc>
          <w:tcPr>
            <w:tcW w:w="88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775"/>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or the Securities Act, and Section 21E of the Exchange Act,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greater detail under the heading “Risk Factors” in Part I, Item 1A of our 2023 Annual Report on Form 10-K, as filed with the SEC on March 22, 2024. These forward-looking statements represent our estimates and assumptions only as of the date of this filing. You should read this report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consists of seven (7) directors which are divided into three classes: Class I, Class II, and Class III. Each class has a three-year term:</w:t>
      </w:r>
    </w:p>
    <w:p>
      <w:pPr>
        <w:spacing w:after="0" w:line="90"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Arnold C. Hanish and William K. McVicar and their terms will expire at the annual meeting of stockholders to be held in 2025.</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J. Arthur, Bruce J. McCreedy, and Jonathan Lieber and their terms will expire at the annual meeting of stockholders to be held in 2026.</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Tess Burleson and Paul Lammers and their terms will expire at the annual meeting of stockholders to be held in 2024.</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the Company. Our directors may be removed for cause by the affirmative vote of the holders of at least two-thirds of our voting stock of the capital stock issued and outstanding then entitled to vote at an election of 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committee appointments of each of our current directors as of April 12, 2024:</w:t>
      </w:r>
    </w:p>
    <w:p>
      <w:pPr>
        <w:spacing w:after="0" w:line="286"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2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Arthur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40" w:type="dxa"/>
            <w:vAlign w:val="bottom"/>
          </w:tcPr>
          <w:p>
            <w:pPr>
              <w:spacing w:after="0"/>
              <w:rPr>
                <w:sz w:val="20"/>
                <w:szCs w:val="20"/>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K. McVicar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tcPr>
          <w:p>
            <w:pPr>
              <w:spacing w:after="0"/>
              <w:rPr>
                <w:sz w:val="23"/>
                <w:szCs w:val="23"/>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w:t>
            </w:r>
          </w:p>
        </w:tc>
      </w:tr>
      <w:tr>
        <w:trPr>
          <w:trHeight w:val="27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Tess Burleson(1)(2)(3)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tcPr>
          <w:p>
            <w:pPr>
              <w:spacing w:after="0"/>
              <w:rPr>
                <w:sz w:val="23"/>
                <w:szCs w:val="23"/>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Arnold C. Hanish(1)(3)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40" w:type="dxa"/>
            <w:vAlign w:val="bottom"/>
          </w:tcPr>
          <w:p>
            <w:pPr>
              <w:spacing w:after="0"/>
              <w:rPr>
                <w:sz w:val="23"/>
                <w:szCs w:val="23"/>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Lammers(3)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tcPr>
          <w:p>
            <w:pPr>
              <w:spacing w:after="0"/>
              <w:rPr>
                <w:sz w:val="23"/>
                <w:szCs w:val="23"/>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Lieber(1)(2)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tcPr>
          <w:p>
            <w:pPr>
              <w:spacing w:after="0"/>
              <w:rPr>
                <w:sz w:val="23"/>
                <w:szCs w:val="23"/>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J. McCreedy (2)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tcPr>
          <w:p>
            <w:pPr>
              <w:spacing w:after="0"/>
              <w:rPr>
                <w:sz w:val="23"/>
                <w:szCs w:val="23"/>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3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names of the nominees and certain biographical information about each current director, including a description of his or her business experience, qualifications, education and skills that led our Board to conclude that such individual should serve as a member of our Board,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J. Arthur</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Mr. Arthur has served as our President and Chief Executive Officer and a director since July 2019 and as the Chief Executive Officer of our predecessor since November 2015 and as a manager of our predecessor's board of managers since January 2017. Mr. Arthur’s full-time employment with the Company ended, effective February 2024, but he continues to serve as Chief Executive Officer of the Company in his role as a part-time consultant. From January 2012 to October 2015, Mr. Arthur served as managing director of Dacon Pharma, LLC, a life science focused strategy, planning and evaluation company. From 1990 to 2010, Mr. Arthur served in a number of executive roles at Eli Lilly and Company and from 2010 to 2011 served in executive roles with Boehringer Ingelheim GmbH. Mr. Arthur earned a B.S. in Chemical Engineering from North Carolina State University and an M.B.A. from the Duke University Fuqua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6" w:name="page7"/>
    <w:bookmarkEnd w:id="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believes that Mr. Arthur’s experience as our Chief Executive Officer, and his past experience as a life sciences executive and as a committee chairman and member on the executive committees of a variety of major pharmaceutical alliances, including Eli Lilly/BioMS, Eli Lilly/Amylin and Boehringer Ingelheim/Eli Lilly qualify him to serve on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Jonathan Lieber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Lieber has served as a member of the Board since June 2020. Since February 2023, he has served as Chief Financial Officer and Treasurer of Rallybio Corporation (Nasdaq: RLYB), a clinical-stage biotechnology company committed to identifying and accelerating the development of life-transforming therapies for patients with severe and rare diseases. From September 2021 until its sale in November 2022, he served as Chief Financial Officer of Applied Genetic Technologies Corporation (Nasdaq: AGTC), a clinical stage biotechnology company focused on the development and commercialization of adeno-associated virus (AAV)-based gene therapies for the treatment of rare and debilitating diseases. From December 2018 through September 2021, Mr. Lieber served as a Managing Director of Danforth Advisors LLC, a firm that provides strategic CFO advisory and outsourced accounting services to healthcare companies. In that capacity, he served as interim CFO for several private and public healthcare companies. From July 2015 through September 2019, Mr. Lieber was Chief Financial Officer of Histogenics Corporation (NASDAQ: HSGX) a cell therapy company developing products for the orthopedics market. Mr. Lieber received an M.B.A. in finance from the Stern School of Business of New York University and a B.S. in business administration from Boston University.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believes that Mr. Lieber is qualified to serve on the Board of Directors due to his experience in the healthcare industry, which will enable him to contribute important strategic insights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Bruce J. McCreedy, Ph.D.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McCreedy has served as a member the Board since July 2019 and has served as Chief Scientific Officer of ONK Therapeutics, Inc. effective December 1, 2022. Prior to that, Dr. McCreedy served as the Chief Scientific Officer of Myeloid Therapeutics, Inc. from April of 2021 until November, 2022. Dr. McCreedy served as Salarius' interim Chief Science Officer from January 2020 through March 30, 2021 and was the Senior Vice President of Cell Therapy at Precision Biosciences, Inc. from 2015 to 2020. Prior to his position at Precision Biosciences, Dr. McCreedy served as the Executive Vice President of Research and Development and Chief Development Officer of Neximmune, Inc., a biotechnology company, from April 2011 to August 2015, and the Managing Partner of PharmaNav, LLC, a biotechnology company, from 2008 to 2011. From 2006 to 2008, Dr. McCreedy served as Vice President of Strategic and Clinical Development at Metabolon, Inc., a metabolomics company and from 2002 to 2006 served as the President, Chief Executive Officer and a Director for Fulcrum Pharma Developments, Inc., a drug development company (acquired by Icon plc). Prior to 2002, Dr. McCreedy has also served as Vice President at Triangle Pharmaceuticals, Inc., a pharmaceutical company (acquired by Gilead Sciences, Inc.), CEO of Therapyedge, Inc., a healthcare and information services company (acquired by Advanced Biological Laboratories S.A.), and Associate Vice President of Laboratory Corporation of America Holdings, a clinical laboratory network, and Roche Biomedical Laboratories, Inc., a drug development company. Dr. McCreedy earned a B.S. in Medical Microbiology from Wake Forest University and a Ph.D. in Microbiology and Immunology from Wake Forest University School of Medicine.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believes that Dr. McCreedy is qualified to serve on the Board of Directors due to deep experience in the biotechnology industry, which will enable him to contribute important strategic insights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Tess Burleson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Burleson has served as a member of the Board since July 2019. Ms. Burleson has served as the chief operating officer of TGen, a Medical R&amp;D organization, since 2007, and has served as the president of TGen Health Ventures, LLC a venture capital company, since 2009. She also serves as an advisor to bankers and investors in the life sciences industry. Prior to joining TGen, Ms. Burleson served as the chief financial officer at Lovelace Health System enterprises from 1997 to 2007, president at Lovelace Scientific Resources from 1993 to 1997, and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senior associate at KPMG from 1990 to 1993. Ms. Burleson earned a B.B.A from Robert O. Anderson School of Business at University of New Mexico and her M.B.A. from the Anderson Graduate School of Management at University of New Mexico.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believes that Ms. Burleson is qualified to serve on the Board of Directors as a result of her extensive operational experience in the biotechnology industry and experience in financial and accounting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Lammers, MD, MSc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Lammers has served as a member of the Board since July 2019 and previously served as our lead independent director. In February 2024, Dr. Lammers retired as CEO of Triumvira Immunologics, a privately held engineered T cell therapy company and for which he raised over $125 million from leading venture firms, where he served starting in 2018. Before Triumvira, Dr. Lammers served as President &amp; CEO at Mirna Therapeutics, for which company he raised $160 million through venture capital and Federal and State government funding, as well as a public listing (MRNA) on NASDAQ in 2015. Previously, he served as Chief Medical Officer and Head of US Product Development for EMD Serono. During his early industry tenure, Dr. Lammers also held various executive/senior management positions in clinical development, medical and regulatory affairs, at different pharmaceutical companies, as well as at small public and privately held biotech companies. Dr. Lammers serves as Director for private oncology biotech company, Immunomet Therapeutics, and private oncology biotech company, Diakonos Oncology. Dr. Lammers obtained both his Master of Science in Biology, and his Medical Degree from Radboud University, Nijmegen, The Netherlands.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believes that Dr. Lammers is qualified to serve on the Board of Directors as a result of his extensive experience in the pharmaceutical industry and deep understanding of oncology drugs.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Arnold Hanish</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Mr. Hanish has served as a member of the Board since July 2019. Mr. Hanish served in various management roles at Eli Lilly and Company, a pharmaceutical company, including Vice President and Chief Accounting Officer. Prior to Eli Lilly and Company, Mr. Hanish held numerous positions at Arthur Young &amp; Company (currently Ernst &amp; Young) from 1970-1984, including being the Director of Tax in the Indianapolis office from 1979-1984. Mr. Hanish served as a member of the Deloitte and Touche, LLP, a professional services company, Audit Quality Review Council from 2013 to 2023. In addition, Since September 2012, Mr. Hanish has served on the Board of Directors of Omeros Corporation (Nasdaq:OMER), a biopharmaceutical company, and Chairs its Audit Committee. From 2007 to 2010, Mr. Hanish served as the Chairperson of the Financial Executives International Committee on Corporate Reporting and was on their SEC and Public Company Accounting Oversight Board ("PCAOB") subcommittees. In 2016, Mr. Hanish was inducted into the Financial Executives International Hall of Fame. From 2004 to 2008 and again in 2011 and 2012, Mr. Hanish was a member of the Standing Advisory Group of the PCAOB, a nonprofit audit oversight organization. Since 2010, Mr. Hanish has served on the Dean of the College of Businesses, Business Advisory Council and recently received the Distinguished Service Award from the college of business at the University of Cincinnati. Mr. Hanish earned a B.B.A. in Accounting from the University of Cincinnati and is a licensed CPA in Indiana and Ohio.</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believes that Mr. Hanish is qualified to serve on the Board of Directors as a result of his experience in the pharmaceutical industry, as well as deep experience in accounting and public company financial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McVicar, Ph.D.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McVicar has served as a member of the Board since the completion of the reverse acquisition in July 2019. Prior to completion of the acquisition, Dr. McVicar served as a member of the board of directors of Flex Pharma since August 2017, and served as its chief executive officer from July 2017 to July 2019. Dr. McVicar joined Flex Pharma in April 2017 as President of Research &amp; Development. Prior to joining Flex Pharma, Dr. McVicar also serves as president and CEO of Neuromity Therapeutics, LLC since November 2021 and serves as Chief Operating Officer (acting) at Satellos Biosciences, Inc. since July 2020. Additionally, Dr. McVicar served as executive vice president of pharmaceutical development, chief scientific officer and president during his tenure at Inotek Pharmaceuticals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Corporation from September 2007 to April 2017. Dr. McVicar also held various positions at Sepracor, Inc, Novartis AG and RPR Gencell, the Gene and Cell Therapy Division of Rhone Poulenc Rorer. Dr. McVicar earned his B.S. in Chemistry from the State University of New York College at Oneonta and his Ph.D. in Chemistry from the University of Vermont.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believes that Dr. McVicar is qualified to sit on the Board of Directors due to his over 30 years of biologic and drug development experience and his experience as a senior executive.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demographic makeup of our Board, as disclosed by the Board members themselves, is as follows as of April 22, 2024:</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2"/>
          </w:tcPr>
          <w:p>
            <w:pPr>
              <w:jc w:val="right"/>
              <w:ind w:right="3668"/>
              <w:spacing w:after="0"/>
              <w:rPr>
                <w:sz w:val="20"/>
                <w:szCs w:val="20"/>
                <w:color w:val="auto"/>
              </w:rPr>
            </w:pPr>
            <w:r>
              <w:rPr>
                <w:rFonts w:ascii="Times New Roman" w:cs="Times New Roman" w:eastAsia="Times New Roman" w:hAnsi="Times New Roman"/>
                <w:sz w:val="18"/>
                <w:szCs w:val="18"/>
                <w:color w:val="auto"/>
              </w:rPr>
              <w:t>7</w:t>
            </w:r>
          </w:p>
        </w:tc>
      </w:tr>
      <w:tr>
        <w:trPr>
          <w:trHeight w:val="184"/>
        </w:trPr>
        <w:tc>
          <w:tcPr>
            <w:tcW w:w="36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440" w:type="dxa"/>
            <w:vAlign w:val="bottom"/>
          </w:tcPr>
          <w:p>
            <w:pPr>
              <w:spacing w:after="0"/>
              <w:rPr>
                <w:sz w:val="15"/>
                <w:szCs w:val="15"/>
                <w:color w:val="auto"/>
              </w:rPr>
            </w:pPr>
          </w:p>
        </w:tc>
        <w:tc>
          <w:tcPr>
            <w:tcW w:w="374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Did Not Disclose Gender</w:t>
            </w:r>
          </w:p>
        </w:tc>
      </w:tr>
      <w:tr>
        <w:trPr>
          <w:trHeight w:val="282"/>
        </w:trPr>
        <w:tc>
          <w:tcPr>
            <w:tcW w:w="36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Borders>
              <w:bottom w:val="single" w:sz="8" w:color="auto"/>
            </w:tcBorders>
            <w:gridSpan w:val="2"/>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shd w:val="clear" w:color="auto" w:fill="CCEEFF"/>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shd w:val="clear" w:color="auto" w:fill="CCEEFF"/>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shd w:val="clear" w:color="auto" w:fill="CCEEFF"/>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295"/>
        </w:trPr>
        <w:tc>
          <w:tcPr>
            <w:tcW w:w="3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Two or More Races or Ethnicities</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tcPr>
          <w:p>
            <w:pPr>
              <w:jc w:val="right"/>
              <w:ind w:right="3588"/>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36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r>
      <w:tr>
        <w:trPr>
          <w:trHeight w:val="52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about our executive officers as of April 12,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4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3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Arthur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60" w:type="dxa"/>
            <w:vAlign w:val="bottom"/>
          </w:tcPr>
          <w:p>
            <w:pPr>
              <w:spacing w:after="0"/>
              <w:rPr>
                <w:sz w:val="20"/>
                <w:szCs w:val="20"/>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J. Rosenblum</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60" w:type="dxa"/>
            <w:vAlign w:val="bottom"/>
          </w:tcPr>
          <w:p>
            <w:pPr>
              <w:spacing w:after="0"/>
              <w:rPr>
                <w:sz w:val="23"/>
                <w:szCs w:val="23"/>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of Finance and Chief Financial Officer</w:t>
            </w:r>
          </w:p>
        </w:tc>
      </w:tr>
    </w:tbl>
    <w:p>
      <w:pPr>
        <w:spacing w:after="0" w:line="200" w:lineRule="exact"/>
        <w:rPr>
          <w:sz w:val="20"/>
          <w:szCs w:val="20"/>
          <w:color w:val="auto"/>
        </w:rPr>
      </w:pP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biographical information for each of our executive officers in the table above, other than for Mr. Arthur, whose information is presented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J. Rosenblum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Rosenblum has served as our Executive Vice President Finance and Chief Financial Officer since September 2019. Prior to September 2019, Mr. Rosenblum served as a financial consultant to us since February 2019. Prior to joining us, Mr. Rosenblum served as chairman, chief executive officer and a director of ActiveCare, Inc.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ACAR), a healthcare company, from December 2017 to March 2019, which was sold to Biotelemetry, Inc (now Royal Philips (NYSE: PHG). Mr. Rosenblum worked as a financial consultant for various companies from 2014 to 2017. Prior to that, Mr. Rosenblum served as the chief financial officer of Advaxis, Inc. (Nasdaq: ADXS), a biotechnology company, from January 2010 to April 2014. From 1985 through 2003, Mr. Rosenblum was employed by Wellman, Inc., a global public chemical manufacturer, which was subsequently acquired by DAK Americas, serving in various capacities including chief accounting officer. Mr. Rosenblum holds both a Masters in Accountancy and a B.S. degree in Accounting from the University of South Carolina. Mr. Rosenblum began his career in 1977 with Haskins &amp; Sells, CPA (currently known as Deloitte), was a licensed Certified Public Accountant for over 30 years, and is currently a member of the American Institute of Certified Public Accountants.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Officers and Directors</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our knowledge, there is no arrangement or understanding between any of our officers and any other person, including directors, pursuant to which the officer was selected to serve as an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the Board, which currently consists of seven members. Dr. McVicar currently serves as the Chair of our Board. The primary responsibilities of our Board are to provide oversight, strategic guidance, counseling, and direction to our management. Our Board meets on a regular basis and additionally as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Nasdaq Listing Rules generally require that a majority of the members of a listed company’s board of directors must qualify as “independent” as affirmatively determined by its board of directors. The Board of Directors consults with the Company’s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and director nominee. Based upon information requested from and provided by each director concerning his or her background, employment and affiliations, including family relationships, our Board of Directors has determined that six of our current directors, including Mr. McVicar, Ms. Burleson, Mr. Hanish, Dr. Lammers, Dr. McCreedy and Mr. Lieber, are “independent” as that term is defined under the applicable rules and regulations of the SEC and the listing requirements of Nasdaq.</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Board of Directors has determined that Mr. Arthur, Chief Executive Officer of the Company in his role as a part-time consultant, is independent under the applicable rules and regulations of the SEC and Nasdaq Listing Rules. In making these determinations, our Board of Directors considered the current and prior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if a chair of the Board of Directors is appointed, that person will preside at all meetings of the Board of Directors at which they are present. Currently, the position of chair of our Board of Directors is filled by Dr. McVicar.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Board of Directors periodically reviews its leadership structure and developments in the area of corporate governance to ensure that this approach continues to strike the appropriate balance for the Company and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Ant-Hedging Policy; Policy on Pledging</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an insider trading policy that sets forth guidelines and restrictions applicable to transactions involving our stock by our directors, officers and employees. Among other things, this policy prohibits our directors, officers and employees from engaging in purchases or sales of puts, calls, options or other derivative securities based on the Company’s securities. These hedging transactions are prohibited because they would allow directors, officers and employees to continue to own the covered securities, but without the full risks and rewards of ownership. When that occurs, their interests and the interests of the Company and its stockholders may be misaligned and may signal a message to the trading market that may not be in the best interests of the Company and its stockholders at the time it is conveyed. The insider trading policy also prohibits directors and officers from engaging in short sales of the Company’s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of Directors in Risk Oversight</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Our Board has adopted a charter for each of these committees, each of which complies with the applicable requirements of current Nasdaq rules. We intend to comply with future requirements to the extent they are applicable to us. Copies of the charters for each committee are available on the investor relations portion of our website at http://investors.salariuspharma.com/corporate-governance/highlights.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Audit Committee currently consists of Ms. Burleson, Mr. Hanish, and Mr. Lieber. Mr. Hanish serves as the chair of our Audit Committee. The Board of Directors has determined that each of the members of the Audit Committee satisfies Nasdaq and SEC independence requirements. The Board of Directors has determined that Mr. Hanish qualifies as an audit committee financial expert within the meaning of SEC regulations and meets the financial sophistication requirements of the Nasdaq Listing Rules. In making this determination, the Board of Directors has considered Mr. Hanish’s business background and previous experience. Both our independent registered public accounting firm and management periodically meet with the Audit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7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on behalf of the Board of Directors, an independent public accounting firm to audit our financial statements;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ind w:left="660" w:right="20" w:hanging="328"/>
        <w:spacing w:after="0" w:line="21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the independent auditors their independence, reviews and discusses our audited financial statements with the independent auditors and management;</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whether the audited financials should be included our annual reports to be filed with the SEC;</w:t>
      </w:r>
    </w:p>
    <w:p>
      <w:pPr>
        <w:ind w:left="660" w:hanging="328"/>
        <w:spacing w:after="0" w:line="21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identification, evaluation, and mitigation of major risks to the Company;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“related person transactions” under our Related Person Transaction Policy;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proposed waiver of our Code of Business Conduct and Ethics and Code of Ethics for Senior Financial Officers and making recommendations to the Board of Directors with respect to the disposition of any proposed waiver.</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that the composition and functioning of our Audit Committee complies with all applicable requirements of the Sarbanes-Oxley Act of 2002, as amended (the “Sarbanes-Oxley Act”) and all applicable SEC rules and regulations. We intend to comply with future requirements to the extent they become applicable to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Compensation Committee currently consists of Ms. Burleson, Mr. Hanish, and Dr. Lammers. Dr. Lammers serves as the chair of our Compensation Committee. The Board of Directors has determined that each of the members of the Compensation Committee is a non-employee director, as defined in Rule 16b-3 of the Securities Exchange Act of 1934, as amended (the "Exchange Act"). Additionally, the Board has determined that each of the members of the Compensation Committee satisfies Nasdaq and SEC independence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7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ind w:left="660" w:hanging="328"/>
        <w:spacing w:after="0" w:line="22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executive officers and assessing their performance against these goals and objectives;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adoption or amendment of equity and cash incentive plans and approving amendments to such plans to the extent authorized by our Board;</w:t>
      </w:r>
    </w:p>
    <w:p>
      <w:pPr>
        <w:ind w:left="660" w:hanging="328"/>
        <w:spacing w:after="0" w:line="22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the type and amount of compensation to be paid or awarded to our non-employee board members;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equity compensation plans and the grant of equity awards not subject to stockholder approval under applicable listing standards;</w:t>
      </w:r>
    </w:p>
    <w:p>
      <w:pPr>
        <w:ind w:left="660" w:hanging="328"/>
        <w:spacing w:after="0" w:line="23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our employee benefit plans;</w:t>
      </w:r>
    </w:p>
    <w:p>
      <w:pPr>
        <w:ind w:left="660" w:hanging="328"/>
        <w:spacing w:after="0" w:line="22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our executive officers;</w:t>
      </w:r>
    </w:p>
    <w:p>
      <w:pPr>
        <w:ind w:left="660" w:hanging="328"/>
        <w:spacing w:after="0" w:line="22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1" w:lineRule="exact"/>
        <w:rPr>
          <w:rFonts w:ascii="Times New Roman" w:cs="Times New Roman" w:eastAsia="Times New Roman" w:hAnsi="Times New Roman"/>
          <w:sz w:val="18"/>
          <w:szCs w:val="18"/>
          <w:color w:val="auto"/>
        </w:rPr>
      </w:pPr>
    </w:p>
    <w:p>
      <w:pPr>
        <w:ind w:left="660" w:right="20" w:hanging="328"/>
        <w:spacing w:after="0" w:line="22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compliance with the requirements under the Sarbanes-Oxley Act relating to loans to directors and officers, and with all other applicable laws affecting employee compensation and benefit;</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and</w:t>
      </w:r>
    </w:p>
    <w:p>
      <w:pPr>
        <w:ind w:left="660" w:right="20" w:hanging="328"/>
        <w:spacing w:after="0" w:line="24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0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Burleson, Dr. McCreedy and Mr. Lieber. Ms. Burleson serves as the chair of our Nominating and Corporate Governance Committee. The Board has determined that each of the members of the Nominating and Corporate Governance Committee satisfies Nasdaq and SEC independence requirements. The functions of this committee include, among other things:</w:t>
      </w:r>
    </w:p>
    <w:p>
      <w:pPr>
        <w:spacing w:after="0" w:line="4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committees of the Board, and individual directors and determining whether continued service on our board is appropriate;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nominations by stockholders of candidates for election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 w:name="page13"/>
    <w:bookmarkEnd w:id="12"/>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self-evaluation process of the Board and each of its committees;</w:t>
      </w:r>
    </w:p>
    <w:p>
      <w:pPr>
        <w:ind w:left="660" w:hanging="328"/>
        <w:spacing w:after="0" w:line="22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our Board and its committees and making recommendations to our Board for approvals;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any changes to such policies and principles;</w:t>
      </w:r>
    </w:p>
    <w:p>
      <w:pPr>
        <w:ind w:left="660" w:hanging="328"/>
        <w:spacing w:after="0" w:line="22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our Board current and emerging corporate governance trends; and</w:t>
      </w:r>
    </w:p>
    <w:p>
      <w:pPr>
        <w:spacing w:after="0" w:line="1" w:lineRule="exact"/>
        <w:rPr>
          <w:rFonts w:ascii="Times New Roman" w:cs="Times New Roman" w:eastAsia="Times New Roman" w:hAnsi="Times New Roman"/>
          <w:sz w:val="18"/>
          <w:szCs w:val="18"/>
          <w:color w:val="auto"/>
        </w:rPr>
      </w:pPr>
    </w:p>
    <w:p>
      <w:pPr>
        <w:ind w:left="660" w:hanging="328"/>
        <w:spacing w:after="0" w:line="23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our Board, including undertaking an annual review of its own performance.</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 Attendance</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2023, our Board held seven meetings. Each of our directors attended at least 75% of the aggregate number of meetings of our Board and meetings of any committee of which he or she was a member, which were held during the time in which he or she was a director or a committee member, as applicable. Our non-management directors meet in regularly scheduled sessions without the presence of management in executive sessions. Our Audit Committee held four meetings, our Nominating and Corporate Governance Committee held one meeting, and our Compensation Committee held two meetings in 2023. Directors are encouraged to attend our annual meeting of stockholders, either via webcast or telephonically.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Board has adopted a Code of Business Conduct and Ethics (the “Code of Conduct”) applicable to all of our employees, executive officers, and directors. The Code of Conduct is available on our website at www.salariuspharma.com. Information contained on or accessible through our website is not a part of this Proxy Statement, and the inclusion of our website address in this Proxy Statement is an inactive textual reference only. The Nominating and Corporate Governance Committee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Board nominates directors for election at each annual meeting of stockholders and elects new directors to fill vacancies when they arise. Our Nominating and Corporate Governance Committee has the responsibility to identify, evaluate, recruit, and recommend qualified candidates to our Board for nomination or election.</w:t>
      </w:r>
    </w:p>
    <w:p>
      <w:pPr>
        <w:spacing w:after="0" w:line="16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i w:val="1"/>
          <w:iCs w:val="1"/>
          <w:color w:val="auto"/>
        </w:rPr>
        <w:t>Director Criteria</w:t>
      </w:r>
      <w:r>
        <w:rPr>
          <w:rFonts w:ascii="Times New Roman" w:cs="Times New Roman" w:eastAsia="Times New Roman" w:hAnsi="Times New Roman"/>
          <w:sz w:val="18"/>
          <w:szCs w:val="18"/>
          <w:color w:val="auto"/>
        </w:rPr>
        <w:t>. Our Nominating and Corporate Governance Committee has a policy regarding consideration of director candidates recommended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Our Nominating and Corporate Governance Committee reviews suggestions for director candidates recommended by stockholders and considers such candidates for recommendation based upon an appropriate balance of knowledge, experience, and capability. In addition to considering an appropriate balance of knowledge, experience, and capability, our Board has as an objective that its membership be composed of experienced and dedicated individuals with diverse backgrounds, perspectives, skills, genders, and ethnicities. Our Nominating and Corporate Governance Committee selects director candidates based on the candidate possessing relevant market and technological expertise upon which to be able to offer advice and guidance to management, having sufficient time to devote to the affairs of the Company, demonstrated excellence in his or her field, having the ability to exercise sound business judgment, diversity, potential for long-term contribution to the Company’s business, and having the commitment and vision to rigorously represent the long-term interests of the Company’s stockholders. Our Nominating and Corporate Governance Committee believes it is appropriate for a majority of the members of our Board to meet the definition of “independent director”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Nasdaq rules. Our Nominating and Corporate Governance Committee also believes it appropriate for our Chief Executive Officer to participate as a member of our Board.</w:t>
      </w:r>
    </w:p>
    <w:p>
      <w:pPr>
        <w:spacing w:after="0" w:line="1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Prior to each annual meeting of stockholders, our Nominating and Corporate Governance Committee first identifies nominees by reviewing the current directors whose terms expire at the annual meeting of stockholders and who are willing to continue in service. These candidates are evaluated based on the criteria described above, including as demonstrated by the candidate’s prior service as a director, and the needs of our Board, with respect to the particular talents and experience of its directors. If a director does not wish to continue in service, the Nominating and Corporate Governance Committee determines not to nominate the director, or a vacancy is created on our Board as a result of a resignation, an increase in the size of our Board or other event, the Nominating and Corporate Governance Committee will consider various candidates for Board membership, including those suggested by members of the Nominating and Corporate Governance Committee, by other members of our Board, by any executive search firm engaged by the Nominating and Corporate Governance Committee, and by stockholders. A stockholder who wishes to suggest a prospective nominee for our Board should notify our Secretary, any member of the Nominating and Corporate Governance Committee, or the persons referenced below in “Communications with our Board of Directors” in writing with any supporting material the stockholder considers appropriate.</w:t>
      </w:r>
    </w:p>
    <w:p>
      <w:pPr>
        <w:spacing w:after="0" w:line="18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Stockholder Nominees. In addition, our Bylaws contain provisions that address the process by which a stockholder may nominate an individual to stand for election to our Board at our annual meeting of stockholders. In order to nominate a candidate for director, a stockholder must give timely notice in writing to our Secretary and otherwise comply with the provisions of our Bylaws. To be timely, our Bylaws provide that we must have received the stockholder’s notice not more than 120 days nor less than 90 days prior to the anniversary of the previous year’s proxy statement provided in connection with the previous year’s annual meeting of stockholders. Information required by our Bylaws to be in the notice include the name and contact information for the candidate and the person making the nomination and other information about the nominee that must be disclosed in proxy solicitations under Section 14 of the Exchange Act and the related rules and regulations under that section.</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Stockholder nominations must be made in accordance with the procedures outlined in, and include the information required by, our Bylaws and must be addressed to: Secretary, Salarius Pharmaceuticals, Inc., 2450 Holcombe Blvd. Suite X, Houston, TX 77021. You can obtain a copy of our Bylaws by writing to the Secretary at this address.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Our Independent Directors and Communications with our Board of Directors</w:t>
      </w:r>
    </w:p>
    <w:p>
      <w:pPr>
        <w:spacing w:after="0" w:line="20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During meetings of the Board, the independent directors meet regularly in an executive session without management or management directors present. The purpose of these executive sessions is to promote open and candid discussion among the non-management directors. Our Board recommends that stockholders and other interested parties initiate communications with our Board, the independent directors, the Chair, or any committee of our Board in writing to the attention of our Secretary, Salarius Pharmaceuticals, Inc., 2450 Holcombe Blvd. Suite X, Houston, TX 77021. This process will assist our Board in reviewing and responding to stockholder communications in an appropriate manner. Our Board has instructed our Secretary to review such correspondence and, at his discretion, not to forward items if he deems them to be of a commercial or frivolous nature or otherwise inappropriate for our Board’s consideration such as spam, junk mail and mass mailings, product complaints, personal employee complaints, product inquiries, new product suggestions, resumes and other forms of job inquiries, surveys, business solicitations, or advertisements.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Executive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were:</w:t>
      </w:r>
    </w:p>
    <w:p>
      <w:pPr>
        <w:spacing w:after="0" w:line="9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J. Arthur, our President and Chief Executive Officer;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J. Rosenblum, our Executive Vice President of Finance and Chief Financial Officer.</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2024 we entered into a separation and release agreement with Mr. Arthur, as more fully described below in “Employment and Separation Agreements”.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20, 2024, the Company and Mr. Rosenblum, entered into that certain Amendment to Executive Employment Agreement , which amends that certain Executive Employment Agreement, dated April 24, 2020, by and between the Company and Mr. Rosenblum solely to provide Mr. Rosenblum with the option to receive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that may be owed to Mr. Rosenblum pursuant to Section 5I(i) thereof in in equal installments over a period of time or in a lump-sum amount.</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Investors are encouraged to read the compensation discussion below under “Narrative Disclosure to Summary Compensation Table” in conjunction with the summary compensation tables and related notes.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The following table sets forth compensation for services rendered in all capacities to us for the years ended December 31, 2023 and 2022 for our named executive officers.</w:t>
      </w:r>
    </w:p>
    <w:tbl>
      <w:tblPr>
        <w:tblLayout w:type="fixed"/>
        <w:tblInd w:w="400" w:type="dxa"/>
        <w:tblCellMar>
          <w:top w:w="0" w:type="dxa"/>
          <w:left w:w="0" w:type="dxa"/>
          <w:bottom w:w="0" w:type="dxa"/>
          <w:right w:w="0" w:type="dxa"/>
        </w:tblCellMar>
      </w:tblPr>
      <w:tr>
        <w:trPr>
          <w:trHeight w:val="185"/>
        </w:trPr>
        <w:tc>
          <w:tcPr>
            <w:tcW w:w="14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Name and</w:t>
            </w: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Non-Equity</w:t>
            </w:r>
          </w:p>
        </w:tc>
        <w:tc>
          <w:tcPr>
            <w:tcW w:w="54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7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Stock Awards (1)</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5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9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7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5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(4)</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Compensation (5)</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$31,400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$13,200</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$544,600</w:t>
            </w: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David J. Arthur</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President and</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Chief Executive</w:t>
            </w:r>
          </w:p>
        </w:tc>
        <w:tc>
          <w:tcPr>
            <w:tcW w:w="7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$217,375</w:t>
            </w:r>
          </w:p>
        </w:tc>
        <w:tc>
          <w:tcPr>
            <w:tcW w:w="5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$211,448</w:t>
            </w:r>
          </w:p>
        </w:tc>
        <w:tc>
          <w:tcPr>
            <w:tcW w:w="1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$12,200</w:t>
            </w:r>
          </w:p>
        </w:tc>
        <w:tc>
          <w:tcPr>
            <w:tcW w:w="9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rPr>
              <w:t>$941,021</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7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5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$13,200</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$355,700</w:t>
            </w:r>
          </w:p>
        </w:tc>
        <w:tc>
          <w:tcPr>
            <w:tcW w:w="0" w:type="dxa"/>
            <w:vAlign w:val="bottom"/>
          </w:tcPr>
          <w:p>
            <w:pPr>
              <w:spacing w:after="0"/>
              <w:rPr>
                <w:sz w:val="1"/>
                <w:szCs w:val="1"/>
                <w:color w:val="auto"/>
              </w:rPr>
            </w:pPr>
          </w:p>
        </w:tc>
      </w:tr>
      <w:tr>
        <w:trPr>
          <w:trHeight w:val="66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Mark J. Rosenblum</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Executive Vice</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President,</w:t>
            </w: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Finance and Chief</w:t>
            </w:r>
          </w:p>
        </w:tc>
        <w:tc>
          <w:tcPr>
            <w:tcW w:w="7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$97,775</w:t>
            </w:r>
          </w:p>
        </w:tc>
        <w:tc>
          <w:tcPr>
            <w:tcW w:w="5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$84,579</w:t>
            </w:r>
          </w:p>
        </w:tc>
        <w:tc>
          <w:tcPr>
            <w:tcW w:w="16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$12,200</w:t>
            </w: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$494,551</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7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780" w:hanging="448"/>
        <w:spacing w:after="0" w:line="246" w:lineRule="auto"/>
        <w:tabs>
          <w:tab w:leader="none" w:pos="7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grant date fair value of the equity awards of restricted stock granted, calculated in accordance with FASB ASC Topic 718.</w:t>
      </w:r>
    </w:p>
    <w:p>
      <w:pPr>
        <w:ind w:left="780" w:hanging="448"/>
        <w:spacing w:after="0" w:line="226" w:lineRule="auto"/>
        <w:tabs>
          <w:tab w:leader="none" w:pos="7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the 2022 annual bonus paid to Mr. Arthur in 2023 which consisted of (i) a cash amount equal to $184,771 and (ii) 14,300 shares of common stock paid in lieu of cash which shares were valued at $32,604.</w:t>
      </w:r>
    </w:p>
    <w:p>
      <w:pPr>
        <w:spacing w:after="0" w:line="1" w:lineRule="exact"/>
        <w:rPr>
          <w:rFonts w:ascii="Times New Roman" w:cs="Times New Roman" w:eastAsia="Times New Roman" w:hAnsi="Times New Roman"/>
          <w:sz w:val="18"/>
          <w:szCs w:val="18"/>
          <w:color w:val="auto"/>
        </w:rPr>
      </w:pPr>
    </w:p>
    <w:p>
      <w:pPr>
        <w:ind w:left="780" w:hanging="448"/>
        <w:spacing w:after="0" w:line="243" w:lineRule="auto"/>
        <w:tabs>
          <w:tab w:leader="none" w:pos="7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the 2022 annual bonus paid to Mr. Rosenblum in 2023 which consisted of (i) a cash amount equal to $83,110 and (ii) 6,432 shares of common stock paid in lieu of cash which shares were valued at $14,665.</w:t>
      </w:r>
    </w:p>
    <w:p>
      <w:pPr>
        <w:spacing w:after="0" w:line="60" w:lineRule="exact"/>
        <w:rPr>
          <w:rFonts w:ascii="Times New Roman" w:cs="Times New Roman" w:eastAsia="Times New Roman" w:hAnsi="Times New Roman"/>
          <w:sz w:val="18"/>
          <w:szCs w:val="18"/>
          <w:color w:val="auto"/>
        </w:rPr>
      </w:pPr>
    </w:p>
    <w:p>
      <w:pPr>
        <w:ind w:left="780" w:right="160" w:hanging="448"/>
        <w:spacing w:after="0" w:line="226" w:lineRule="auto"/>
        <w:tabs>
          <w:tab w:leader="none" w:pos="7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estimated the grant date fair value of stock options using the Black-Scholes option-pricing model computed in accordance with FASB ASC Topic 718. See Note 8 to our financial statements contained in our Annual Report on Form 10-K for the year ended December 31, 2022, respectively for the assumptions used in such valuation.</w:t>
      </w:r>
    </w:p>
    <w:p>
      <w:pPr>
        <w:spacing w:after="0" w:line="36"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matching contribution by the Company pursuant to its 401(k) plan.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process of determining compensation for our named executive officers, the Compensation Committee considers the current financial position of the Company, the strategic goals of the Company, and the performance of each of our named executive officers. In addition, from time to time, the Compensation Committee considers the various components (described below) of our compensation program for executives in relation to compensation paid by other public companies, compensation data, their historical review of all executive officer compensation, and recommendations from our Chief Executive Officer (other than for his own salary). The Compensation Committee has the sole authority to select, compensate and terminate its external advisors.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utilizes the following components of compensation (described further below) to strike an appropriate balance between promoting sustainable and excellent performance and discouraging any excessive risk-taking behavior: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long-term equity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benefits and perquisites;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and severance agreements tied to changes in control of the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named executive officers receive base salaries as set forth in their respective employment or consulting agreements. Each named executive officer is eligible for annual raises subject to review and approval of the Compensation Committee. There were no salary raises in 2023. Mr. Arthur’s base salary was $500,000. Mr. Rosenblum’s base salary was $330,000 for 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Non-Equity Incentive Plan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Target bonuses are reviewed annually and established as a percentage of the executives’ base salaries, generally based upon seniority of the officer and targeted at or near the median of the peer group (with reference to our corporate compensation philosophy) and relevant survey data. Each year, the Compensation Committee establishes corporate and individual objectives and respective target percentages, taking into account recommendations from our Chief Executive Officer as it relates to executive positions other than the Chief Executive Officer’s compensation. Our Chief Executive Officer’s target bonus is set by the Compensation Committee to align entirely with our overall corporate objectives. At the end of each fiscal year-end, our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the corporate and individual functional goals to be highly challenging yet attainable.</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Arthur’s and Mr. Rosenblum’s target bonus’ for both 2023 and 2022 as a percentage of base salary was 50% and 35% respectively. Neither named executive officer received a bonus for our 2023 fiscal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Compensation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designed our long-term equity grant program to further align the interests of our executives with those of our stockholders and to reward the executives’ longer-term performance. Historically, the Compensation Committee has granted stock options, although from time-to-time, to further increase the emphasis on compensation tied to performance, the Compensation Committee may grant other equity awards as allowed by the Salarius Pharmaceuticals 2015 Equity Incentive Plan. The Compensation Committee may grant stock options, restricted stock, restricted stock units and similar equity awards permitted under our plans based on its judgment as to whether the complete compensation packages to our executives, including prior equity awards, are appropriate and sufficient to retain and incentivize the executives and whether the grants balance long-term versus short-term compensation. The Compensation Committee also considers our overall performance as well as the individual performance of each of our named executive officers, the potential dilutive effect of restricted stock awards, the dilutive and overhang effect of the equity awards, and recommendations from the Chief Executive Officer (other than with respect to his own equity awards).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are granted with an exercise price equal to the fair market value of our common stock on the date of grant.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is granted at the closing price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January 3, 2023, our Compensation Committee granted Mr. Arthur and Mr. Rosenblum 20,000 and 8,000 shares of restricted stock, respectively. 25% of the shares of restricted stock vested on January 2, 2024 and 1/36 of the remaining shares of restricted stock will vest on monthly anniversaries thereafter.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Benefits and Perquisites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executives are eligible to participate in our employee benefit plans, including medical, dental, vision, life insurance, short-term and long-term disability insurance, flexible spending accounts, 401(k), and an Employee Stock Purchase Program. These plans are available to all full-time employees. In keeping with our philosophy to provide total compensation that is competitive within our industry, we offer limited personal benefits and perquisites to executive officers. You can find more information on the amounts paid for these perquisites to or on behalf of our named executive officers in our Summary Compensation Table.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named executive officers participates in or has account balances in nonqualified defined contribution plans or other nonqualified deferred compensation plans maintained by us. Our Board may elect to provide our officers and other employees with nonqualified defined contribution or other nonqualified deferred compensation benefits in the future if it determines that doing so is in our best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certain information concerning equity awards held by our named executive officers as of December 31,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tbl>
      <w:tblPr>
        <w:tblLayout w:type="fixed"/>
        <w:tblInd w:w="110" w:type="dxa"/>
        <w:tblCellMar>
          <w:top w:w="0" w:type="dxa"/>
          <w:left w:w="0" w:type="dxa"/>
          <w:bottom w:w="0" w:type="dxa"/>
          <w:right w:w="0" w:type="dxa"/>
        </w:tblCellMar>
      </w:tblPr>
      <w:tr>
        <w:trPr>
          <w:trHeight w:val="228"/>
        </w:trPr>
        <w:tc>
          <w:tcPr>
            <w:tcW w:w="1900" w:type="dxa"/>
            <w:vAlign w:val="bottom"/>
            <w:tcBorders>
              <w:top w:val="single" w:sz="8" w:color="auto"/>
              <w:left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7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right w:val="single" w:sz="8" w:color="auto"/>
            </w:tcBorders>
          </w:tcPr>
          <w:p>
            <w:pPr>
              <w:spacing w:after="0"/>
              <w:rPr>
                <w:sz w:val="19"/>
                <w:szCs w:val="19"/>
                <w:color w:val="auto"/>
              </w:rPr>
            </w:pPr>
          </w:p>
        </w:tc>
      </w:tr>
      <w:tr>
        <w:trPr>
          <w:trHeight w:val="151"/>
        </w:trPr>
        <w:tc>
          <w:tcPr>
            <w:tcW w:w="1900" w:type="dxa"/>
            <w:vAlign w:val="bottom"/>
            <w:tcBorders>
              <w:left w:val="single" w:sz="8" w:color="auto"/>
              <w:right w:val="single" w:sz="8" w:color="auto"/>
            </w:tcBorders>
          </w:tcPr>
          <w:p>
            <w:pPr>
              <w:ind w:left="740"/>
              <w:spacing w:after="0" w:line="151" w:lineRule="exact"/>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720" w:type="dxa"/>
            <w:vAlign w:val="bottom"/>
            <w:tcBorders>
              <w:right w:val="single" w:sz="8" w:color="auto"/>
            </w:tcBorders>
          </w:tcPr>
          <w:p>
            <w:pPr>
              <w:jc w:val="center"/>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Option</w:t>
            </w:r>
          </w:p>
        </w:tc>
      </w:tr>
      <w:tr>
        <w:trPr>
          <w:trHeight w:val="128"/>
        </w:trPr>
        <w:tc>
          <w:tcPr>
            <w:tcW w:w="19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1"/>
                <w:szCs w:val="11"/>
                <w:color w:val="auto"/>
              </w:rPr>
            </w:pPr>
          </w:p>
        </w:tc>
        <w:tc>
          <w:tcPr>
            <w:tcW w:w="720" w:type="dxa"/>
            <w:vAlign w:val="bottom"/>
            <w:tcBorders>
              <w:right w:val="single" w:sz="8" w:color="auto"/>
            </w:tcBorders>
          </w:tcPr>
          <w:p>
            <w:pPr>
              <w:jc w:val="center"/>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expiration</w:t>
            </w:r>
          </w:p>
        </w:tc>
      </w:tr>
      <w:tr>
        <w:trPr>
          <w:trHeight w:val="137"/>
        </w:trPr>
        <w:tc>
          <w:tcPr>
            <w:tcW w:w="19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1"/>
                <w:szCs w:val="11"/>
                <w:color w:val="auto"/>
              </w:rPr>
            </w:pPr>
          </w:p>
        </w:tc>
        <w:tc>
          <w:tcPr>
            <w:tcW w:w="720" w:type="dxa"/>
            <w:vAlign w:val="bottom"/>
            <w:tcBorders>
              <w:right w:val="single" w:sz="8" w:color="auto"/>
            </w:tcBorders>
          </w:tcPr>
          <w:p>
            <w:pPr>
              <w:jc w:val="center"/>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48"/>
        </w:trPr>
        <w:tc>
          <w:tcPr>
            <w:tcW w:w="1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146"/>
        </w:trPr>
        <w:tc>
          <w:tcPr>
            <w:tcW w:w="1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196"/>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r>
      <w:tr>
        <w:trPr>
          <w:trHeight w:val="210"/>
        </w:trPr>
        <w:tc>
          <w:tcPr>
            <w:tcW w:w="1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David J. Arthur</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8"/>
                <w:szCs w:val="18"/>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9"/>
              </w:rPr>
              <w:t>$200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9/10/2029</w:t>
            </w:r>
          </w:p>
        </w:tc>
      </w:tr>
      <w:tr>
        <w:trPr>
          <w:trHeight w:val="60"/>
        </w:trPr>
        <w:tc>
          <w:tcPr>
            <w:tcW w:w="1900" w:type="dxa"/>
            <w:vAlign w:val="bottom"/>
            <w:tcBorders>
              <w:left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182"/>
        </w:trPr>
        <w:tc>
          <w:tcPr>
            <w:tcW w:w="190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2,250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150(1)</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$15.25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3/22/2030</w:t>
            </w:r>
          </w:p>
        </w:tc>
      </w:tr>
      <w:tr>
        <w:trPr>
          <w:trHeight w:val="82"/>
        </w:trPr>
        <w:tc>
          <w:tcPr>
            <w:tcW w:w="1900" w:type="dxa"/>
            <w:vAlign w:val="bottom"/>
            <w:tcBorders>
              <w:left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182"/>
        </w:trPr>
        <w:tc>
          <w:tcPr>
            <w:tcW w:w="190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11,602</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1,981(2)</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$33.00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7/13/2030</w:t>
            </w:r>
          </w:p>
        </w:tc>
      </w:tr>
      <w:tr>
        <w:trPr>
          <w:trHeight w:val="82"/>
        </w:trPr>
        <w:tc>
          <w:tcPr>
            <w:tcW w:w="1900" w:type="dxa"/>
            <w:vAlign w:val="bottom"/>
            <w:tcBorders>
              <w:left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182"/>
        </w:trPr>
        <w:tc>
          <w:tcPr>
            <w:tcW w:w="190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8,250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2,750(2)</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$18.50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12/1/2030</w:t>
            </w:r>
          </w:p>
        </w:tc>
      </w:tr>
      <w:tr>
        <w:trPr>
          <w:trHeight w:val="82"/>
        </w:trPr>
        <w:tc>
          <w:tcPr>
            <w:tcW w:w="1900" w:type="dxa"/>
            <w:vAlign w:val="bottom"/>
            <w:tcBorders>
              <w:left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182"/>
        </w:trPr>
        <w:tc>
          <w:tcPr>
            <w:tcW w:w="190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9,583</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10,417(2)</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$12.00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1/19/2032</w:t>
            </w:r>
          </w:p>
        </w:tc>
      </w:tr>
      <w:tr>
        <w:trPr>
          <w:trHeight w:val="82"/>
        </w:trPr>
        <w:tc>
          <w:tcPr>
            <w:tcW w:w="1900" w:type="dxa"/>
            <w:vAlign w:val="bottom"/>
            <w:tcBorders>
              <w:left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250"/>
        </w:trPr>
        <w:tc>
          <w:tcPr>
            <w:tcW w:w="190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04"/>
        </w:trPr>
        <w:tc>
          <w:tcPr>
            <w:tcW w:w="19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Mark J. Rosenblum</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7"/>
                <w:szCs w:val="17"/>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9"/>
              </w:rPr>
              <w:t>$200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9/10/2029</w:t>
            </w:r>
          </w:p>
        </w:tc>
      </w:tr>
      <w:tr>
        <w:trPr>
          <w:trHeight w:val="60"/>
        </w:trPr>
        <w:tc>
          <w:tcPr>
            <w:tcW w:w="1900" w:type="dxa"/>
            <w:vAlign w:val="bottom"/>
            <w:tcBorders>
              <w:lef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182"/>
        </w:trPr>
        <w:tc>
          <w:tcPr>
            <w:tcW w:w="1900" w:type="dxa"/>
            <w:vAlign w:val="bottom"/>
            <w:tcBorders>
              <w:lef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75(1)</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$15.25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3/22/2030</w:t>
            </w:r>
          </w:p>
        </w:tc>
      </w:tr>
      <w:tr>
        <w:trPr>
          <w:trHeight w:val="82"/>
        </w:trPr>
        <w:tc>
          <w:tcPr>
            <w:tcW w:w="1900" w:type="dxa"/>
            <w:vAlign w:val="bottom"/>
            <w:tcBorders>
              <w:lef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182"/>
        </w:trPr>
        <w:tc>
          <w:tcPr>
            <w:tcW w:w="1900" w:type="dxa"/>
            <w:vAlign w:val="bottom"/>
            <w:tcBorders>
              <w:lef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1,706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292(2)</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$33.00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7/13/2030</w:t>
            </w:r>
          </w:p>
        </w:tc>
      </w:tr>
      <w:tr>
        <w:trPr>
          <w:trHeight w:val="82"/>
        </w:trPr>
        <w:tc>
          <w:tcPr>
            <w:tcW w:w="1900" w:type="dxa"/>
            <w:vAlign w:val="bottom"/>
            <w:tcBorders>
              <w:lef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182"/>
        </w:trPr>
        <w:tc>
          <w:tcPr>
            <w:tcW w:w="1900" w:type="dxa"/>
            <w:vAlign w:val="bottom"/>
            <w:tcBorders>
              <w:lef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2,400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2,400(2)</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$18.50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12/1/2030</w:t>
            </w:r>
          </w:p>
        </w:tc>
      </w:tr>
      <w:tr>
        <w:trPr>
          <w:trHeight w:val="82"/>
        </w:trPr>
        <w:tc>
          <w:tcPr>
            <w:tcW w:w="1900" w:type="dxa"/>
            <w:vAlign w:val="bottom"/>
            <w:tcBorders>
              <w:lef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182"/>
        </w:trPr>
        <w:tc>
          <w:tcPr>
            <w:tcW w:w="1900" w:type="dxa"/>
            <w:vAlign w:val="bottom"/>
            <w:tcBorders>
              <w:lef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3,833</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4,167(2)</w:t>
            </w:r>
          </w:p>
        </w:tc>
        <w:tc>
          <w:tcPr>
            <w:tcW w:w="140" w:type="dxa"/>
            <w:vAlign w:val="bottom"/>
          </w:tcPr>
          <w:p>
            <w:pPr>
              <w:spacing w:after="0"/>
              <w:rPr>
                <w:sz w:val="15"/>
                <w:szCs w:val="15"/>
                <w:color w:val="auto"/>
              </w:rPr>
            </w:pPr>
          </w:p>
        </w:tc>
        <w:tc>
          <w:tcPr>
            <w:tcW w:w="72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$12.00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1/19/2032</w:t>
            </w:r>
          </w:p>
        </w:tc>
      </w:tr>
      <w:tr>
        <w:trPr>
          <w:trHeight w:val="82"/>
        </w:trPr>
        <w:tc>
          <w:tcPr>
            <w:tcW w:w="1900" w:type="dxa"/>
            <w:vAlign w:val="bottom"/>
            <w:tcBorders>
              <w:lef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196"/>
        </w:trPr>
        <w:tc>
          <w:tcPr>
            <w:tcW w:w="1900" w:type="dxa"/>
            <w:vAlign w:val="bottom"/>
            <w:tcBorders>
              <w:lef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Stock Awards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 or</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 of shares</w:t>
            </w:r>
          </w:p>
        </w:tc>
      </w:tr>
      <w:tr>
        <w:trPr>
          <w:trHeight w:val="162"/>
        </w:trPr>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 have</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or units of stock that</w:t>
            </w:r>
          </w:p>
        </w:tc>
      </w:tr>
      <w:tr>
        <w:trPr>
          <w:trHeight w:val="212"/>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(3)</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 vested (4)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0"/>
        <w:spacing w:after="0"/>
        <w:tabs>
          <w:tab w:leader="none" w:pos="2260" w:val="left"/>
        </w:tabs>
        <w:rPr>
          <w:sz w:val="20"/>
          <w:szCs w:val="20"/>
          <w:color w:val="auto"/>
        </w:rPr>
      </w:pPr>
      <w:r>
        <w:rPr>
          <w:rFonts w:ascii="Times New Roman" w:cs="Times New Roman" w:eastAsia="Times New Roman" w:hAnsi="Times New Roman"/>
          <w:sz w:val="14"/>
          <w:szCs w:val="14"/>
          <w:color w:val="auto"/>
        </w:rPr>
        <w:t>20,000</w:t>
      </w:r>
      <w:r>
        <w:rPr>
          <w:sz w:val="20"/>
          <w:szCs w:val="20"/>
          <w:color w:val="auto"/>
        </w:rPr>
        <w:tab/>
      </w:r>
      <w:r>
        <w:rPr>
          <w:rFonts w:ascii="Times New Roman" w:cs="Times New Roman" w:eastAsia="Times New Roman" w:hAnsi="Times New Roman"/>
          <w:sz w:val="14"/>
          <w:szCs w:val="14"/>
          <w:color w:val="auto"/>
        </w:rPr>
        <w:t>13,000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spacing w:after="0"/>
        <w:tabs>
          <w:tab w:leader="none" w:pos="2300" w:val="left"/>
        </w:tabs>
        <w:rPr>
          <w:sz w:val="20"/>
          <w:szCs w:val="20"/>
          <w:color w:val="auto"/>
        </w:rPr>
      </w:pPr>
      <w:r>
        <w:rPr>
          <w:rFonts w:ascii="Times New Roman" w:cs="Times New Roman" w:eastAsia="Times New Roman" w:hAnsi="Times New Roman"/>
          <w:sz w:val="14"/>
          <w:szCs w:val="14"/>
          <w:color w:val="auto"/>
        </w:rPr>
        <w:t>8,000</w:t>
      </w:r>
      <w:r>
        <w:rPr>
          <w:sz w:val="20"/>
          <w:szCs w:val="20"/>
          <w:color w:val="auto"/>
        </w:rPr>
        <w:tab/>
      </w:r>
      <w:r>
        <w:rPr>
          <w:rFonts w:ascii="Times New Roman" w:cs="Times New Roman" w:eastAsia="Times New Roman" w:hAnsi="Times New Roman"/>
          <w:sz w:val="14"/>
          <w:szCs w:val="14"/>
          <w:color w:val="auto"/>
        </w:rPr>
        <w:t>5,200</w:t>
      </w:r>
    </w:p>
    <w:p>
      <w:pPr>
        <w:spacing w:after="0" w:line="264" w:lineRule="exact"/>
        <w:rPr>
          <w:sz w:val="20"/>
          <w:szCs w:val="20"/>
          <w:color w:val="auto"/>
        </w:rPr>
      </w:pPr>
    </w:p>
    <w:p>
      <w:pPr>
        <w:sectPr>
          <w:pgSz w:w="11900" w:h="16838" w:orient="portrait"/>
          <w:cols w:equalWidth="0" w:num="2">
            <w:col w:w="6520" w:space="20"/>
            <w:col w:w="4700"/>
          </w:cols>
          <w:pgMar w:left="320" w:top="1440" w:right="339" w:bottom="1440" w:gutter="0" w:footer="0" w:header="0"/>
          <w:type w:val="continuous"/>
        </w:sectPr>
      </w:pPr>
    </w:p>
    <w:p>
      <w:pPr>
        <w:spacing w:after="0" w:line="119" w:lineRule="exact"/>
        <w:rPr>
          <w:sz w:val="20"/>
          <w:szCs w:val="20"/>
          <w:color w:val="auto"/>
        </w:rPr>
      </w:pPr>
    </w:p>
    <w:p>
      <w:pPr>
        <w:ind w:left="780" w:right="80" w:hanging="448"/>
        <w:spacing w:after="0" w:line="282" w:lineRule="auto"/>
        <w:tabs>
          <w:tab w:leader="none" w:pos="7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of which 25% will become exercisable on the one-year anniversary with the remainder becoming exercisable in equal 1/12th installments on the last day of each calendar quarter thereafter.</w:t>
      </w:r>
    </w:p>
    <w:p>
      <w:pPr>
        <w:spacing w:after="0" w:line="13" w:lineRule="exact"/>
        <w:rPr>
          <w:rFonts w:ascii="Times New Roman" w:cs="Times New Roman" w:eastAsia="Times New Roman" w:hAnsi="Times New Roman"/>
          <w:sz w:val="18"/>
          <w:szCs w:val="18"/>
          <w:color w:val="auto"/>
        </w:rPr>
      </w:pPr>
    </w:p>
    <w:p>
      <w:pPr>
        <w:ind w:left="780" w:right="80" w:hanging="448"/>
        <w:spacing w:after="0" w:line="250" w:lineRule="auto"/>
        <w:tabs>
          <w:tab w:leader="none" w:pos="7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of which 25% will become exercisable on the one-year anniversary with the remainder becoming exercisable in equal 1/36th installments on the last day of each calendar month thereafter.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59" w:lineRule="exact"/>
        <w:rPr>
          <w:sz w:val="20"/>
          <w:szCs w:val="20"/>
          <w:color w:val="auto"/>
        </w:rPr>
      </w:pPr>
    </w:p>
    <w:p>
      <w:pPr>
        <w:ind w:left="780" w:right="660" w:hanging="448"/>
        <w:spacing w:after="0" w:line="237" w:lineRule="auto"/>
        <w:tabs>
          <w:tab w:leader="none" w:pos="7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of restricted stock vested on January 2, 2024 and 1/36 of the remaining shares of restricted stock will vest on monthly anniversaries thereafter</w:t>
      </w:r>
    </w:p>
    <w:p>
      <w:pPr>
        <w:spacing w:after="0" w:line="36"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stock awards is based on the closing market price of our common stock on December 31, 2023 of $0.65</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and Separation Agreements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are descriptions of the employment or separation agreements with our named executive officers. Furthermore, each of our executive officers has executed a form of our standard proprietary information and inventions assignment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J. Arthur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 2024 (the “Separation Date”), we entered into a separation and release agreement (the “Separation Agreement”) with David J. Arthur, our President and Chief Executive Officer, which provides for Mr. Arthur’s separation of employment, effective as of the Separation Date. Under the Separation Agreement, we paid Mr. Arthur a lump-sum payment equal to the amounts owed to him pursuant to Section 5(c)(ii) of that certain Amended and Restated Employment Agreement. Under the terms of the Separation Agreement, Mr. Arthur has elected to receive such amounts in a lump sum.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Arthur will remain as our principal executive officer and provide services to the us in such capacity pursuant to a Consulting Agreement, dated February 20, 2024 (the “Consulting Agreement”). Pursuant to the Consulting Agreement, Mr. Arthur is required to devote at least one-fourth (1/4) of his time on a weekly basis (on average 10 or more hours/week) to performing the services set forth in the Consulting Agreement. In exchange for Mr. Arthur’s services as set forth in the Consulting Agreement, Mr. Arthur will receive $10,417 per month. The term of the Consulting Agreement expires on February 20, 2025, unless earlier terminated by either party in accordance with the terms of the Consulting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on the Separation Date, we entered into a Notice of Stock Option Amendment with Mr. Arthur (the “Notice of Stock Option Amendment), pursuant to which the Board amended the stock options to purchase shares of common stock granted to Mr. Arthur on September 10, 2019, March 23, 2020, July 14, 2020, December 2, 2020 and January 20, 2022 pursuant to the Company’s 2015 Equity Incentive Plan (the “Plan”) to extend the post-termination exercise period from 90 days to 18 months upon the termination of Mr. Arthur’s “Continuous Service” (as defined in the Plan) for any reason other than for “Cause” (as defined in the Plan), but not beyond the term of the applicable stock option, and subject to earlier termination (such as in connection with a “Corporate Transaction” (as defined in the Plan) as provided under the Plan.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Arthur also entered into an updated indemnification agreement with the Company (the “Indemnification Agreement”) to reflect his change in status from an employee of the Company to a consultant.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J. Rosenblum</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24, 2020, we entered into an Executive Employment Agreement with Mark J. Rosenblum, its Executive Vice President of Finance and Chief Financial Officer (the “Rosenblum Agreement”). Under the Rosenblum Agreement, Mr. Rosenblum was originally entitled to an annual base salary of $265,000. Mr. Rosenblum is also eligible to participate in, subject to applicable eligibility requirements, all of our benefits plans and fringe benefits and programs that may be provided to our executives from time to time.. In December 2021 Mr. Rosenblum’s base salary was increased to $300,000, which increase became effective January 1, 2022. In November 2022 Mr. Rosenblum’s base salary was increased to $330,000, which increase became effective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2023. On February 20, 2024, we entered into an amendment to the Rosenblum Agreement to provide Mr. Rosenblum with the option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any severance that may be owed to him pursuant to Section 5(c)(i) thereof in equal installments over a period of time or in a lump-sum amount.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compensation recoupment, or clawback, policy, which we adopted to comply with Nasdaq listing standards implementing Exchange Act Rule 10D-1. The clawback policy includes mandatory recoupment of excess incentive-based compensation received by a covered executive (including the Named Executive Officers) on or after October 2, 2023 in the event of a restatement of the Company’s financial statements due to material non-compliance with any financial reporting requirement under federal securities laws, as required by Exchange Act Rule 10D-1.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 Termination-Based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Rosenblum Agreement </w:t>
      </w:r>
      <w:r>
        <w:rPr>
          <w:rFonts w:ascii="Times New Roman" w:cs="Times New Roman" w:eastAsia="Times New Roman" w:hAnsi="Times New Roman"/>
          <w:sz w:val="18"/>
          <w:szCs w:val="18"/>
          <w:u w:val="single" w:color="auto"/>
          <w:color w:val="auto"/>
        </w:rPr>
        <w:t>provides</w:t>
      </w:r>
      <w:r>
        <w:rPr>
          <w:rFonts w:ascii="Times New Roman" w:cs="Times New Roman" w:eastAsia="Times New Roman" w:hAnsi="Times New Roman"/>
          <w:sz w:val="18"/>
          <w:szCs w:val="18"/>
          <w:color w:val="auto"/>
        </w:rPr>
        <w:t xml:space="preserve"> that, so long as </w:t>
      </w:r>
      <w:r>
        <w:rPr>
          <w:rFonts w:ascii="Times New Roman" w:cs="Times New Roman" w:eastAsia="Times New Roman" w:hAnsi="Times New Roman"/>
          <w:sz w:val="18"/>
          <w:szCs w:val="18"/>
          <w:u w:val="single" w:color="auto"/>
          <w:color w:val="auto"/>
        </w:rPr>
        <w:t>Mr. Rosenblum</w:t>
      </w:r>
      <w:r>
        <w:rPr>
          <w:rFonts w:ascii="Times New Roman" w:cs="Times New Roman" w:eastAsia="Times New Roman" w:hAnsi="Times New Roman"/>
          <w:sz w:val="18"/>
          <w:szCs w:val="18"/>
          <w:color w:val="auto"/>
        </w:rPr>
        <w:t xml:space="preserve"> executes a release and settlement agreement with the Company, and subject to applicable withholdings, he would be entitled to receive a cash severance and an amount for premium payments under COBRA. Under the Rosenblum Agreement, the cash severance is equal to 9 months and if Mr. Rosenblum elects continuation coverage under COBRA or state law equivalent or enrollment in an individual marketplace, we will pay him an amount equal to the 9 months’ worth of total premium payments (or until the date the executive secures reasonably comparable coverage with another employer, if sooner). These payments to Mr. Rosenblum are required to be made upon the following termination events:</w:t>
      </w:r>
    </w:p>
    <w:p>
      <w:pPr>
        <w:spacing w:after="0" w:line="187"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or a successor entity terminates the executive’s employment for any reason other than a termination for Cause, or in connection with death, a permanent disability, or our dissolution; and</w:t>
      </w: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within the 18-month period following a Change in Control of the Company or a successor entity terminates the executive’s employment for any reason other than a termination for Cause or in connection with death, a permanent disability, or the Company’s dissolution, or if the executive terminates his employment for Good Reason.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have been adopted in the Rosenblum Agreement: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Cause” shall be determined by the board of managers by a majority vote (not including such employee with respect to an event related to him) and shall mean:</w:t>
      </w:r>
    </w:p>
    <w:p>
      <w:pPr>
        <w:spacing w:after="0" w:line="162"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which is not cured within 30 days after written notice thereof, of the terms of Rosenblum Agreement by the executive, or the failure of the executive to diligently and properly perform his duties, or the executive’s failure to achieve the objectives specified by the board of managers;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misappropriation or unauthorized use of the tangible or intangible property of the Company, or any other similar agreement regarding confidentiality, intellectual property rights, non-competition or non-solicitation;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failure to comply with company policies or any other policies and/or directives of the board of managers, which failure is not cured within 30 days after written notice thereof, provided that no cure period is available for a failure to comply with policies related to harassment, unlawful discrimination, retaliation or workplace violence;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use of illegal drugs or any illegal substance, or alcohol in any manner that materially interferes with the performance of his duties under the Rosenblum Agreement;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dishonest or illegal action (including, without limitation, embezzlement) or any other action by the executive which is materially detrimental to the interest and well-being of the Company, including, without limitation, harm to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failure to fully disclose to us any material conflict of interest he may have in a transaction between the Company and any third party which is materially detrimental to the interest and well-being of the Company;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action or omission by the executive which would be required to be disclosed pursuant to public securities laws or which would limit the ability of us or our affiliates to sell securities under any Federal or state law or which would disqualify us or our affiliates from any exemption otherwise available to 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 Reason” means the occurrence of any of the following actions taken by us without the executive’s consent, but only if (a) the executive informs us within 90 days of its occurrence that an event constituting Good Reason has occurred (b) we fail to cure the event within 90 days of such notice, and (c) the executive terminates his employment within 6 months of the initial occurrence:</w:t>
      </w:r>
    </w:p>
    <w:p>
      <w:pPr>
        <w:spacing w:after="0" w:line="176"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months immediately following a Change of Control, or the “Post-COC Period”, his salary, bonus or equity are reduced or diminished, or his duties and responsibilities or position are reduced or diminished to less than an executive “C” level position;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after the Post-COC Period, the executive’s salary, bonus or equity are reduced or diminished, or his duties and responsibilities or position are reduced when compared to his duties and responsibilities immediately prior to Change of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materially breach our obligations under the applicable Rosenblum Agreement;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required to relocate by more than 50 miles outside the extraterritorial jurisdiction of Houston, Texas.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 in Control” means (i) a financing transaction or any transaction designed to raise money for our continuing operations or any sale, exchange, transfer, or issuance, or related series of sales, exchanges, transfers, or issuances, of our equity units by us or any holder thereof, in which the holders of our equity units immediately prior to such transaction or event no longer hold beneficial ownership of at least fifty percent (50%) of our outstanding equity units immediately after any such transaction or event; or (ii) a significant transaction involving the out-licensing of our lead clinical asset, a sale of substantially all of our assets, or our liquidation or dissolution.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2023:</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 Weighted Average Exercise</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Number of Securities Remaining</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2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580" w:type="dxa"/>
            <w:vAlign w:val="bottom"/>
            <w:vMerge w:val="continue"/>
          </w:tcPr>
          <w:p>
            <w:pPr>
              <w:spacing w:after="0"/>
              <w:rPr>
                <w:sz w:val="15"/>
                <w:szCs w:val="15"/>
                <w:color w:val="auto"/>
              </w:rPr>
            </w:pPr>
          </w:p>
        </w:tc>
        <w:tc>
          <w:tcPr>
            <w:tcW w:w="3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 Equity</w:t>
            </w:r>
          </w:p>
        </w:tc>
        <w:tc>
          <w:tcPr>
            <w:tcW w:w="0" w:type="dxa"/>
            <w:vAlign w:val="bottom"/>
          </w:tcPr>
          <w:p>
            <w:pPr>
              <w:spacing w:after="0"/>
              <w:rPr>
                <w:sz w:val="1"/>
                <w:szCs w:val="1"/>
                <w:color w:val="auto"/>
              </w:rPr>
            </w:pPr>
          </w:p>
        </w:tc>
      </w:tr>
      <w:tr>
        <w:trPr>
          <w:trHeight w:val="189"/>
        </w:trPr>
        <w:tc>
          <w:tcPr>
            <w:tcW w:w="22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Plan Category</w:t>
            </w:r>
          </w:p>
        </w:tc>
        <w:tc>
          <w:tcPr>
            <w:tcW w:w="2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Outstanding Options and</w:t>
            </w:r>
          </w:p>
        </w:tc>
        <w:tc>
          <w:tcPr>
            <w:tcW w:w="2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Price of Outstanding Equity</w:t>
            </w:r>
          </w:p>
        </w:tc>
        <w:tc>
          <w:tcPr>
            <w:tcW w:w="3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 Plans (Excluding Securities</w:t>
            </w:r>
          </w:p>
        </w:tc>
        <w:tc>
          <w:tcPr>
            <w:tcW w:w="0" w:type="dxa"/>
            <w:vAlign w:val="bottom"/>
          </w:tcPr>
          <w:p>
            <w:pPr>
              <w:spacing w:after="0"/>
              <w:rPr>
                <w:sz w:val="1"/>
                <w:szCs w:val="1"/>
                <w:color w:val="auto"/>
              </w:rPr>
            </w:pPr>
          </w:p>
        </w:tc>
      </w:tr>
      <w:tr>
        <w:trPr>
          <w:trHeight w:val="225"/>
        </w:trPr>
        <w:tc>
          <w:tcPr>
            <w:tcW w:w="2280" w:type="dxa"/>
            <w:vAlign w:val="bottom"/>
            <w:vMerge w:val="continue"/>
          </w:tcPr>
          <w:p>
            <w:pPr>
              <w:spacing w:after="0"/>
              <w:rPr>
                <w:sz w:val="19"/>
                <w:szCs w:val="19"/>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 Units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Column(a))</w:t>
            </w:r>
          </w:p>
        </w:tc>
        <w:tc>
          <w:tcPr>
            <w:tcW w:w="0" w:type="dxa"/>
            <w:vAlign w:val="bottom"/>
          </w:tcPr>
          <w:p>
            <w:pPr>
              <w:spacing w:after="0"/>
              <w:rPr>
                <w:sz w:val="1"/>
                <w:szCs w:val="1"/>
                <w:color w:val="auto"/>
              </w:rPr>
            </w:pPr>
          </w:p>
        </w:tc>
      </w:tr>
      <w:tr>
        <w:trPr>
          <w:trHeight w:val="180"/>
        </w:trPr>
        <w:tc>
          <w:tcPr>
            <w:tcW w:w="228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w w:val="99"/>
              </w:rPr>
              <w:t>Equity compensation plans</w:t>
            </w:r>
          </w:p>
        </w:tc>
        <w:tc>
          <w:tcPr>
            <w:tcW w:w="26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approved by stockholders(1)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90,354</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$23.78</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213,343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tbl>
      <w:tblPr>
        <w:tblLayout w:type="fixed"/>
        <w:tblInd w:w="140" w:type="dxa"/>
        <w:tblCellMar>
          <w:top w:w="0" w:type="dxa"/>
          <w:left w:w="0" w:type="dxa"/>
          <w:bottom w:w="0" w:type="dxa"/>
          <w:right w:w="0" w:type="dxa"/>
        </w:tblCellMar>
      </w:tblPr>
      <w:tr>
        <w:trPr>
          <w:trHeight w:val="207"/>
        </w:trPr>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 compensation plans not</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3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approved by stockholders</w:t>
            </w:r>
          </w:p>
        </w:tc>
        <w:tc>
          <w:tcPr>
            <w:tcW w:w="27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r>
        <w:trPr>
          <w:trHeight w:val="236"/>
        </w:trPr>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7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90,354</w:t>
            </w:r>
          </w:p>
        </w:tc>
        <w:tc>
          <w:tcPr>
            <w:tcW w:w="27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23.78</w:t>
            </w:r>
          </w:p>
        </w:tc>
        <w:tc>
          <w:tcPr>
            <w:tcW w:w="330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213,343</w:t>
            </w:r>
          </w:p>
        </w:tc>
      </w:tr>
    </w:tbl>
    <w:p>
      <w:pPr>
        <w:spacing w:after="0" w:line="400" w:lineRule="exact"/>
        <w:rPr>
          <w:sz w:val="20"/>
          <w:szCs w:val="20"/>
          <w:color w:val="auto"/>
        </w:rPr>
      </w:pPr>
    </w:p>
    <w:p>
      <w:pPr>
        <w:jc w:val="both"/>
        <w:ind w:firstLine="8"/>
        <w:spacing w:after="0" w:line="253" w:lineRule="auto"/>
        <w:tabs>
          <w:tab w:leader="none" w:pos="2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outstanding that were issued or remain available under the 2015 Equity Incentive Plan and the 2015 Employee Stock Purchase Plan. The number of shares of our common stock authorized under the 2015 Equity Incentive Plan automatically increase on January 1st of each year, for a period of not more than ten years, commencing on January 1, 2016 and ending on (and including) January 1, 2025, in an amount equal to 4% of the total number of shares of capital stock outstanding on December 31st of the preceding calendar year. Notwithstanding the foregoing, the Board may act prior to January 1st of a given year to provide that there will be no January 1st increase in the share reserve under the 2015 Equity Incentive Plan for such year or that the increase in the share reserve for such year will be a lesser number of shares of common stock than would otherwise occur pursuant to the preceding sentence. The number of shares of our common stock authorized under the 2015 Employee Stock Purchase Plan automatically increases on January 1st of each year for up to 10 years, in an amount equal to the lesser of (i) 2% of the total number of shares of capital stock outstanding on December 31st of the preceding calendar year, and (ii) 75,000 shares of Common Stock. Notwithstanding the foregoing, the Board may act prior to the first day of any calendar year to provide that there will be no January 1st increase in the share reserve under the 2015 Employee Stock Purchase Plan for such calendar year or that the increase in the share reserve for such calendar year will be a lesser number of shares of common stock than would otherwise occur.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Director Compensation</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compensation to our non-employee directors that was paid or accrued by us in 2023 pursuant to the non-employee director compensation policy described below.</w:t>
      </w:r>
    </w:p>
    <w:p>
      <w:pPr>
        <w:spacing w:after="0" w:line="200" w:lineRule="exact"/>
        <w:rPr>
          <w:sz w:val="20"/>
          <w:szCs w:val="20"/>
          <w:color w:val="auto"/>
        </w:rPr>
      </w:pPr>
    </w:p>
    <w:p>
      <w:pPr>
        <w:spacing w:after="0" w:line="245" w:lineRule="exact"/>
        <w:rPr>
          <w:sz w:val="20"/>
          <w:szCs w:val="20"/>
          <w:color w:val="auto"/>
        </w:rPr>
      </w:pPr>
    </w:p>
    <w:tbl>
      <w:tblPr>
        <w:tblLayout w:type="fixed"/>
        <w:tblInd w:w="1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Name(1)</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Earned or Paid in Cash(2)</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 (3)</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7"/>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Tess Burleson</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$62,500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$2,261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$64,761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6"/>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Arnold C. Hanish</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$2,261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$67,261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Paul Lammers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$74,500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$2,261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$76,761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Jonathan Lieber</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$51,500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$2,261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$53,761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Bruce J. McCreedy</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$2,261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$45,261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William K. McVicar</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$2,261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$82,261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279" w:lineRule="exact"/>
        <w:rPr>
          <w:sz w:val="20"/>
          <w:szCs w:val="20"/>
          <w:color w:val="auto"/>
        </w:rPr>
      </w:pPr>
    </w:p>
    <w:p>
      <w:pPr>
        <w:ind w:right="80" w:firstLine="8"/>
        <w:spacing w:after="0" w:line="24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Arthur is not included in this table as he is our chief executive officer and received no extra compensation for his service as a director while he was an employee of the Company. The compensation received by Mr. Arthur in his capacity as our chief executive officer is set forth above in the Summary Compensation Table.</w:t>
      </w:r>
    </w:p>
    <w:p>
      <w:pPr>
        <w:spacing w:after="0" w:line="170" w:lineRule="exact"/>
        <w:rPr>
          <w:rFonts w:ascii="Times New Roman" w:cs="Times New Roman" w:eastAsia="Times New Roman" w:hAnsi="Times New Roman"/>
          <w:sz w:val="18"/>
          <w:szCs w:val="18"/>
          <w:color w:val="auto"/>
        </w:rPr>
      </w:pPr>
    </w:p>
    <w:p>
      <w:pPr>
        <w:ind w:right="260" w:firstLine="8"/>
        <w:spacing w:after="0" w:line="266"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the retainer paid to each director for their service on the board and any committees on which they served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1" w:name="page22"/>
    <w:bookmarkEnd w:id="21"/>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We estimated the grant date fair value of restricted stock in according to FASB ASC Topic 718.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non-employee director compensation is comprised of cash compensation and equity compensation. Further, we reimburse all of our non-employee directors for their reasonable expenses incurred in attending meetings of our Board and committees of the Board.</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Generally, our Board believes that the level of director compensation should be based on time spent carrying out Board and committee responsibilities and be competitive with comparable companies. In addition, the Board believes that a significant portion of director compensation should align director interests with the long-term interests of stockholders. The Board makes changes in its director compensation practices only upon the recommendation of the Compensation Committee, and discussion and approval by the Board.</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Board, following the Compensation Committee’s recommendation, has approved the compensation of our non-employee directors, as described below. The compensation of our non-employee directors remains the same as it was in 2023. The Compensation Committee believes that our non-employee director compensation remains aligned with director compensation practices at our peer companies while considering the ongoing cash constraints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2023,our non-employee director cash compensation policy provides that non-employee directors receive a $40,000 annual retainer, with an additional $20,000 annual retainer for our former lead independent director, an additional $40,000 annual retainer for the chair of the Board, and the following additional retainers for committee services:</w:t>
      </w:r>
    </w:p>
    <w:p>
      <w:pPr>
        <w:spacing w:after="0" w:line="200" w:lineRule="exact"/>
        <w:rPr>
          <w:sz w:val="20"/>
          <w:szCs w:val="20"/>
          <w:color w:val="auto"/>
        </w:rPr>
      </w:pPr>
    </w:p>
    <w:p>
      <w:pPr>
        <w:spacing w:after="0" w:line="277" w:lineRule="exact"/>
        <w:rPr>
          <w:sz w:val="20"/>
          <w:szCs w:val="20"/>
          <w:color w:val="auto"/>
        </w:rPr>
      </w:pPr>
    </w:p>
    <w:tbl>
      <w:tblPr>
        <w:tblLayout w:type="fixed"/>
        <w:tblInd w:w="196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0" w:type="dxa"/>
            <w:vAlign w:val="bottom"/>
          </w:tcPr>
          <w:p>
            <w:pPr>
              <w:spacing w:after="0"/>
              <w:rPr>
                <w:sz w:val="1"/>
                <w:szCs w:val="1"/>
                <w:color w:val="auto"/>
              </w:rPr>
            </w:pPr>
          </w:p>
        </w:tc>
      </w:tr>
      <w:tr>
        <w:trPr>
          <w:trHeight w:val="95"/>
        </w:trPr>
        <w:tc>
          <w:tcPr>
            <w:tcW w:w="4380" w:type="dxa"/>
            <w:vAlign w:val="bottom"/>
          </w:tcPr>
          <w:p>
            <w:pPr>
              <w:spacing w:after="0"/>
              <w:rPr>
                <w:sz w:val="8"/>
                <w:szCs w:val="8"/>
                <w:color w:val="auto"/>
              </w:rPr>
            </w:pPr>
          </w:p>
        </w:tc>
        <w:tc>
          <w:tcPr>
            <w:tcW w:w="1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38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740" w:type="dxa"/>
            <w:vAlign w:val="bottom"/>
            <w:vMerge w:val="continue"/>
          </w:tcPr>
          <w:p>
            <w:pPr>
              <w:spacing w:after="0"/>
              <w:rPr>
                <w:sz w:val="12"/>
                <w:szCs w:val="12"/>
                <w:color w:val="auto"/>
              </w:rPr>
            </w:pPr>
          </w:p>
        </w:tc>
        <w:tc>
          <w:tcPr>
            <w:tcW w:w="12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21"/>
        </w:trPr>
        <w:tc>
          <w:tcPr>
            <w:tcW w:w="4380" w:type="dxa"/>
            <w:vAlign w:val="bottom"/>
            <w:tcBorders>
              <w:bottom w:val="single" w:sz="8" w:color="auto"/>
            </w:tcBorders>
            <w:vMerge w:val="continue"/>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Compensation Committee</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$13,500</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306"/>
        </w:trPr>
        <w:tc>
          <w:tcPr>
            <w:tcW w:w="4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Nominating and Corporate</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198"/>
        </w:trPr>
        <w:tc>
          <w:tcPr>
            <w:tcW w:w="4380" w:type="dxa"/>
            <w:vAlign w:val="bottom"/>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w w:val="99"/>
              </w:rPr>
              <w:t>Governance Committee</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Audit Committee</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20, 2024, the Board approved a reduction in cash compensation payable to its non-employee directors. Effective as of April 1, 2024, non-employee directors receive an annual cash retainer of $30,000 (previously $40,000) for their Board service. In addition, the Chair of the Board receives an additional annual cash retainer of $20,000 (previously $40,000), the Chair of the Audit Committee of the Board receives an additional annual cash retainer of $10,000 (previously $20,000), and members of the Audit Committee will receive an additional annual cash retainer of $3,500 (previously $7,500). No additional cash retainers will be paid for serving as a Chair or member of the Compensation Committee of the Board or the Governance and Nominating Committee of the Board. Mr. Arthur is eligible to receive compensation as a non-employee member of the Board.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number of shares subject to outstanding stock options held by non-employee directors as of December 31, 2023:</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49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Number of Shares Subject</w:t>
            </w: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Restricted Shares of Common</w:t>
            </w:r>
          </w:p>
        </w:tc>
        <w:tc>
          <w:tcPr>
            <w:tcW w:w="0" w:type="dxa"/>
            <w:vAlign w:val="bottom"/>
          </w:tcPr>
          <w:p>
            <w:pPr>
              <w:spacing w:after="0"/>
              <w:rPr>
                <w:sz w:val="1"/>
                <w:szCs w:val="1"/>
                <w:color w:val="auto"/>
              </w:rPr>
            </w:pPr>
          </w:p>
        </w:tc>
      </w:tr>
      <w:tr>
        <w:trPr>
          <w:trHeight w:val="59"/>
        </w:trPr>
        <w:tc>
          <w:tcPr>
            <w:tcW w:w="2700" w:type="dxa"/>
            <w:vAlign w:val="bottom"/>
          </w:tcPr>
          <w:p>
            <w:pPr>
              <w:spacing w:after="0"/>
              <w:rPr>
                <w:sz w:val="5"/>
                <w:szCs w:val="5"/>
                <w:color w:val="auto"/>
              </w:rPr>
            </w:pPr>
          </w:p>
        </w:tc>
        <w:tc>
          <w:tcPr>
            <w:tcW w:w="498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to Outstanding Stock Options</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108"/>
        </w:trPr>
        <w:tc>
          <w:tcPr>
            <w:tcW w:w="2700" w:type="dxa"/>
            <w:vAlign w:val="bottom"/>
            <w:tcBorders>
              <w:bottom w:val="single" w:sz="8" w:color="auto"/>
            </w:tcBorders>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6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Tess Burleson</w:t>
            </w:r>
          </w:p>
        </w:tc>
        <w:tc>
          <w:tcPr>
            <w:tcW w:w="4000" w:type="dxa"/>
            <w:vAlign w:val="bottom"/>
            <w:tcBorders>
              <w:top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2,760</w:t>
            </w:r>
          </w:p>
        </w:tc>
      </w:tr>
      <w:tr>
        <w:trPr>
          <w:trHeight w:val="365"/>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Arnold C. Hanish</w:t>
            </w:r>
          </w:p>
        </w:tc>
        <w:tc>
          <w:tcPr>
            <w:tcW w:w="40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2,760</w:t>
            </w:r>
          </w:p>
        </w:tc>
      </w:tr>
      <w:tr>
        <w:trPr>
          <w:trHeight w:val="364"/>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Lammers</w:t>
            </w:r>
          </w:p>
        </w:tc>
        <w:tc>
          <w:tcPr>
            <w:tcW w:w="40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2,760</w:t>
            </w:r>
          </w:p>
        </w:tc>
      </w:tr>
      <w:tr>
        <w:trPr>
          <w:trHeight w:val="364"/>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Jonathan Lieber</w:t>
            </w:r>
          </w:p>
        </w:tc>
        <w:tc>
          <w:tcPr>
            <w:tcW w:w="40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2,760</w:t>
            </w:r>
          </w:p>
        </w:tc>
      </w:tr>
      <w:tr>
        <w:trPr>
          <w:trHeight w:val="365"/>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Bruce J. McCreedy</w:t>
            </w:r>
          </w:p>
        </w:tc>
        <w:tc>
          <w:tcPr>
            <w:tcW w:w="40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2,760</w:t>
            </w:r>
          </w:p>
        </w:tc>
      </w:tr>
      <w:tr>
        <w:trPr>
          <w:trHeight w:val="364"/>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William K. McVicar</w:t>
            </w:r>
          </w:p>
        </w:tc>
        <w:tc>
          <w:tcPr>
            <w:tcW w:w="40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2,760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1,440</w:t>
      </w:r>
    </w:p>
    <w:p>
      <w:pPr>
        <w:sectPr>
          <w:pgSz w:w="11900" w:h="16838" w:orient="portrait"/>
          <w:cols w:equalWidth="0" w:num="2">
            <w:col w:w="8420" w:space="720"/>
            <w:col w:w="999"/>
          </w:cols>
          <w:pgMar w:left="320" w:top="1440" w:right="1440" w:bottom="1440" w:gutter="0" w:footer="0" w:header="0"/>
        </w:sectPr>
      </w:pPr>
    </w:p>
    <w:bookmarkStart w:id="23" w:name="page24"/>
    <w:bookmarkEnd w:id="2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of Directors, Officers and Principal Stockholders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April 11, 2024 regarding the number of shares of common stock and the percentage of common stock, beneficially owned by:</w:t>
      </w:r>
    </w:p>
    <w:p>
      <w:pPr>
        <w:spacing w:after="0" w:line="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executive officers and directors as a group.</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percentage ownership is based on 4,314,433 shares of common stock outstanding on April 11, 2024.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our common stock issuable pursuant to the exercise of stock options or warrants or other securities that are either immediately exercisable or exercisable or vest within 60 days of April 11, 2024. These shares are deemed to be outstanding and beneficially owned by the person holding those options, warrants, or securities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Salarius Pharmaceuticals, Inc., 2450 Holcombe Blvd., Suite X, Houston, TX 77021.</w:t>
      </w:r>
    </w:p>
    <w:p>
      <w:pPr>
        <w:spacing w:after="0" w:line="200" w:lineRule="exact"/>
        <w:rPr>
          <w:sz w:val="20"/>
          <w:szCs w:val="20"/>
          <w:color w:val="auto"/>
        </w:rPr>
      </w:pP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900" w:type="dxa"/>
            <w:vAlign w:val="bottom"/>
          </w:tcPr>
          <w:p>
            <w:pPr>
              <w:spacing w:after="0"/>
              <w:rPr>
                <w:sz w:val="14"/>
                <w:szCs w:val="14"/>
                <w:color w:val="auto"/>
              </w:rPr>
            </w:pPr>
          </w:p>
        </w:tc>
      </w:tr>
      <w:tr>
        <w:trPr>
          <w:trHeight w:val="175"/>
        </w:trPr>
        <w:tc>
          <w:tcPr>
            <w:tcW w:w="6480" w:type="dxa"/>
            <w:vAlign w:val="bottom"/>
          </w:tcPr>
          <w:p>
            <w:pPr>
              <w:spacing w:after="0"/>
              <w:rPr>
                <w:sz w:val="15"/>
                <w:szCs w:val="15"/>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75"/>
        </w:trPr>
        <w:tc>
          <w:tcPr>
            <w:tcW w:w="6480" w:type="dxa"/>
            <w:vAlign w:val="bottom"/>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9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20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9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3"/>
        </w:trPr>
        <w:tc>
          <w:tcPr>
            <w:tcW w:w="6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Armistice Capital, LLC (1)</w:t>
            </w:r>
          </w:p>
        </w:tc>
        <w:tc>
          <w:tcPr>
            <w:tcW w:w="1720" w:type="dxa"/>
            <w:vAlign w:val="bottom"/>
            <w:shd w:val="clear" w:color="auto" w:fill="CFF0FC"/>
          </w:tcPr>
          <w:p>
            <w:pPr>
              <w:jc w:val="center"/>
              <w:ind w:left="515"/>
              <w:spacing w:after="0"/>
              <w:rPr>
                <w:sz w:val="20"/>
                <w:szCs w:val="20"/>
                <w:color w:val="auto"/>
              </w:rPr>
            </w:pPr>
            <w:r>
              <w:rPr>
                <w:rFonts w:ascii="Times New Roman" w:cs="Times New Roman" w:eastAsia="Times New Roman" w:hAnsi="Times New Roman"/>
                <w:sz w:val="18"/>
                <w:szCs w:val="18"/>
                <w:color w:val="auto"/>
              </w:rPr>
              <w:t>427,350</w:t>
            </w:r>
          </w:p>
        </w:tc>
        <w:tc>
          <w:tcPr>
            <w:tcW w:w="1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6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Arthur (2)</w:t>
            </w:r>
          </w:p>
        </w:tc>
        <w:tc>
          <w:tcPr>
            <w:tcW w:w="172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6"/>
              </w:rPr>
              <w:t>87,130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 J. Rosenblum (3)</w:t>
            </w:r>
          </w:p>
        </w:tc>
        <w:tc>
          <w:tcPr>
            <w:tcW w:w="1720" w:type="dxa"/>
            <w:vAlign w:val="bottom"/>
            <w:shd w:val="clear" w:color="auto" w:fill="CFF0FC"/>
          </w:tcPr>
          <w:p>
            <w:pPr>
              <w:jc w:val="center"/>
              <w:ind w:left="515"/>
              <w:spacing w:after="0"/>
              <w:rPr>
                <w:sz w:val="20"/>
                <w:szCs w:val="20"/>
                <w:color w:val="auto"/>
              </w:rPr>
            </w:pPr>
            <w:r>
              <w:rPr>
                <w:rFonts w:ascii="Times New Roman" w:cs="Times New Roman" w:eastAsia="Times New Roman" w:hAnsi="Times New Roman"/>
                <w:sz w:val="18"/>
                <w:szCs w:val="18"/>
                <w:color w:val="auto"/>
                <w:w w:val="96"/>
              </w:rPr>
              <w:t>33,191</w:t>
            </w:r>
          </w:p>
        </w:tc>
        <w:tc>
          <w:tcPr>
            <w:tcW w:w="1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Tess Burleson(4)</w:t>
            </w:r>
          </w:p>
        </w:tc>
        <w:tc>
          <w:tcPr>
            <w:tcW w:w="172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8"/>
              </w:rPr>
              <w:t>5,656</w:t>
            </w:r>
          </w:p>
        </w:tc>
        <w:tc>
          <w:tcPr>
            <w:tcW w:w="100" w:type="dxa"/>
            <w:vAlign w:val="bottom"/>
          </w:tcPr>
          <w:p>
            <w:pPr>
              <w:spacing w:after="0"/>
              <w:rPr>
                <w:sz w:val="19"/>
                <w:szCs w:val="19"/>
                <w:color w:val="auto"/>
              </w:rPr>
            </w:pPr>
          </w:p>
        </w:tc>
        <w:tc>
          <w:tcPr>
            <w:tcW w:w="1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Arnold C. Hanish(5)</w:t>
            </w:r>
          </w:p>
        </w:tc>
        <w:tc>
          <w:tcPr>
            <w:tcW w:w="1720" w:type="dxa"/>
            <w:vAlign w:val="bottom"/>
            <w:shd w:val="clear" w:color="auto" w:fill="CFF0FC"/>
          </w:tcPr>
          <w:p>
            <w:pPr>
              <w:jc w:val="center"/>
              <w:ind w:left="515"/>
              <w:spacing w:after="0"/>
              <w:rPr>
                <w:sz w:val="20"/>
                <w:szCs w:val="20"/>
                <w:color w:val="auto"/>
              </w:rPr>
            </w:pPr>
            <w:r>
              <w:rPr>
                <w:rFonts w:ascii="Times New Roman" w:cs="Times New Roman" w:eastAsia="Times New Roman" w:hAnsi="Times New Roman"/>
                <w:sz w:val="18"/>
                <w:szCs w:val="18"/>
                <w:color w:val="auto"/>
                <w:w w:val="98"/>
              </w:rPr>
              <w:t>6,228</w:t>
            </w:r>
          </w:p>
        </w:tc>
        <w:tc>
          <w:tcPr>
            <w:tcW w:w="1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Lieber(6)</w:t>
            </w:r>
          </w:p>
        </w:tc>
        <w:tc>
          <w:tcPr>
            <w:tcW w:w="172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8"/>
              </w:rPr>
              <w:t>5,460</w:t>
            </w:r>
          </w:p>
        </w:tc>
        <w:tc>
          <w:tcPr>
            <w:tcW w:w="100" w:type="dxa"/>
            <w:vAlign w:val="bottom"/>
          </w:tcPr>
          <w:p>
            <w:pPr>
              <w:spacing w:after="0"/>
              <w:rPr>
                <w:sz w:val="19"/>
                <w:szCs w:val="19"/>
                <w:color w:val="auto"/>
              </w:rPr>
            </w:pPr>
          </w:p>
        </w:tc>
        <w:tc>
          <w:tcPr>
            <w:tcW w:w="1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Paul Lammers(7)</w:t>
            </w:r>
          </w:p>
        </w:tc>
        <w:tc>
          <w:tcPr>
            <w:tcW w:w="1720" w:type="dxa"/>
            <w:vAlign w:val="bottom"/>
            <w:shd w:val="clear" w:color="auto" w:fill="CFF0FC"/>
          </w:tcPr>
          <w:p>
            <w:pPr>
              <w:jc w:val="center"/>
              <w:ind w:left="515"/>
              <w:spacing w:after="0"/>
              <w:rPr>
                <w:sz w:val="20"/>
                <w:szCs w:val="20"/>
                <w:color w:val="auto"/>
              </w:rPr>
            </w:pPr>
            <w:r>
              <w:rPr>
                <w:rFonts w:ascii="Times New Roman" w:cs="Times New Roman" w:eastAsia="Times New Roman" w:hAnsi="Times New Roman"/>
                <w:sz w:val="18"/>
                <w:szCs w:val="18"/>
                <w:color w:val="auto"/>
                <w:w w:val="98"/>
              </w:rPr>
              <w:t>4,478</w:t>
            </w:r>
          </w:p>
        </w:tc>
        <w:tc>
          <w:tcPr>
            <w:tcW w:w="1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J. McCreedy(8)</w:t>
            </w:r>
          </w:p>
        </w:tc>
        <w:tc>
          <w:tcPr>
            <w:tcW w:w="172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8"/>
              </w:rPr>
              <w:t>4,548</w:t>
            </w:r>
          </w:p>
        </w:tc>
        <w:tc>
          <w:tcPr>
            <w:tcW w:w="100" w:type="dxa"/>
            <w:vAlign w:val="bottom"/>
          </w:tcPr>
          <w:p>
            <w:pPr>
              <w:spacing w:after="0"/>
              <w:rPr>
                <w:sz w:val="19"/>
                <w:szCs w:val="19"/>
                <w:color w:val="auto"/>
              </w:rPr>
            </w:pPr>
          </w:p>
        </w:tc>
        <w:tc>
          <w:tcPr>
            <w:tcW w:w="1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K McVicar(9)</w:t>
            </w:r>
          </w:p>
        </w:tc>
        <w:tc>
          <w:tcPr>
            <w:tcW w:w="1720" w:type="dxa"/>
            <w:vAlign w:val="bottom"/>
            <w:shd w:val="clear" w:color="auto" w:fill="CFF0FC"/>
          </w:tcPr>
          <w:p>
            <w:pPr>
              <w:jc w:val="center"/>
              <w:ind w:left="515"/>
              <w:spacing w:after="0"/>
              <w:rPr>
                <w:sz w:val="20"/>
                <w:szCs w:val="20"/>
                <w:color w:val="auto"/>
              </w:rPr>
            </w:pPr>
            <w:r>
              <w:rPr>
                <w:rFonts w:ascii="Times New Roman" w:cs="Times New Roman" w:eastAsia="Times New Roman" w:hAnsi="Times New Roman"/>
                <w:sz w:val="18"/>
                <w:szCs w:val="18"/>
                <w:color w:val="auto"/>
                <w:w w:val="98"/>
              </w:rPr>
              <w:t>5,958</w:t>
            </w:r>
          </w:p>
        </w:tc>
        <w:tc>
          <w:tcPr>
            <w:tcW w:w="1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r>
      <w:tr>
        <w:trPr>
          <w:trHeight w:val="26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b w:val="1"/>
                <w:bCs w:val="1"/>
                <w:color w:val="auto"/>
              </w:rPr>
              <w:t>All current directors and executive officers</w:t>
            </w:r>
          </w:p>
        </w:tc>
        <w:tc>
          <w:tcPr>
            <w:tcW w:w="17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900" w:type="dxa"/>
            <w:vAlign w:val="bottom"/>
            <w:shd w:val="clear" w:color="auto" w:fill="CFF0FC"/>
          </w:tcPr>
          <w:p>
            <w:pPr>
              <w:spacing w:after="0"/>
              <w:rPr>
                <w:sz w:val="23"/>
                <w:szCs w:val="23"/>
                <w:color w:val="auto"/>
              </w:rPr>
            </w:pPr>
          </w:p>
        </w:tc>
      </w:tr>
      <w:tr>
        <w:trPr>
          <w:trHeight w:val="301"/>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22"/>
                <w:szCs w:val="22"/>
                <w:b w:val="1"/>
                <w:bCs w:val="1"/>
                <w:color w:val="auto"/>
              </w:rPr>
              <w:t>as a group (8 persons) (10)</w:t>
            </w:r>
          </w:p>
        </w:tc>
        <w:tc>
          <w:tcPr>
            <w:tcW w:w="1720" w:type="dxa"/>
            <w:vAlign w:val="bottom"/>
            <w:shd w:val="clear" w:color="auto" w:fill="CFF0FC"/>
          </w:tcPr>
          <w:p>
            <w:pPr>
              <w:jc w:val="center"/>
              <w:ind w:left="515"/>
              <w:spacing w:after="0"/>
              <w:rPr>
                <w:sz w:val="20"/>
                <w:szCs w:val="20"/>
                <w:color w:val="auto"/>
              </w:rPr>
            </w:pPr>
            <w:r>
              <w:rPr>
                <w:rFonts w:ascii="Times New Roman" w:cs="Times New Roman" w:eastAsia="Times New Roman" w:hAnsi="Times New Roman"/>
                <w:sz w:val="18"/>
                <w:szCs w:val="18"/>
                <w:color w:val="auto"/>
              </w:rPr>
              <w:t>152,649</w:t>
            </w:r>
          </w:p>
        </w:tc>
        <w:tc>
          <w:tcPr>
            <w:tcW w:w="100" w:type="dxa"/>
            <w:vAlign w:val="bottom"/>
            <w:shd w:val="clear" w:color="auto" w:fill="CFF0FC"/>
          </w:tcPr>
          <w:p>
            <w:pPr>
              <w:spacing w:after="0"/>
              <w:rPr>
                <w:sz w:val="24"/>
                <w:szCs w:val="24"/>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ind w:left="660" w:hanging="328"/>
        <w:spacing w:after="0" w:line="25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14, 2024 by Armistice Capital, LLC (“Armistice Capital”). Armistice Capital is the investment manager of Armistice Capital Master Fund Ltd. (the “Master Fund”), the direct holder of the shares, and pursuant to an Investment Management Agreement, Armistice Capital exercises voting and investment power over the securities of the Company held by the Master Fund and thus may be deemed to beneficially own the securities of the Company held by the Master Fund. Mr. Steven Boyd, as the managing member of Armistice Capital, may be deemed to beneficially own the securities of the Issuer held by the Master Fund. The Master Fund specifically disclaims beneficial ownership of the securities of the Company directly held by it by virtue of its inability to vote or dispose of such securities as a result of its Investment Management Agreement with Armistice Capital. The principal business address for Armistice Capital, LLC is 510 Madison Avenue, 7th Floor, New York, New York 10022, United States of America. The principal business address for Mr. Boyd is c/o Armistice Capital, LLC, 510 Madison Avenue, 7th Floor, New York, New York 10022, United States of America. The amounts in the table excluded pre-funded warrants, Series A-1 warrants and Series A-2 warrants to purchase share of our common stock held by entities affiliated with Armistice Capital because such warrants prohibits the investor from exercising the warrants to the extent such exercise would cause such investor, together with its affiliates and attribution parties, to beneficially own a number of shares of our common stock which would exceed 9.99% of our then outstanding common stock following such exercise.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49,135 shares of common stock, (ii) 37,908 shares of common stock subject to options that are exercisable within 60 days of April 12, 2024 and (iii) 87 warrants to purchase shares of common stock.</w:t>
      </w:r>
    </w:p>
    <w:p>
      <w:pPr>
        <w:ind w:left="66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21,851 shares of common stock and (ii) 11,340 shares of common stock subject to options that are exercisable within 60 days of April 12, 2024.</w:t>
      </w:r>
    </w:p>
    <w:p>
      <w:pPr>
        <w:ind w:left="66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2,722 shares of common stock, (ii) 2,760 shares of common stock subject to options that are exercisable within 60 days of April 12, 2024, and (iii) 174 warrants to purchase shares of common stock.</w:t>
      </w:r>
    </w:p>
    <w:p>
      <w:pPr>
        <w:ind w:left="66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3,294 shares of common stock, (ii) 2,760 shares of common stock subject to options that are exercisable within 60 days of April 12, 2024, and (iii) 174 warrants to purchase shares common stock.</w:t>
      </w:r>
    </w:p>
    <w:p>
      <w:pPr>
        <w:ind w:left="66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2,940 shares of common stock, (ii) 2,520 shares of common stock subject to options that are exercisable within 60 days of April 12, 2024.</w:t>
      </w:r>
    </w:p>
    <w:p>
      <w:pPr>
        <w:ind w:left="66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1,718 shares of common stock and (ii) 2,760 shares of common stock subject to options that are exercisable within 60 days of April 12, 2024.</w:t>
      </w:r>
    </w:p>
    <w:p>
      <w:pPr>
        <w:ind w:left="66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1,440 shares of common stock, (ii) 2,760 shares of common stock subject to options that are exercisable within 60 days of April 12, 2024, and (iii) 348 warrants to purchase shares of common stock.</w:t>
      </w:r>
    </w:p>
    <w:p>
      <w:pPr>
        <w:ind w:left="660" w:hanging="328"/>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2,850 shares of common stock, (ii) 2,760 shares of common stock subject to options that are exercisable within 60 days of April 12, 2024, and (iii) 348 warrants to purchase shares of common stock.</w:t>
      </w:r>
    </w:p>
    <w:p>
      <w:pPr>
        <w:ind w:left="660" w:hanging="328"/>
        <w:spacing w:after="0" w:line="260" w:lineRule="auto"/>
        <w:tabs>
          <w:tab w:leader="none" w:pos="6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85,950 shares of common stock, (ii) 65,568 shares of common stock subject to options that are exercisable within 60 days of April 12, 2024, and (iii) 1,131 warrants to purchase shares of common stock that are held by our executive officers and directors as a group.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2022 to which we have been a party, in which the amount involved in the transaction exceeded the lesser of $120,000 or one percent of the average of our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termination, change of control, and other arrangements, which are described under “Executive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DeuteRX Transaction</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12, 2022, we entered into an Acquisition and Strategic Collaboration Agreement (the “ASCA”), with DeuteRx, LLC, a Delaware limited liability company (the “DeuteRx”), pursuant to which DeuteRx agreed to sell, and we agreed to purchase certain assets of DeuteRx, including the development product previously referred to as DRX-164 (collectively, the “Purchased Assets”). Dr. McVicar, a member of our Board, serves as a consultant to DeuteRx and is employed by an affiliate of DeuteRx.</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Purchased Assets were purchased for an aggregate purchase price of $1,500,000 and the delivery of 40,000 shares of our common stock. We also agreed to pay to DeuteRx (i) milestone payments upon the occurrence of certain events and (ii) royalty payments.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3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and executive officers, in addition to the indemnification provided for in our Certificate of Incorporation and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the proposed transaction, must present information regarding the proposed related person transaction to our Audit Committee (or, where review by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Committee would be inappropriate, to another independent body of our Board) for review. To identify related person transactions in advance, we rely on information supplied by our executive officers, directors, and certain significant stockholders. In considering related person transactions, our Audit Committee considers the relevant available facts and circumstances, which may include, but not limited to:</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us and in our best interests.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"Directors, Executive Officers, and Corporate Governance" for additional information regarding director independence.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 or EY, was our independent registered public accounting firm for the years ended December 31, 2023 and December 31,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total fees paid to EY and its affiliates with respect to the years ended December 31, 2023 and, December 31, 2022:</w:t>
      </w:r>
    </w:p>
    <w:p>
      <w:pPr>
        <w:spacing w:after="0" w:line="274"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20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fees(2)</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fees(3)</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 (4)</w:t>
            </w:r>
          </w:p>
        </w:tc>
        <w:tc>
          <w:tcPr>
            <w:tcW w:w="180" w:type="dxa"/>
            <w:vAlign w:val="bottom"/>
          </w:tcPr>
          <w:p>
            <w:pPr>
              <w:spacing w:after="0"/>
              <w:rPr>
                <w:sz w:val="23"/>
                <w:szCs w:val="23"/>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298,000</w:t>
            </w: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bottom w:val="single" w:sz="8" w:color="auto"/>
            </w:tcBorders>
            <w:shd w:val="clear" w:color="auto" w:fill="CFF0FC"/>
          </w:tcPr>
          <w:p>
            <w:pPr>
              <w:spacing w:after="0"/>
              <w:rPr>
                <w:sz w:val="19"/>
                <w:szCs w:val="19"/>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40" w:hanging="392"/>
        <w:spacing w:after="0" w:line="282" w:lineRule="auto"/>
        <w:tabs>
          <w:tab w:leader="none" w:pos="4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billed for professional services rendered for the audit of our annual financial statements and services provided in connection with our registration statements.</w:t>
      </w:r>
    </w:p>
    <w:p>
      <w:pPr>
        <w:spacing w:after="0" w:line="26" w:lineRule="exact"/>
        <w:rPr>
          <w:rFonts w:ascii="Times New Roman" w:cs="Times New Roman" w:eastAsia="Times New Roman" w:hAnsi="Times New Roman"/>
          <w:sz w:val="18"/>
          <w:szCs w:val="18"/>
          <w:color w:val="auto"/>
        </w:rPr>
      </w:pPr>
    </w:p>
    <w:p>
      <w:pPr>
        <w:ind w:left="440" w:right="320" w:hanging="392"/>
        <w:spacing w:after="0" w:line="237" w:lineRule="auto"/>
        <w:tabs>
          <w:tab w:leader="none" w:pos="4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fees billed for assurance and related services that are reasonably related to the performance of the audit or review of the Company’s consolidated financial statements that are not reported under “Audit Fees.”</w:t>
      </w:r>
    </w:p>
    <w:p>
      <w:pPr>
        <w:spacing w:after="0" w:line="36"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billed for tax compliance, tax advice, tax planning and tax return preparation.</w:t>
      </w:r>
    </w:p>
    <w:p>
      <w:pPr>
        <w:spacing w:after="0" w:line="76"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billed for services, other than those described above under Audit fees and Tax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Audit Committee has implemented pre-approval policies and procedures related to the provision of audit and non-audit services. Under these procedures, the Audit Committee pre-approves both the type of services to be provided by Ernst &amp; Young LLP and the estimated fees related to these services.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approval process, the Audit Committee considers the impact of the types of services and the related fees on the independence of the registered public accountant. The services and fees must be deemed compatible with the maintenance of such accountants’ independence, including compliance with SEC rules and regulations.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Throughout the year, our Audit Committee reviews for any revisions to the estimates of audit and non-audit fees initially approved. The Audit Committee reviewed and pre-approved all audit services and permitted non-audit services performed during the years ended December 31, 2023 and 2022.</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filed as part of the 2023 Annual Report on Form 10-K are listed on the Index to Consolidated Financial Statements on page 57 of the 2023 Annual Report on Form 10-K filed with the SEC on March 22,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Schedules were omitted because of the absence of conditions under which they were required or because the required information was included in our Consolidated Financial Statements or Notes thereto contained in the 2023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with this</w:t>
            </w:r>
          </w:p>
        </w:tc>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60" w:type="dxa"/>
            <w:vAlign w:val="bottom"/>
            <w:vMerge w:val="continue"/>
          </w:tcPr>
          <w:p>
            <w:pPr>
              <w:spacing w:after="0"/>
              <w:rPr>
                <w:sz w:val="15"/>
                <w:szCs w:val="15"/>
                <w:color w:val="auto"/>
              </w:rPr>
            </w:pPr>
          </w:p>
        </w:tc>
        <w:tc>
          <w:tcPr>
            <w:tcW w:w="53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Form 10-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6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Date Filed</w:t>
            </w:r>
          </w:p>
        </w:tc>
        <w:tc>
          <w:tcPr>
            <w:tcW w:w="0" w:type="dxa"/>
            <w:vAlign w:val="bottom"/>
          </w:tcPr>
          <w:p>
            <w:pPr>
              <w:spacing w:after="0"/>
              <w:rPr>
                <w:sz w:val="1"/>
                <w:szCs w:val="1"/>
                <w:color w:val="auto"/>
              </w:rPr>
            </w:pPr>
          </w:p>
        </w:tc>
      </w:tr>
      <w:tr>
        <w:trPr>
          <w:trHeight w:val="225"/>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380" w:type="dxa"/>
            <w:vAlign w:val="bottom"/>
            <w:gridSpan w:val="9"/>
            <w:vMerge w:val="continue"/>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w:t>
            </w:r>
          </w:p>
        </w:tc>
        <w:tc>
          <w:tcPr>
            <w:tcW w:w="64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5380" w:type="dxa"/>
            <w:vAlign w:val="bottom"/>
            <w:gridSpan w:val="9"/>
          </w:tcPr>
          <w:p>
            <w:pPr>
              <w:spacing w:after="0" w:line="194" w:lineRule="exact"/>
              <w:rPr>
                <w:rFonts w:ascii="Times New Roman" w:cs="Times New Roman" w:eastAsia="Times New Roman" w:hAnsi="Times New Roman"/>
                <w:sz w:val="18"/>
                <w:szCs w:val="18"/>
                <w:color w:val="auto"/>
              </w:rPr>
            </w:pPr>
            <w:hyperlink r:id="rId36">
              <w:r>
                <w:rPr>
                  <w:rFonts w:ascii="Times New Roman" w:cs="Times New Roman" w:eastAsia="Times New Roman" w:hAnsi="Times New Roman"/>
                  <w:sz w:val="18"/>
                  <w:szCs w:val="18"/>
                  <w:color w:val="auto"/>
                </w:rPr>
                <w:t>Amended and Restated Certificate of Incorporation of the Registrant</w:t>
              </w:r>
            </w:hyperlink>
          </w:p>
        </w:tc>
        <w:tc>
          <w:tcPr>
            <w:tcW w:w="760" w:type="dxa"/>
            <w:vAlign w:val="bottom"/>
          </w:tcPr>
          <w:p>
            <w:pPr>
              <w:spacing w:after="0"/>
              <w:rPr>
                <w:sz w:val="16"/>
                <w:szCs w:val="16"/>
                <w:color w:val="auto"/>
              </w:rPr>
            </w:pPr>
          </w:p>
        </w:tc>
        <w:tc>
          <w:tcPr>
            <w:tcW w:w="6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266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001-36812 Exhibit 3.1 02/09/2015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380" w:type="dxa"/>
            <w:vAlign w:val="bottom"/>
            <w:gridSpan w:val="9"/>
          </w:tcPr>
          <w:p>
            <w:pPr>
              <w:spacing w:after="0"/>
              <w:rPr>
                <w:rFonts w:ascii="Times New Roman" w:cs="Times New Roman" w:eastAsia="Times New Roman" w:hAnsi="Times New Roman"/>
                <w:sz w:val="18"/>
                <w:szCs w:val="18"/>
                <w:color w:val="auto"/>
              </w:rPr>
            </w:pPr>
            <w:hyperlink r:id="rId37">
              <w:r>
                <w:rPr>
                  <w:rFonts w:ascii="Times New Roman" w:cs="Times New Roman" w:eastAsia="Times New Roman" w:hAnsi="Times New Roman"/>
                  <w:sz w:val="18"/>
                  <w:szCs w:val="18"/>
                  <w:color w:val="auto"/>
                </w:rPr>
                <w:t>Certificate of Amendment to the Amended and Restated Certificate of</w:t>
              </w:r>
            </w:hyperlink>
          </w:p>
        </w:tc>
        <w:tc>
          <w:tcPr>
            <w:tcW w:w="7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001-36812 Exhibit 3.1 07/22/2019</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700" w:type="dxa"/>
            <w:vAlign w:val="bottom"/>
            <w:tcBorders>
              <w:top w:val="single" w:sz="8" w:color="auto"/>
              <w:bottom w:val="single" w:sz="8" w:color="auto"/>
            </w:tcBorders>
            <w:gridSpan w:val="2"/>
          </w:tcPr>
          <w:p>
            <w:pPr>
              <w:spacing w:after="0" w:line="169" w:lineRule="exact"/>
              <w:rPr>
                <w:rFonts w:ascii="Times New Roman" w:cs="Times New Roman" w:eastAsia="Times New Roman" w:hAnsi="Times New Roman"/>
                <w:sz w:val="18"/>
                <w:szCs w:val="18"/>
                <w:color w:val="auto"/>
                <w:w w:val="99"/>
              </w:rPr>
            </w:pPr>
            <w:hyperlink r:id="rId37">
              <w:r>
                <w:rPr>
                  <w:rFonts w:ascii="Times New Roman" w:cs="Times New Roman" w:eastAsia="Times New Roman" w:hAnsi="Times New Roman"/>
                  <w:sz w:val="18"/>
                  <w:szCs w:val="18"/>
                  <w:color w:val="auto"/>
                  <w:w w:val="99"/>
                </w:rPr>
                <w:t>Incorporation of the Registration filed with the Secretary of State</w:t>
              </w:r>
            </w:hyperlink>
          </w:p>
        </w:tc>
        <w:tc>
          <w:tcPr>
            <w:tcW w:w="360" w:type="dxa"/>
            <w:vAlign w:val="bottom"/>
            <w:tcBorders>
              <w:top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380" w:type="dxa"/>
            <w:vAlign w:val="bottom"/>
            <w:gridSpan w:val="9"/>
          </w:tcPr>
          <w:p>
            <w:pPr>
              <w:spacing w:after="0"/>
              <w:rPr>
                <w:rFonts w:ascii="Times New Roman" w:cs="Times New Roman" w:eastAsia="Times New Roman" w:hAnsi="Times New Roman"/>
                <w:sz w:val="18"/>
                <w:szCs w:val="18"/>
                <w:color w:val="auto"/>
              </w:rPr>
            </w:pPr>
            <w:hyperlink r:id="rId38">
              <w:r>
                <w:rPr>
                  <w:rFonts w:ascii="Times New Roman" w:cs="Times New Roman" w:eastAsia="Times New Roman" w:hAnsi="Times New Roman"/>
                  <w:sz w:val="18"/>
                  <w:szCs w:val="18"/>
                  <w:color w:val="auto"/>
                </w:rPr>
                <w:t>Certificate of Amendment of Certificate of Incorporation of the Registrant</w:t>
              </w:r>
            </w:hyperlink>
          </w:p>
        </w:tc>
        <w:tc>
          <w:tcPr>
            <w:tcW w:w="7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001-36812 Exhibit 3.1 10/14/2022</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360" w:type="dxa"/>
            <w:vAlign w:val="bottom"/>
            <w:tcBorders>
              <w:top w:val="single" w:sz="8" w:color="auto"/>
            </w:tcBorders>
            <w:gridSpan w:val="8"/>
          </w:tcPr>
          <w:p>
            <w:pPr>
              <w:spacing w:after="0" w:line="169" w:lineRule="exact"/>
              <w:rPr>
                <w:rFonts w:ascii="Times New Roman" w:cs="Times New Roman" w:eastAsia="Times New Roman" w:hAnsi="Times New Roman"/>
                <w:sz w:val="18"/>
                <w:szCs w:val="18"/>
                <w:color w:val="auto"/>
              </w:rPr>
            </w:pPr>
            <w:hyperlink r:id="rId38">
              <w:r>
                <w:rPr>
                  <w:rFonts w:ascii="Times New Roman" w:cs="Times New Roman" w:eastAsia="Times New Roman" w:hAnsi="Times New Roman"/>
                  <w:sz w:val="18"/>
                  <w:szCs w:val="18"/>
                  <w:color w:val="auto"/>
                </w:rPr>
                <w:t>filed with the Secretary of State of Delaware on October 14, 2022</w:t>
              </w:r>
            </w:hyperlink>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60" w:type="dxa"/>
            <w:vAlign w:val="bottom"/>
            <w:gridSpan w:val="2"/>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380" w:type="dxa"/>
            <w:vAlign w:val="bottom"/>
            <w:gridSpan w:val="9"/>
          </w:tcPr>
          <w:p>
            <w:pPr>
              <w:spacing w:after="0"/>
              <w:rPr>
                <w:rFonts w:ascii="Times New Roman" w:cs="Times New Roman" w:eastAsia="Times New Roman" w:hAnsi="Times New Roman"/>
                <w:sz w:val="18"/>
                <w:szCs w:val="18"/>
                <w:color w:val="auto"/>
              </w:rPr>
            </w:pPr>
            <w:hyperlink r:id="rId39">
              <w:r>
                <w:rPr>
                  <w:rFonts w:ascii="Times New Roman" w:cs="Times New Roman" w:eastAsia="Times New Roman" w:hAnsi="Times New Roman"/>
                  <w:sz w:val="18"/>
                  <w:szCs w:val="18"/>
                  <w:color w:val="auto"/>
                </w:rPr>
                <w:t>Amended and Restated Bylaws of the Registrant, effective July 19, 2019</w:t>
              </w:r>
            </w:hyperlink>
          </w:p>
        </w:tc>
        <w:tc>
          <w:tcPr>
            <w:tcW w:w="7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001-36812 Exhibit 3.2 07/22/2019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60" w:type="dxa"/>
            <w:vAlign w:val="bottom"/>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380" w:type="dxa"/>
            <w:vAlign w:val="bottom"/>
            <w:gridSpan w:val="9"/>
          </w:tcPr>
          <w:p>
            <w:pPr>
              <w:spacing w:after="0"/>
              <w:rPr>
                <w:rFonts w:ascii="Times New Roman" w:cs="Times New Roman" w:eastAsia="Times New Roman" w:hAnsi="Times New Roman"/>
                <w:sz w:val="18"/>
                <w:szCs w:val="18"/>
                <w:color w:val="auto"/>
              </w:rPr>
            </w:pPr>
            <w:hyperlink r:id="rId40">
              <w:r>
                <w:rPr>
                  <w:rFonts w:ascii="Times New Roman" w:cs="Times New Roman" w:eastAsia="Times New Roman" w:hAnsi="Times New Roman"/>
                  <w:sz w:val="18"/>
                  <w:szCs w:val="18"/>
                  <w:color w:val="auto"/>
                </w:rPr>
                <w:t>Amendment to Amended and Restated Bylaws of the Registrant, effective</w:t>
              </w:r>
            </w:hyperlink>
          </w:p>
        </w:tc>
        <w:tc>
          <w:tcPr>
            <w:tcW w:w="7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001-36813 Exhibit 3.1 04/01/2022</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80" w:type="dxa"/>
            <w:vAlign w:val="bottom"/>
            <w:tcBorders>
              <w:top w:val="single" w:sz="8" w:color="auto"/>
              <w:bottom w:val="single" w:sz="8" w:color="auto"/>
            </w:tcBorders>
          </w:tcPr>
          <w:p>
            <w:pPr>
              <w:spacing w:after="0" w:line="169" w:lineRule="exact"/>
              <w:rPr>
                <w:rFonts w:ascii="Times New Roman" w:cs="Times New Roman" w:eastAsia="Times New Roman" w:hAnsi="Times New Roman"/>
                <w:sz w:val="18"/>
                <w:szCs w:val="18"/>
                <w:color w:val="auto"/>
                <w:w w:val="99"/>
              </w:rPr>
            </w:pPr>
            <w:hyperlink r:id="rId40">
              <w:r>
                <w:rPr>
                  <w:rFonts w:ascii="Times New Roman" w:cs="Times New Roman" w:eastAsia="Times New Roman" w:hAnsi="Times New Roman"/>
                  <w:sz w:val="18"/>
                  <w:szCs w:val="18"/>
                  <w:color w:val="auto"/>
                  <w:w w:val="99"/>
                </w:rPr>
                <w:t>April 1, 2022</w:t>
              </w:r>
            </w:hyperlink>
          </w:p>
        </w:tc>
        <w:tc>
          <w:tcPr>
            <w:tcW w:w="4360" w:type="dxa"/>
            <w:vAlign w:val="bottom"/>
            <w:tcBorders>
              <w:top w:val="single" w:sz="8" w:color="auto"/>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80" w:type="dxa"/>
            <w:vAlign w:val="bottom"/>
            <w:gridSpan w:val="17"/>
          </w:tcPr>
          <w:p>
            <w:pPr>
              <w:spacing w:after="0"/>
              <w:rPr>
                <w:rFonts w:ascii="Times New Roman" w:cs="Times New Roman" w:eastAsia="Times New Roman" w:hAnsi="Times New Roman"/>
                <w:sz w:val="18"/>
                <w:szCs w:val="18"/>
                <w:color w:val="auto"/>
              </w:rPr>
            </w:pPr>
            <w:hyperlink r:id="rId42">
              <w:r>
                <w:rPr>
                  <w:rFonts w:ascii="Times New Roman" w:cs="Times New Roman" w:eastAsia="Times New Roman" w:hAnsi="Times New Roman"/>
                  <w:sz w:val="18"/>
                  <w:szCs w:val="18"/>
                  <w:color w:val="auto"/>
                </w:rPr>
                <w:t>Form of Common Stock Certificate of Registrant</w:t>
              </w:r>
            </w:hyperlink>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333-201276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12/29/2014</w:t>
            </w:r>
          </w:p>
        </w:tc>
      </w:tr>
      <w:tr>
        <w:trPr>
          <w:trHeight w:val="205"/>
        </w:trPr>
        <w:tc>
          <w:tcPr>
            <w:tcW w:w="1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940" w:type="dxa"/>
            <w:vAlign w:val="bottom"/>
          </w:tcPr>
          <w:p>
            <w:pPr>
              <w:spacing w:after="0"/>
              <w:rPr>
                <w:sz w:val="17"/>
                <w:szCs w:val="17"/>
                <w:color w:val="auto"/>
              </w:rPr>
            </w:pPr>
          </w:p>
        </w:tc>
      </w:tr>
      <w:tr>
        <w:trPr>
          <w:trHeight w:val="194"/>
        </w:trPr>
        <w:tc>
          <w:tcPr>
            <w:tcW w:w="1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5280" w:type="dxa"/>
            <w:vAlign w:val="bottom"/>
            <w:gridSpan w:val="17"/>
          </w:tcPr>
          <w:p>
            <w:pPr>
              <w:spacing w:after="0" w:line="194" w:lineRule="exact"/>
              <w:rPr>
                <w:rFonts w:ascii="Times New Roman" w:cs="Times New Roman" w:eastAsia="Times New Roman" w:hAnsi="Times New Roman"/>
                <w:sz w:val="18"/>
                <w:szCs w:val="18"/>
                <w:color w:val="auto"/>
              </w:rPr>
            </w:pPr>
            <w:hyperlink r:id="rId43">
              <w:r>
                <w:rPr>
                  <w:rFonts w:ascii="Times New Roman" w:cs="Times New Roman" w:eastAsia="Times New Roman" w:hAnsi="Times New Roman"/>
                  <w:sz w:val="18"/>
                  <w:szCs w:val="18"/>
                  <w:color w:val="auto"/>
                </w:rPr>
                <w:t>Form of Common Stock Purchase Warrant</w:t>
              </w:r>
            </w:hyperlink>
          </w:p>
        </w:tc>
        <w:tc>
          <w:tcPr>
            <w:tcW w:w="1520" w:type="dxa"/>
            <w:vAlign w:val="bottom"/>
          </w:tcPr>
          <w:p>
            <w:pPr>
              <w:ind w:left="90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333-235879 Exhibit</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02/06/2020</w:t>
            </w:r>
          </w:p>
        </w:tc>
      </w:tr>
      <w:tr>
        <w:trPr>
          <w:trHeight w:val="205"/>
        </w:trPr>
        <w:tc>
          <w:tcPr>
            <w:tcW w:w="1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spacing w:after="0"/>
              <w:rPr>
                <w:sz w:val="17"/>
                <w:szCs w:val="17"/>
                <w:color w:val="auto"/>
              </w:rPr>
            </w:pPr>
          </w:p>
        </w:tc>
      </w:tr>
      <w:tr>
        <w:trPr>
          <w:trHeight w:val="194"/>
        </w:trPr>
        <w:tc>
          <w:tcPr>
            <w:tcW w:w="1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5280" w:type="dxa"/>
            <w:vAlign w:val="bottom"/>
            <w:gridSpan w:val="17"/>
          </w:tcPr>
          <w:p>
            <w:pPr>
              <w:spacing w:after="0" w:line="194" w:lineRule="exact"/>
              <w:rPr>
                <w:rFonts w:ascii="Times New Roman" w:cs="Times New Roman" w:eastAsia="Times New Roman" w:hAnsi="Times New Roman"/>
                <w:sz w:val="18"/>
                <w:szCs w:val="18"/>
                <w:color w:val="auto"/>
              </w:rPr>
            </w:pPr>
            <w:hyperlink r:id="rId44">
              <w:r>
                <w:rPr>
                  <w:rFonts w:ascii="Times New Roman" w:cs="Times New Roman" w:eastAsia="Times New Roman" w:hAnsi="Times New Roman"/>
                  <w:sz w:val="18"/>
                  <w:szCs w:val="18"/>
                  <w:color w:val="auto"/>
                </w:rPr>
                <w:t>Common Stock Purchase Warrant dated February 11, 2020</w:t>
              </w:r>
            </w:hyperlink>
          </w:p>
        </w:tc>
        <w:tc>
          <w:tcPr>
            <w:tcW w:w="1520" w:type="dxa"/>
            <w:vAlign w:val="bottom"/>
          </w:tcPr>
          <w:p>
            <w:pPr>
              <w:ind w:left="90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264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001-36812 Exhibit 4.1 02/12/2020</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000" w:type="dxa"/>
            <w:vAlign w:val="bottom"/>
            <w:tcBorders>
              <w:top w:val="single" w:sz="8" w:color="auto"/>
              <w:bottom w:val="single" w:sz="8" w:color="auto"/>
            </w:tcBorders>
            <w:gridSpan w:val="10"/>
          </w:tcPr>
          <w:p>
            <w:pPr>
              <w:spacing w:after="0"/>
              <w:rPr>
                <w:rFonts w:ascii="Times New Roman" w:cs="Times New Roman" w:eastAsia="Times New Roman" w:hAnsi="Times New Roman"/>
                <w:sz w:val="18"/>
                <w:szCs w:val="18"/>
                <w:color w:val="auto"/>
                <w:w w:val="99"/>
              </w:rPr>
            </w:pPr>
            <w:hyperlink r:id="rId45">
              <w:r>
                <w:rPr>
                  <w:rFonts w:ascii="Times New Roman" w:cs="Times New Roman" w:eastAsia="Times New Roman" w:hAnsi="Times New Roman"/>
                  <w:sz w:val="18"/>
                  <w:szCs w:val="18"/>
                  <w:color w:val="auto"/>
                  <w:w w:val="99"/>
                </w:rPr>
                <w:t>Form of Inducement Warrant dated December 11, 2020</w:t>
              </w:r>
            </w:hyperlink>
          </w:p>
        </w:tc>
        <w:tc>
          <w:tcPr>
            <w:tcW w:w="240" w:type="dxa"/>
            <w:vAlign w:val="bottom"/>
            <w:tcBorders>
              <w:top w:val="single" w:sz="8" w:color="auto"/>
            </w:tcBorders>
          </w:tcPr>
          <w:p>
            <w:pPr>
              <w:spacing w:after="0"/>
              <w:rPr>
                <w:sz w:val="18"/>
                <w:szCs w:val="18"/>
                <w:color w:val="auto"/>
              </w:rPr>
            </w:pPr>
          </w:p>
        </w:tc>
        <w:tc>
          <w:tcPr>
            <w:tcW w:w="1040" w:type="dxa"/>
            <w:vAlign w:val="bottom"/>
            <w:gridSpan w:val="6"/>
          </w:tcPr>
          <w:p>
            <w:pPr>
              <w:spacing w:after="0"/>
              <w:rPr>
                <w:sz w:val="18"/>
                <w:szCs w:val="18"/>
                <w:color w:val="auto"/>
              </w:rPr>
            </w:pPr>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8-K/A</w:t>
            </w: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001-36812 Exhibit 4.1 12/11/2020</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06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9"/>
              </w:rPr>
            </w:pPr>
            <w:hyperlink r:id="rId46">
              <w:r>
                <w:rPr>
                  <w:rFonts w:ascii="Times New Roman" w:cs="Times New Roman" w:eastAsia="Times New Roman" w:hAnsi="Times New Roman"/>
                  <w:sz w:val="18"/>
                  <w:szCs w:val="18"/>
                  <w:color w:val="auto"/>
                  <w:w w:val="99"/>
                </w:rPr>
                <w:t>Form of 2021 Flex Warrants</w:t>
              </w:r>
            </w:hyperlink>
          </w:p>
        </w:tc>
        <w:tc>
          <w:tcPr>
            <w:tcW w:w="3220" w:type="dxa"/>
            <w:vAlign w:val="bottom"/>
            <w:gridSpan w:val="14"/>
          </w:tcPr>
          <w:p>
            <w:pPr>
              <w:spacing w:after="0"/>
              <w:rPr>
                <w:sz w:val="18"/>
                <w:szCs w:val="18"/>
                <w:color w:val="auto"/>
              </w:rPr>
            </w:pPr>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001-36812 Exhibit 4.1 07/01/2021</w:t>
            </w: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4. 6</w:t>
            </w:r>
          </w:p>
        </w:tc>
        <w:tc>
          <w:tcPr>
            <w:tcW w:w="3080" w:type="dxa"/>
            <w:vAlign w:val="bottom"/>
            <w:tcBorders>
              <w:bottom w:val="single" w:sz="8" w:color="auto"/>
            </w:tcBorders>
            <w:gridSpan w:val="7"/>
          </w:tcPr>
          <w:p>
            <w:pPr>
              <w:spacing w:after="0"/>
              <w:rPr>
                <w:rFonts w:ascii="Times New Roman" w:cs="Times New Roman" w:eastAsia="Times New Roman" w:hAnsi="Times New Roman"/>
                <w:sz w:val="18"/>
                <w:szCs w:val="18"/>
                <w:color w:val="auto"/>
                <w:w w:val="99"/>
              </w:rPr>
            </w:pPr>
            <w:hyperlink r:id="rId47">
              <w:r>
                <w:rPr>
                  <w:rFonts w:ascii="Times New Roman" w:cs="Times New Roman" w:eastAsia="Times New Roman" w:hAnsi="Times New Roman"/>
                  <w:sz w:val="18"/>
                  <w:szCs w:val="18"/>
                  <w:color w:val="auto"/>
                  <w:w w:val="99"/>
                </w:rPr>
                <w:t>Form of Common Stock Purchase Warrant</w:t>
              </w:r>
            </w:hyperlink>
          </w:p>
        </w:tc>
        <w:tc>
          <w:tcPr>
            <w:tcW w:w="2200" w:type="dxa"/>
            <w:vAlign w:val="bottom"/>
            <w:gridSpan w:val="10"/>
          </w:tcPr>
          <w:p>
            <w:pPr>
              <w:spacing w:after="0"/>
              <w:rPr>
                <w:sz w:val="18"/>
                <w:szCs w:val="18"/>
                <w:color w:val="auto"/>
              </w:rPr>
            </w:pPr>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001-36812 Exhibit 4.1 05/16/2023</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280" w:type="dxa"/>
            <w:vAlign w:val="bottom"/>
            <w:gridSpan w:val="17"/>
          </w:tcPr>
          <w:p>
            <w:pPr>
              <w:spacing w:after="0"/>
              <w:rPr>
                <w:rFonts w:ascii="Times New Roman" w:cs="Times New Roman" w:eastAsia="Times New Roman" w:hAnsi="Times New Roman"/>
                <w:sz w:val="18"/>
                <w:szCs w:val="18"/>
                <w:color w:val="auto"/>
              </w:rPr>
            </w:pPr>
            <w:hyperlink r:id="rId48">
              <w:r>
                <w:rPr>
                  <w:rFonts w:ascii="Times New Roman" w:cs="Times New Roman" w:eastAsia="Times New Roman" w:hAnsi="Times New Roman"/>
                  <w:sz w:val="18"/>
                  <w:szCs w:val="18"/>
                  <w:color w:val="auto"/>
                </w:rPr>
                <w:t>Form of Pre-Funded Warrants</w:t>
              </w:r>
            </w:hyperlink>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001-36812 Exhibit 4.2 05/16/2023</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280" w:type="dxa"/>
            <w:vAlign w:val="bottom"/>
            <w:gridSpan w:val="17"/>
          </w:tcPr>
          <w:p>
            <w:pPr>
              <w:spacing w:after="0"/>
              <w:rPr>
                <w:rFonts w:ascii="Times New Roman" w:cs="Times New Roman" w:eastAsia="Times New Roman" w:hAnsi="Times New Roman"/>
                <w:sz w:val="18"/>
                <w:szCs w:val="18"/>
                <w:color w:val="auto"/>
              </w:rPr>
            </w:pPr>
            <w:hyperlink r:id="rId49">
              <w:r>
                <w:rPr>
                  <w:rFonts w:ascii="Times New Roman" w:cs="Times New Roman" w:eastAsia="Times New Roman" w:hAnsi="Times New Roman"/>
                  <w:sz w:val="18"/>
                  <w:szCs w:val="18"/>
                  <w:color w:val="auto"/>
                </w:rPr>
                <w:t>Form of Placement Agent Warrants</w:t>
              </w:r>
            </w:hyperlink>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001-36812 Exhibit 4.3 05/16/2023</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280" w:type="dxa"/>
            <w:vAlign w:val="bottom"/>
            <w:gridSpan w:val="17"/>
          </w:tcPr>
          <w:p>
            <w:pPr>
              <w:spacing w:after="0"/>
              <w:rPr>
                <w:rFonts w:ascii="Times New Roman" w:cs="Times New Roman" w:eastAsia="Times New Roman" w:hAnsi="Times New Roman"/>
                <w:sz w:val="18"/>
                <w:szCs w:val="18"/>
                <w:color w:val="auto"/>
              </w:rPr>
            </w:pPr>
            <w:hyperlink r:id="rId50">
              <w:r>
                <w:rPr>
                  <w:rFonts w:ascii="Times New Roman" w:cs="Times New Roman" w:eastAsia="Times New Roman" w:hAnsi="Times New Roman"/>
                  <w:sz w:val="18"/>
                  <w:szCs w:val="18"/>
                  <w:color w:val="auto"/>
                </w:rPr>
                <w:t>Form of Common Stock Purchase Warrant dated April 26, 2022</w:t>
              </w:r>
            </w:hyperlink>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001-36812 Exhibit 4.1 04/22/2022</w:t>
            </w: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600" w:type="dxa"/>
            <w:vAlign w:val="bottom"/>
            <w:tcBorders>
              <w:top w:val="single" w:sz="8" w:color="auto"/>
            </w:tcBorders>
            <w:gridSpan w:val="12"/>
          </w:tcPr>
          <w:p>
            <w:pPr>
              <w:spacing w:after="0"/>
              <w:rPr>
                <w:rFonts w:ascii="Times New Roman" w:cs="Times New Roman" w:eastAsia="Times New Roman" w:hAnsi="Times New Roman"/>
                <w:sz w:val="18"/>
                <w:szCs w:val="18"/>
                <w:color w:val="auto"/>
              </w:rPr>
            </w:pPr>
            <w:hyperlink r:id="rId51">
              <w:r>
                <w:rPr>
                  <w:rFonts w:ascii="Times New Roman" w:cs="Times New Roman" w:eastAsia="Times New Roman" w:hAnsi="Times New Roman"/>
                  <w:sz w:val="18"/>
                  <w:szCs w:val="18"/>
                  <w:color w:val="auto"/>
                </w:rPr>
                <w:t>Description of Registrant's Securities</w:t>
              </w:r>
            </w:hyperlink>
          </w:p>
        </w:tc>
        <w:tc>
          <w:tcPr>
            <w:tcW w:w="680" w:type="dxa"/>
            <w:vAlign w:val="bottom"/>
            <w:gridSpan w:val="5"/>
          </w:tcPr>
          <w:p>
            <w:pPr>
              <w:spacing w:after="0"/>
              <w:rPr>
                <w:sz w:val="18"/>
                <w:szCs w:val="18"/>
                <w:color w:val="auto"/>
              </w:rPr>
            </w:pPr>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10-K</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03/18/2021</w:t>
            </w:r>
          </w:p>
        </w:tc>
      </w:tr>
      <w:tr>
        <w:trPr>
          <w:trHeight w:val="205"/>
        </w:trPr>
        <w:tc>
          <w:tcPr>
            <w:tcW w:w="1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4.11</w:t>
            </w:r>
          </w:p>
        </w:tc>
        <w:tc>
          <w:tcPr>
            <w:tcW w:w="940" w:type="dxa"/>
            <w:vAlign w:val="bottom"/>
          </w:tcPr>
          <w:p>
            <w:pPr>
              <w:spacing w:after="0"/>
              <w:rPr>
                <w:sz w:val="17"/>
                <w:szCs w:val="17"/>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ind w:left="900"/>
              <w:spacing w:after="0" w:line="181" w:lineRule="exact"/>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07/22/2019</w:t>
            </w:r>
          </w:p>
        </w:tc>
      </w:tr>
      <w:tr>
        <w:trPr>
          <w:trHeight w:val="203"/>
        </w:trPr>
        <w:tc>
          <w:tcPr>
            <w:tcW w:w="1160" w:type="dxa"/>
            <w:vAlign w:val="bottom"/>
          </w:tcPr>
          <w:p>
            <w:pPr>
              <w:spacing w:after="0"/>
              <w:rPr>
                <w:sz w:val="17"/>
                <w:szCs w:val="17"/>
                <w:color w:val="auto"/>
              </w:rPr>
            </w:pPr>
          </w:p>
        </w:tc>
        <w:tc>
          <w:tcPr>
            <w:tcW w:w="5280" w:type="dxa"/>
            <w:vAlign w:val="bottom"/>
            <w:gridSpan w:val="17"/>
          </w:tcPr>
          <w:p>
            <w:pPr>
              <w:spacing w:after="0" w:line="202" w:lineRule="exact"/>
              <w:rPr>
                <w:rFonts w:ascii="Times New Roman" w:cs="Times New Roman" w:eastAsia="Times New Roman" w:hAnsi="Times New Roman"/>
                <w:sz w:val="18"/>
                <w:szCs w:val="18"/>
                <w:color w:val="auto"/>
              </w:rPr>
            </w:pPr>
            <w:hyperlink r:id="rId52">
              <w:r>
                <w:rPr>
                  <w:rFonts w:ascii="Times New Roman" w:cs="Times New Roman" w:eastAsia="Times New Roman" w:hAnsi="Times New Roman"/>
                  <w:sz w:val="18"/>
                  <w:szCs w:val="18"/>
                  <w:color w:val="auto"/>
                </w:rPr>
                <w:t>Form of Indemnification Agreement between the Registrant and its</w:t>
              </w:r>
            </w:hyperlink>
          </w:p>
        </w:tc>
        <w:tc>
          <w:tcPr>
            <w:tcW w:w="1520" w:type="dxa"/>
            <w:vAlign w:val="bottom"/>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540" w:type="dxa"/>
            <w:vAlign w:val="bottom"/>
            <w:tcBorders>
              <w:top w:val="single" w:sz="8" w:color="auto"/>
              <w:bottom w:val="single" w:sz="8" w:color="auto"/>
            </w:tcBorders>
            <w:gridSpan w:val="2"/>
          </w:tcPr>
          <w:p>
            <w:pPr>
              <w:spacing w:after="0" w:line="196" w:lineRule="exact"/>
              <w:rPr>
                <w:rFonts w:ascii="Times New Roman" w:cs="Times New Roman" w:eastAsia="Times New Roman" w:hAnsi="Times New Roman"/>
                <w:sz w:val="18"/>
                <w:szCs w:val="18"/>
                <w:color w:val="auto"/>
                <w:w w:val="99"/>
              </w:rPr>
            </w:pPr>
            <w:hyperlink r:id="rId52">
              <w:r>
                <w:rPr>
                  <w:rFonts w:ascii="Times New Roman" w:cs="Times New Roman" w:eastAsia="Times New Roman" w:hAnsi="Times New Roman"/>
                  <w:sz w:val="18"/>
                  <w:szCs w:val="18"/>
                  <w:color w:val="auto"/>
                  <w:w w:val="99"/>
                </w:rPr>
                <w:t>directors and officers</w:t>
              </w:r>
            </w:hyperlink>
          </w:p>
        </w:tc>
        <w:tc>
          <w:tcPr>
            <w:tcW w:w="3300" w:type="dxa"/>
            <w:vAlign w:val="bottom"/>
            <w:tcBorders>
              <w:top w:val="single" w:sz="8" w:color="auto"/>
            </w:tcBorders>
            <w:gridSpan w:val="12"/>
          </w:tcPr>
          <w:p>
            <w:pPr>
              <w:spacing w:after="0"/>
              <w:rPr>
                <w:sz w:val="17"/>
                <w:szCs w:val="17"/>
                <w:color w:val="auto"/>
              </w:rPr>
            </w:pPr>
          </w:p>
        </w:tc>
        <w:tc>
          <w:tcPr>
            <w:tcW w:w="44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80" w:type="dxa"/>
            <w:vAlign w:val="bottom"/>
            <w:gridSpan w:val="17"/>
          </w:tcPr>
          <w:p>
            <w:pPr>
              <w:spacing w:after="0"/>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Indemnification Agreement, dated February 20, 2024, by and between</w:t>
              </w:r>
            </w:hyperlink>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02/23/2024</w:t>
            </w:r>
          </w:p>
        </w:tc>
      </w:tr>
      <w:tr>
        <w:trPr>
          <w:trHeight w:val="156"/>
        </w:trPr>
        <w:tc>
          <w:tcPr>
            <w:tcW w:w="1160" w:type="dxa"/>
            <w:vAlign w:val="bottom"/>
          </w:tcPr>
          <w:p>
            <w:pPr>
              <w:spacing w:after="0"/>
              <w:rPr>
                <w:sz w:val="13"/>
                <w:szCs w:val="13"/>
                <w:color w:val="auto"/>
              </w:rPr>
            </w:pPr>
          </w:p>
        </w:tc>
        <w:tc>
          <w:tcPr>
            <w:tcW w:w="5060" w:type="dxa"/>
            <w:vAlign w:val="bottom"/>
            <w:tcBorders>
              <w:top w:val="single" w:sz="8" w:color="auto"/>
            </w:tcBorders>
            <w:gridSpan w:val="15"/>
          </w:tcPr>
          <w:p>
            <w:pPr>
              <w:spacing w:after="0" w:line="156" w:lineRule="exact"/>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Salarius Pharmaceuticals, Inc. and David J. Arthur</w:t>
              </w:r>
            </w:hyperlink>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13"/>
                <w:szCs w:val="13"/>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S-4</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333-229666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02/14/2019</w:t>
            </w:r>
          </w:p>
        </w:tc>
      </w:tr>
      <w:tr>
        <w:trPr>
          <w:trHeight w:val="203"/>
        </w:trPr>
        <w:tc>
          <w:tcPr>
            <w:tcW w:w="1160" w:type="dxa"/>
            <w:vAlign w:val="bottom"/>
          </w:tcPr>
          <w:p>
            <w:pPr>
              <w:spacing w:after="0"/>
              <w:rPr>
                <w:sz w:val="17"/>
                <w:szCs w:val="17"/>
                <w:color w:val="auto"/>
              </w:rPr>
            </w:pPr>
          </w:p>
        </w:tc>
        <w:tc>
          <w:tcPr>
            <w:tcW w:w="5280" w:type="dxa"/>
            <w:vAlign w:val="bottom"/>
            <w:gridSpan w:val="17"/>
          </w:tcPr>
          <w:p>
            <w:pPr>
              <w:spacing w:after="0" w:line="202" w:lineRule="exact"/>
              <w:rPr>
                <w:rFonts w:ascii="Times New Roman" w:cs="Times New Roman" w:eastAsia="Times New Roman" w:hAnsi="Times New Roman"/>
                <w:sz w:val="18"/>
                <w:szCs w:val="18"/>
                <w:color w:val="242424"/>
              </w:rPr>
            </w:pPr>
            <w:hyperlink r:id="rId54">
              <w:r>
                <w:rPr>
                  <w:rFonts w:ascii="Times New Roman" w:cs="Times New Roman" w:eastAsia="Times New Roman" w:hAnsi="Times New Roman"/>
                  <w:sz w:val="18"/>
                  <w:szCs w:val="18"/>
                  <w:color w:val="242424"/>
                </w:rPr>
                <w:t>Exclusive License Agreement, dated August 3, 2011, between the</w:t>
              </w:r>
            </w:hyperlink>
          </w:p>
        </w:tc>
        <w:tc>
          <w:tcPr>
            <w:tcW w:w="1520" w:type="dxa"/>
            <w:vAlign w:val="bottom"/>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242424"/>
          </w:tcPr>
          <w:p>
            <w:pPr>
              <w:spacing w:after="0" w:line="20" w:lineRule="exact"/>
              <w:rPr>
                <w:sz w:val="1"/>
                <w:szCs w:val="1"/>
                <w:color w:val="auto"/>
              </w:rPr>
            </w:pPr>
          </w:p>
        </w:tc>
        <w:tc>
          <w:tcPr>
            <w:tcW w:w="4340" w:type="dxa"/>
            <w:vAlign w:val="bottom"/>
            <w:gridSpan w:val="12"/>
            <w:shd w:val="clear" w:color="auto" w:fill="24242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280" w:type="dxa"/>
            <w:vAlign w:val="bottom"/>
            <w:gridSpan w:val="17"/>
          </w:tcPr>
          <w:p>
            <w:pPr>
              <w:spacing w:after="0" w:line="196" w:lineRule="exact"/>
              <w:rPr>
                <w:rFonts w:ascii="Times New Roman" w:cs="Times New Roman" w:eastAsia="Times New Roman" w:hAnsi="Times New Roman"/>
                <w:sz w:val="18"/>
                <w:szCs w:val="18"/>
                <w:color w:val="242424"/>
              </w:rPr>
            </w:pPr>
            <w:hyperlink r:id="rId54">
              <w:r>
                <w:rPr>
                  <w:rFonts w:ascii="Times New Roman" w:cs="Times New Roman" w:eastAsia="Times New Roman" w:hAnsi="Times New Roman"/>
                  <w:sz w:val="18"/>
                  <w:szCs w:val="18"/>
                  <w:color w:val="242424"/>
                </w:rPr>
                <w:t>University of Utah Research Foundation and Salarius Pharmaceuticals,</w:t>
              </w:r>
            </w:hyperlink>
          </w:p>
        </w:tc>
        <w:tc>
          <w:tcPr>
            <w:tcW w:w="1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120" w:type="dxa"/>
            <w:vAlign w:val="bottom"/>
            <w:tcBorders>
              <w:top w:val="single" w:sz="8" w:color="242424"/>
            </w:tcBorders>
            <w:gridSpan w:val="16"/>
          </w:tcPr>
          <w:p>
            <w:pPr>
              <w:spacing w:after="0" w:line="196" w:lineRule="exact"/>
              <w:rPr>
                <w:rFonts w:ascii="Times New Roman" w:cs="Times New Roman" w:eastAsia="Times New Roman" w:hAnsi="Times New Roman"/>
                <w:sz w:val="18"/>
                <w:szCs w:val="18"/>
                <w:color w:val="242424"/>
              </w:rPr>
            </w:pPr>
            <w:hyperlink r:id="rId54">
              <w:r>
                <w:rPr>
                  <w:rFonts w:ascii="Times New Roman" w:cs="Times New Roman" w:eastAsia="Times New Roman" w:hAnsi="Times New Roman"/>
                  <w:sz w:val="18"/>
                  <w:szCs w:val="18"/>
                  <w:color w:val="242424"/>
                </w:rPr>
                <w:t>LLC</w:t>
              </w:r>
            </w:hyperlink>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Borders>
              <w:top w:val="single" w:sz="8" w:color="242424"/>
            </w:tcBorders>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S-4</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333-229666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02/14/2019</w:t>
            </w:r>
          </w:p>
        </w:tc>
      </w:tr>
      <w:tr>
        <w:trPr>
          <w:trHeight w:val="203"/>
        </w:trPr>
        <w:tc>
          <w:tcPr>
            <w:tcW w:w="1160" w:type="dxa"/>
            <w:vAlign w:val="bottom"/>
          </w:tcPr>
          <w:p>
            <w:pPr>
              <w:spacing w:after="0"/>
              <w:rPr>
                <w:sz w:val="17"/>
                <w:szCs w:val="17"/>
                <w:color w:val="auto"/>
              </w:rPr>
            </w:pPr>
          </w:p>
        </w:tc>
        <w:tc>
          <w:tcPr>
            <w:tcW w:w="5280" w:type="dxa"/>
            <w:vAlign w:val="bottom"/>
            <w:tcBorders>
              <w:bottom w:val="single" w:sz="8" w:color="242424"/>
            </w:tcBorders>
            <w:gridSpan w:val="17"/>
          </w:tcPr>
          <w:p>
            <w:pPr>
              <w:spacing w:after="0" w:line="202" w:lineRule="exact"/>
              <w:rPr>
                <w:rFonts w:ascii="Times New Roman" w:cs="Times New Roman" w:eastAsia="Times New Roman" w:hAnsi="Times New Roman"/>
                <w:sz w:val="18"/>
                <w:szCs w:val="18"/>
                <w:color w:val="242424"/>
                <w:w w:val="99"/>
              </w:rPr>
            </w:pPr>
            <w:hyperlink r:id="rId55">
              <w:r>
                <w:rPr>
                  <w:rFonts w:ascii="Times New Roman" w:cs="Times New Roman" w:eastAsia="Times New Roman" w:hAnsi="Times New Roman"/>
                  <w:sz w:val="18"/>
                  <w:szCs w:val="18"/>
                  <w:color w:val="242424"/>
                  <w:w w:val="99"/>
                </w:rPr>
                <w:t>Cancer Research Grant Contract, dated June 1, 2016, between the Cancer</w:t>
              </w:r>
            </w:hyperlink>
          </w:p>
        </w:tc>
        <w:tc>
          <w:tcPr>
            <w:tcW w:w="1520" w:type="dxa"/>
            <w:vAlign w:val="bottom"/>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spacing w:after="0"/>
              <w:rPr>
                <w:sz w:val="17"/>
                <w:szCs w:val="17"/>
                <w:color w:val="auto"/>
              </w:rPr>
            </w:pPr>
          </w:p>
        </w:tc>
      </w:tr>
    </w:tbl>
    <w:p>
      <w:pPr>
        <w:spacing w:after="0" w:line="9" w:lineRule="exact"/>
        <w:rPr>
          <w:sz w:val="20"/>
          <w:szCs w:val="20"/>
          <w:color w:val="auto"/>
        </w:rPr>
      </w:pPr>
    </w:p>
    <w:p>
      <w:pPr>
        <w:ind w:left="1160"/>
        <w:spacing w:after="0"/>
        <w:rPr>
          <w:rFonts w:ascii="Times New Roman" w:cs="Times New Roman" w:eastAsia="Times New Roman" w:hAnsi="Times New Roman"/>
          <w:sz w:val="18"/>
          <w:szCs w:val="18"/>
          <w:u w:val="single" w:color="auto"/>
          <w:color w:val="242424"/>
        </w:rPr>
      </w:pPr>
      <w:hyperlink r:id="rId55">
        <w:r>
          <w:rPr>
            <w:rFonts w:ascii="Times New Roman" w:cs="Times New Roman" w:eastAsia="Times New Roman" w:hAnsi="Times New Roman"/>
            <w:sz w:val="18"/>
            <w:szCs w:val="18"/>
            <w:u w:val="single" w:color="auto"/>
            <w:color w:val="242424"/>
          </w:rPr>
          <w:t>Prevention and Research Institute of Texas and Salarius Pharmaceuticals,</w:t>
        </w:r>
      </w:hyperlink>
    </w:p>
    <w:p>
      <w:pPr>
        <w:spacing w:after="0" w:line="27" w:lineRule="exact"/>
        <w:rPr>
          <w:sz w:val="20"/>
          <w:szCs w:val="20"/>
          <w:color w:val="auto"/>
        </w:rPr>
      </w:pPr>
    </w:p>
    <w:p>
      <w:pPr>
        <w:ind w:left="1160"/>
        <w:spacing w:after="0"/>
        <w:rPr>
          <w:rFonts w:ascii="Times New Roman" w:cs="Times New Roman" w:eastAsia="Times New Roman" w:hAnsi="Times New Roman"/>
          <w:sz w:val="18"/>
          <w:szCs w:val="18"/>
          <w:u w:val="single" w:color="auto"/>
          <w:color w:val="242424"/>
        </w:rPr>
      </w:pPr>
      <w:hyperlink r:id="rId55">
        <w:r>
          <w:rPr>
            <w:rFonts w:ascii="Times New Roman" w:cs="Times New Roman" w:eastAsia="Times New Roman" w:hAnsi="Times New Roman"/>
            <w:sz w:val="18"/>
            <w:szCs w:val="18"/>
            <w:u w:val="single" w:color="auto"/>
            <w:color w:val="242424"/>
          </w:rPr>
          <w:t>LLC</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1440" w:right="9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S-4</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333-229666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02/14/2019</w:t>
            </w:r>
          </w:p>
        </w:tc>
      </w:tr>
      <w:tr>
        <w:trPr>
          <w:trHeight w:val="202"/>
        </w:trPr>
        <w:tc>
          <w:tcPr>
            <w:tcW w:w="1160" w:type="dxa"/>
            <w:vAlign w:val="bottom"/>
          </w:tcPr>
          <w:p>
            <w:pPr>
              <w:spacing w:after="0"/>
              <w:rPr>
                <w:sz w:val="17"/>
                <w:szCs w:val="17"/>
                <w:color w:val="auto"/>
              </w:rPr>
            </w:pPr>
          </w:p>
        </w:tc>
        <w:tc>
          <w:tcPr>
            <w:tcW w:w="4740" w:type="dxa"/>
            <w:vAlign w:val="bottom"/>
            <w:tcBorders>
              <w:bottom w:val="single" w:sz="8" w:color="242424"/>
            </w:tcBorders>
            <w:gridSpan w:val="13"/>
          </w:tcPr>
          <w:p>
            <w:pPr>
              <w:spacing w:after="0" w:line="202" w:lineRule="exact"/>
              <w:rPr>
                <w:rFonts w:ascii="Times New Roman" w:cs="Times New Roman" w:eastAsia="Times New Roman" w:hAnsi="Times New Roman"/>
                <w:sz w:val="18"/>
                <w:szCs w:val="18"/>
                <w:color w:val="242424"/>
                <w:w w:val="99"/>
              </w:rPr>
            </w:pPr>
            <w:hyperlink r:id="rId57">
              <w:r>
                <w:rPr>
                  <w:rFonts w:ascii="Times New Roman" w:cs="Times New Roman" w:eastAsia="Times New Roman" w:hAnsi="Times New Roman"/>
                  <w:sz w:val="18"/>
                  <w:szCs w:val="18"/>
                  <w:color w:val="242424"/>
                  <w:w w:val="99"/>
                </w:rPr>
                <w:t>Amended and Restated Executive Employment Agreement, dated</w:t>
              </w:r>
            </w:hyperlink>
          </w:p>
        </w:tc>
        <w:tc>
          <w:tcPr>
            <w:tcW w:w="102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300" w:type="dxa"/>
            <w:vAlign w:val="bottom"/>
            <w:tcBorders>
              <w:bottom w:val="single" w:sz="8" w:color="242424"/>
            </w:tcBorders>
            <w:gridSpan w:val="23"/>
          </w:tcPr>
          <w:p>
            <w:pPr>
              <w:spacing w:after="0" w:line="196" w:lineRule="exact"/>
              <w:rPr>
                <w:rFonts w:ascii="Times New Roman" w:cs="Times New Roman" w:eastAsia="Times New Roman" w:hAnsi="Times New Roman"/>
                <w:sz w:val="18"/>
                <w:szCs w:val="18"/>
                <w:color w:val="242424"/>
                <w:w w:val="99"/>
              </w:rPr>
            </w:pPr>
            <w:hyperlink r:id="rId57">
              <w:r>
                <w:rPr>
                  <w:rFonts w:ascii="Times New Roman" w:cs="Times New Roman" w:eastAsia="Times New Roman" w:hAnsi="Times New Roman"/>
                  <w:sz w:val="18"/>
                  <w:szCs w:val="18"/>
                  <w:color w:val="242424"/>
                  <w:w w:val="99"/>
                </w:rPr>
                <w:t>February 5, 2019, between David J. Arthur and Salarius Pharmaceuticals,</w:t>
              </w:r>
            </w:hyperlink>
          </w:p>
        </w:tc>
        <w:tc>
          <w:tcPr>
            <w:tcW w:w="4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760" w:type="dxa"/>
            <w:vAlign w:val="bottom"/>
            <w:gridSpan w:val="25"/>
          </w:tcPr>
          <w:p>
            <w:pPr>
              <w:spacing w:after="0" w:line="196" w:lineRule="exact"/>
              <w:rPr>
                <w:rFonts w:ascii="Times New Roman" w:cs="Times New Roman" w:eastAsia="Times New Roman" w:hAnsi="Times New Roman"/>
                <w:sz w:val="18"/>
                <w:szCs w:val="18"/>
                <w:color w:val="242424"/>
              </w:rPr>
            </w:pPr>
            <w:hyperlink r:id="rId57">
              <w:r>
                <w:rPr>
                  <w:rFonts w:ascii="Times New Roman" w:cs="Times New Roman" w:eastAsia="Times New Roman" w:hAnsi="Times New Roman"/>
                  <w:sz w:val="18"/>
                  <w:szCs w:val="18"/>
                  <w:color w:val="242424"/>
                </w:rPr>
                <w:t>LLC</w:t>
              </w:r>
            </w:hyperlink>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shd w:val="clear" w:color="auto" w:fill="24242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760" w:type="dxa"/>
            <w:vAlign w:val="bottom"/>
            <w:gridSpan w:val="25"/>
          </w:tcPr>
          <w:p>
            <w:pPr>
              <w:spacing w:after="0"/>
              <w:rPr>
                <w:rFonts w:ascii="Times New Roman" w:cs="Times New Roman" w:eastAsia="Times New Roman" w:hAnsi="Times New Roman"/>
                <w:sz w:val="18"/>
                <w:szCs w:val="18"/>
                <w:color w:val="auto"/>
              </w:rPr>
            </w:pPr>
            <w:hyperlink r:id="rId58">
              <w:r>
                <w:rPr>
                  <w:rFonts w:ascii="Times New Roman" w:cs="Times New Roman" w:eastAsia="Times New Roman" w:hAnsi="Times New Roman"/>
                  <w:sz w:val="18"/>
                  <w:szCs w:val="18"/>
                  <w:color w:val="auto"/>
                </w:rPr>
                <w:t>Amendment to Amended and Restated Executive Employment</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09/16/2019</w:t>
            </w:r>
          </w:p>
        </w:tc>
      </w:tr>
      <w:tr>
        <w:trPr>
          <w:trHeight w:val="156"/>
        </w:trPr>
        <w:tc>
          <w:tcPr>
            <w:tcW w:w="1160" w:type="dxa"/>
            <w:vAlign w:val="bottom"/>
          </w:tcPr>
          <w:p>
            <w:pPr>
              <w:spacing w:after="0"/>
              <w:rPr>
                <w:sz w:val="13"/>
                <w:szCs w:val="13"/>
                <w:color w:val="auto"/>
              </w:rPr>
            </w:pPr>
          </w:p>
        </w:tc>
        <w:tc>
          <w:tcPr>
            <w:tcW w:w="4540" w:type="dxa"/>
            <w:vAlign w:val="bottom"/>
            <w:tcBorders>
              <w:top w:val="single" w:sz="8" w:color="auto"/>
            </w:tcBorders>
            <w:gridSpan w:val="11"/>
          </w:tcPr>
          <w:p>
            <w:pPr>
              <w:spacing w:after="0" w:line="156" w:lineRule="exact"/>
              <w:rPr>
                <w:rFonts w:ascii="Times New Roman" w:cs="Times New Roman" w:eastAsia="Times New Roman" w:hAnsi="Times New Roman"/>
                <w:sz w:val="18"/>
                <w:szCs w:val="18"/>
                <w:color w:val="auto"/>
              </w:rPr>
            </w:pPr>
            <w:hyperlink r:id="rId58">
              <w:r>
                <w:rPr>
                  <w:rFonts w:ascii="Times New Roman" w:cs="Times New Roman" w:eastAsia="Times New Roman" w:hAnsi="Times New Roman"/>
                  <w:sz w:val="18"/>
                  <w:szCs w:val="18"/>
                  <w:color w:val="auto"/>
                </w:rPr>
                <w:t>Agreement dated September 10, 2019, among David J. Arthur,</w:t>
              </w:r>
            </w:hyperlink>
          </w:p>
        </w:tc>
        <w:tc>
          <w:tcPr>
            <w:tcW w:w="1220" w:type="dxa"/>
            <w:vAlign w:val="bottom"/>
            <w:gridSpan w:val="14"/>
          </w:tcPr>
          <w:p>
            <w:pPr>
              <w:ind w:left="20"/>
              <w:spacing w:after="0" w:line="156" w:lineRule="exact"/>
              <w:rPr>
                <w:rFonts w:ascii="Times New Roman" w:cs="Times New Roman" w:eastAsia="Times New Roman" w:hAnsi="Times New Roman"/>
                <w:sz w:val="18"/>
                <w:szCs w:val="18"/>
                <w:color w:val="auto"/>
              </w:rPr>
            </w:pPr>
            <w:hyperlink r:id="rId58">
              <w:r>
                <w:rPr>
                  <w:rFonts w:ascii="Times New Roman" w:cs="Times New Roman" w:eastAsia="Times New Roman" w:hAnsi="Times New Roman"/>
                  <w:sz w:val="18"/>
                  <w:szCs w:val="18"/>
                  <w:color w:val="auto"/>
                </w:rPr>
                <w:t>the</w:t>
              </w:r>
            </w:hyperlink>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4780" w:type="dxa"/>
            <w:vAlign w:val="bottom"/>
            <w:tcBorders>
              <w:top w:val="single" w:sz="8" w:color="auto"/>
            </w:tcBorders>
            <w:gridSpan w:val="14"/>
          </w:tcPr>
          <w:p>
            <w:pPr>
              <w:spacing w:after="0" w:line="169" w:lineRule="exact"/>
              <w:rPr>
                <w:rFonts w:ascii="Times New Roman" w:cs="Times New Roman" w:eastAsia="Times New Roman" w:hAnsi="Times New Roman"/>
                <w:sz w:val="18"/>
                <w:szCs w:val="18"/>
                <w:color w:val="auto"/>
              </w:rPr>
            </w:pPr>
            <w:hyperlink r:id="rId58">
              <w:r>
                <w:rPr>
                  <w:rFonts w:ascii="Times New Roman" w:cs="Times New Roman" w:eastAsia="Times New Roman" w:hAnsi="Times New Roman"/>
                  <w:sz w:val="18"/>
                  <w:szCs w:val="18"/>
                  <w:color w:val="auto"/>
                </w:rPr>
                <w:t>Registrant and Salarius Pharmaceuticals, LLC</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760" w:type="dxa"/>
            <w:vAlign w:val="bottom"/>
            <w:gridSpan w:val="25"/>
          </w:tcPr>
          <w:p>
            <w:pPr>
              <w:spacing w:after="0"/>
              <w:rPr>
                <w:rFonts w:ascii="Times New Roman" w:cs="Times New Roman" w:eastAsia="Times New Roman" w:hAnsi="Times New Roman"/>
                <w:sz w:val="18"/>
                <w:szCs w:val="18"/>
                <w:color w:val="auto"/>
              </w:rPr>
            </w:pPr>
            <w:hyperlink r:id="rId59">
              <w:r>
                <w:rPr>
                  <w:rFonts w:ascii="Times New Roman" w:cs="Times New Roman" w:eastAsia="Times New Roman" w:hAnsi="Times New Roman"/>
                  <w:sz w:val="18"/>
                  <w:szCs w:val="18"/>
                  <w:color w:val="auto"/>
                </w:rPr>
                <w:t>Employment Agreement between Mark J. Rosenblum and Salarius</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4/29/2020</w:t>
            </w:r>
          </w:p>
        </w:tc>
      </w:tr>
      <w:tr>
        <w:trPr>
          <w:trHeight w:val="156"/>
        </w:trPr>
        <w:tc>
          <w:tcPr>
            <w:tcW w:w="1160" w:type="dxa"/>
            <w:vAlign w:val="bottom"/>
          </w:tcPr>
          <w:p>
            <w:pPr>
              <w:spacing w:after="0"/>
              <w:rPr>
                <w:sz w:val="13"/>
                <w:szCs w:val="13"/>
                <w:color w:val="auto"/>
              </w:rPr>
            </w:pPr>
          </w:p>
        </w:tc>
        <w:tc>
          <w:tcPr>
            <w:tcW w:w="3060" w:type="dxa"/>
            <w:vAlign w:val="bottom"/>
            <w:tcBorders>
              <w:top w:val="single" w:sz="8" w:color="auto"/>
              <w:bottom w:val="single" w:sz="8" w:color="auto"/>
            </w:tcBorders>
            <w:gridSpan w:val="5"/>
          </w:tcPr>
          <w:p>
            <w:pPr>
              <w:spacing w:after="0" w:line="156" w:lineRule="exact"/>
              <w:rPr>
                <w:rFonts w:ascii="Times New Roman" w:cs="Times New Roman" w:eastAsia="Times New Roman" w:hAnsi="Times New Roman"/>
                <w:sz w:val="18"/>
                <w:szCs w:val="18"/>
                <w:color w:val="auto"/>
                <w:w w:val="99"/>
              </w:rPr>
            </w:pPr>
            <w:hyperlink r:id="rId59">
              <w:r>
                <w:rPr>
                  <w:rFonts w:ascii="Times New Roman" w:cs="Times New Roman" w:eastAsia="Times New Roman" w:hAnsi="Times New Roman"/>
                  <w:sz w:val="18"/>
                  <w:szCs w:val="18"/>
                  <w:color w:val="auto"/>
                  <w:w w:val="99"/>
                </w:rPr>
                <w:t>Pharmaceutical, Inc., dated April 24, 2020</w:t>
              </w:r>
            </w:hyperlink>
          </w:p>
        </w:tc>
        <w:tc>
          <w:tcPr>
            <w:tcW w:w="1760" w:type="dxa"/>
            <w:vAlign w:val="bottom"/>
            <w:tcBorders>
              <w:top w:val="single" w:sz="8" w:color="auto"/>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760" w:type="dxa"/>
            <w:vAlign w:val="bottom"/>
            <w:gridSpan w:val="25"/>
          </w:tcPr>
          <w:p>
            <w:pPr>
              <w:spacing w:after="0"/>
              <w:rPr>
                <w:rFonts w:ascii="Times New Roman" w:cs="Times New Roman" w:eastAsia="Times New Roman" w:hAnsi="Times New Roman"/>
                <w:sz w:val="18"/>
                <w:szCs w:val="18"/>
                <w:color w:val="auto"/>
              </w:rPr>
            </w:pPr>
            <w:hyperlink r:id="rId60">
              <w:r>
                <w:rPr>
                  <w:rFonts w:ascii="Times New Roman" w:cs="Times New Roman" w:eastAsia="Times New Roman" w:hAnsi="Times New Roman"/>
                  <w:sz w:val="18"/>
                  <w:szCs w:val="18"/>
                  <w:color w:val="auto"/>
                </w:rPr>
                <w:t>Amendment to Executive Employment Agreement, dated February 20,</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02/23/2024</w:t>
            </w:r>
          </w:p>
        </w:tc>
      </w:tr>
      <w:tr>
        <w:trPr>
          <w:trHeight w:val="156"/>
        </w:trPr>
        <w:tc>
          <w:tcPr>
            <w:tcW w:w="1160" w:type="dxa"/>
            <w:vAlign w:val="bottom"/>
          </w:tcPr>
          <w:p>
            <w:pPr>
              <w:spacing w:after="0"/>
              <w:rPr>
                <w:sz w:val="13"/>
                <w:szCs w:val="13"/>
                <w:color w:val="auto"/>
              </w:rPr>
            </w:pPr>
          </w:p>
        </w:tc>
        <w:tc>
          <w:tcPr>
            <w:tcW w:w="5100" w:type="dxa"/>
            <w:vAlign w:val="bottom"/>
            <w:tcBorders>
              <w:top w:val="single" w:sz="8" w:color="auto"/>
            </w:tcBorders>
            <w:gridSpan w:val="21"/>
          </w:tcPr>
          <w:p>
            <w:pPr>
              <w:spacing w:after="0" w:line="156" w:lineRule="exact"/>
              <w:rPr>
                <w:rFonts w:ascii="Times New Roman" w:cs="Times New Roman" w:eastAsia="Times New Roman" w:hAnsi="Times New Roman"/>
                <w:sz w:val="18"/>
                <w:szCs w:val="18"/>
                <w:color w:val="auto"/>
              </w:rPr>
            </w:pPr>
            <w:hyperlink r:id="rId60">
              <w:r>
                <w:rPr>
                  <w:rFonts w:ascii="Times New Roman" w:cs="Times New Roman" w:eastAsia="Times New Roman" w:hAnsi="Times New Roman"/>
                  <w:sz w:val="18"/>
                  <w:szCs w:val="18"/>
                  <w:color w:val="auto"/>
                </w:rPr>
                <w:t>2024, by and between Salarius Pharmaceuticals, Inc. and Mark J.</w:t>
              </w:r>
            </w:hyperlink>
          </w:p>
        </w:tc>
        <w:tc>
          <w:tcPr>
            <w:tcW w:w="1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4700" w:type="dxa"/>
            <w:vAlign w:val="bottom"/>
            <w:tcBorders>
              <w:top w:val="single" w:sz="8" w:color="auto"/>
            </w:tcBorders>
            <w:gridSpan w:val="12"/>
          </w:tcPr>
          <w:p>
            <w:pPr>
              <w:spacing w:after="0" w:line="169" w:lineRule="exact"/>
              <w:rPr>
                <w:rFonts w:ascii="Times New Roman" w:cs="Times New Roman" w:eastAsia="Times New Roman" w:hAnsi="Times New Roman"/>
                <w:sz w:val="18"/>
                <w:szCs w:val="18"/>
                <w:color w:val="auto"/>
              </w:rPr>
            </w:pPr>
            <w:hyperlink r:id="rId60">
              <w:r>
                <w:rPr>
                  <w:rFonts w:ascii="Times New Roman" w:cs="Times New Roman" w:eastAsia="Times New Roman" w:hAnsi="Times New Roman"/>
                  <w:sz w:val="18"/>
                  <w:szCs w:val="18"/>
                  <w:color w:val="auto"/>
                </w:rPr>
                <w:t>Rosenblum</w:t>
              </w:r>
            </w:hyperlink>
          </w:p>
        </w:tc>
        <w:tc>
          <w:tcPr>
            <w:tcW w:w="18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760" w:type="dxa"/>
            <w:vAlign w:val="bottom"/>
            <w:gridSpan w:val="25"/>
          </w:tcPr>
          <w:p>
            <w:pPr>
              <w:spacing w:after="0"/>
              <w:rPr>
                <w:rFonts w:ascii="Times New Roman" w:cs="Times New Roman" w:eastAsia="Times New Roman" w:hAnsi="Times New Roman"/>
                <w:sz w:val="18"/>
                <w:szCs w:val="18"/>
                <w:color w:val="auto"/>
              </w:rPr>
            </w:pPr>
            <w:hyperlink r:id="rId61">
              <w:r>
                <w:rPr>
                  <w:rFonts w:ascii="Times New Roman" w:cs="Times New Roman" w:eastAsia="Times New Roman" w:hAnsi="Times New Roman"/>
                  <w:sz w:val="18"/>
                  <w:szCs w:val="18"/>
                  <w:color w:val="auto"/>
                </w:rPr>
                <w:t>Separation and Release Agreement, dated February 20, 2024, by and</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02/23/2024</w:t>
            </w:r>
          </w:p>
        </w:tc>
      </w:tr>
      <w:tr>
        <w:trPr>
          <w:trHeight w:val="156"/>
        </w:trPr>
        <w:tc>
          <w:tcPr>
            <w:tcW w:w="1160" w:type="dxa"/>
            <w:vAlign w:val="bottom"/>
          </w:tcPr>
          <w:p>
            <w:pPr>
              <w:spacing w:after="0"/>
              <w:rPr>
                <w:sz w:val="13"/>
                <w:szCs w:val="13"/>
                <w:color w:val="auto"/>
              </w:rPr>
            </w:pPr>
          </w:p>
        </w:tc>
        <w:tc>
          <w:tcPr>
            <w:tcW w:w="4300" w:type="dxa"/>
            <w:vAlign w:val="bottom"/>
            <w:tcBorders>
              <w:top w:val="single" w:sz="8" w:color="auto"/>
              <w:bottom w:val="single" w:sz="8" w:color="auto"/>
            </w:tcBorders>
            <w:gridSpan w:val="9"/>
          </w:tcPr>
          <w:p>
            <w:pPr>
              <w:spacing w:after="0" w:line="156" w:lineRule="exact"/>
              <w:rPr>
                <w:rFonts w:ascii="Times New Roman" w:cs="Times New Roman" w:eastAsia="Times New Roman" w:hAnsi="Times New Roman"/>
                <w:sz w:val="18"/>
                <w:szCs w:val="18"/>
                <w:color w:val="auto"/>
                <w:w w:val="99"/>
              </w:rPr>
            </w:pPr>
            <w:hyperlink r:id="rId61">
              <w:r>
                <w:rPr>
                  <w:rFonts w:ascii="Times New Roman" w:cs="Times New Roman" w:eastAsia="Times New Roman" w:hAnsi="Times New Roman"/>
                  <w:sz w:val="18"/>
                  <w:szCs w:val="18"/>
                  <w:color w:val="auto"/>
                  <w:w w:val="99"/>
                </w:rPr>
                <w:t>between Salarius Pharmaceuticals, Inc. and David J. Arthur</w:t>
              </w:r>
            </w:hyperlink>
          </w:p>
        </w:tc>
        <w:tc>
          <w:tcPr>
            <w:tcW w:w="660" w:type="dxa"/>
            <w:vAlign w:val="bottom"/>
            <w:tcBorders>
              <w:top w:val="single" w:sz="8" w:color="auto"/>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760" w:type="dxa"/>
            <w:vAlign w:val="bottom"/>
            <w:gridSpan w:val="25"/>
          </w:tcPr>
          <w:p>
            <w:pPr>
              <w:spacing w:after="0"/>
              <w:rPr>
                <w:rFonts w:ascii="Times New Roman" w:cs="Times New Roman" w:eastAsia="Times New Roman" w:hAnsi="Times New Roman"/>
                <w:sz w:val="18"/>
                <w:szCs w:val="18"/>
                <w:color w:val="auto"/>
              </w:rPr>
            </w:pPr>
            <w:hyperlink r:id="rId62">
              <w:r>
                <w:rPr>
                  <w:rFonts w:ascii="Times New Roman" w:cs="Times New Roman" w:eastAsia="Times New Roman" w:hAnsi="Times New Roman"/>
                  <w:sz w:val="18"/>
                  <w:szCs w:val="18"/>
                  <w:color w:val="auto"/>
                </w:rPr>
                <w:t>Consulting Agreement, dated February 20, 2024, by and between Salarius</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02/23/2024</w:t>
            </w:r>
          </w:p>
        </w:tc>
      </w:tr>
      <w:tr>
        <w:trPr>
          <w:trHeight w:val="156"/>
        </w:trPr>
        <w:tc>
          <w:tcPr>
            <w:tcW w:w="1160" w:type="dxa"/>
            <w:vAlign w:val="bottom"/>
          </w:tcPr>
          <w:p>
            <w:pPr>
              <w:spacing w:after="0"/>
              <w:rPr>
                <w:sz w:val="13"/>
                <w:szCs w:val="13"/>
                <w:color w:val="auto"/>
              </w:rPr>
            </w:pPr>
          </w:p>
        </w:tc>
        <w:tc>
          <w:tcPr>
            <w:tcW w:w="5340" w:type="dxa"/>
            <w:vAlign w:val="bottom"/>
            <w:tcBorders>
              <w:top w:val="single" w:sz="8" w:color="auto"/>
            </w:tcBorders>
            <w:gridSpan w:val="24"/>
          </w:tcPr>
          <w:p>
            <w:pPr>
              <w:spacing w:after="0" w:line="156" w:lineRule="exact"/>
              <w:rPr>
                <w:rFonts w:ascii="Times New Roman" w:cs="Times New Roman" w:eastAsia="Times New Roman" w:hAnsi="Times New Roman"/>
                <w:sz w:val="18"/>
                <w:szCs w:val="18"/>
                <w:color w:val="auto"/>
              </w:rPr>
            </w:pPr>
            <w:hyperlink r:id="rId62">
              <w:r>
                <w:rPr>
                  <w:rFonts w:ascii="Times New Roman" w:cs="Times New Roman" w:eastAsia="Times New Roman" w:hAnsi="Times New Roman"/>
                  <w:sz w:val="18"/>
                  <w:szCs w:val="18"/>
                  <w:color w:val="auto"/>
                </w:rPr>
                <w:t>Pharmaceuticals, Inc. and David J. Arthur</w:t>
              </w:r>
            </w:hyperlink>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760" w:type="dxa"/>
            <w:vAlign w:val="bottom"/>
            <w:gridSpan w:val="25"/>
          </w:tcPr>
          <w:p>
            <w:pPr>
              <w:spacing w:after="0"/>
              <w:rPr>
                <w:rFonts w:ascii="Times New Roman" w:cs="Times New Roman" w:eastAsia="Times New Roman" w:hAnsi="Times New Roman"/>
                <w:sz w:val="18"/>
                <w:szCs w:val="18"/>
                <w:color w:val="auto"/>
              </w:rPr>
            </w:pPr>
            <w:hyperlink r:id="rId63">
              <w:r>
                <w:rPr>
                  <w:rFonts w:ascii="Times New Roman" w:cs="Times New Roman" w:eastAsia="Times New Roman" w:hAnsi="Times New Roman"/>
                  <w:sz w:val="18"/>
                  <w:szCs w:val="18"/>
                  <w:color w:val="auto"/>
                </w:rPr>
                <w:t>Forms of Stock Option Agreement, Notice of Exercise and Stock Option</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03/24/2015</w:t>
            </w:r>
          </w:p>
        </w:tc>
      </w:tr>
      <w:tr>
        <w:trPr>
          <w:trHeight w:val="156"/>
        </w:trPr>
        <w:tc>
          <w:tcPr>
            <w:tcW w:w="1160" w:type="dxa"/>
            <w:vAlign w:val="bottom"/>
          </w:tcPr>
          <w:p>
            <w:pPr>
              <w:spacing w:after="0"/>
              <w:rPr>
                <w:sz w:val="13"/>
                <w:szCs w:val="13"/>
                <w:color w:val="auto"/>
              </w:rPr>
            </w:pPr>
          </w:p>
        </w:tc>
        <w:tc>
          <w:tcPr>
            <w:tcW w:w="4280" w:type="dxa"/>
            <w:vAlign w:val="bottom"/>
            <w:tcBorders>
              <w:top w:val="single" w:sz="8" w:color="auto"/>
              <w:bottom w:val="single" w:sz="8" w:color="auto"/>
            </w:tcBorders>
            <w:gridSpan w:val="8"/>
          </w:tcPr>
          <w:p>
            <w:pPr>
              <w:spacing w:after="0" w:line="156" w:lineRule="exact"/>
              <w:rPr>
                <w:rFonts w:ascii="Times New Roman" w:cs="Times New Roman" w:eastAsia="Times New Roman" w:hAnsi="Times New Roman"/>
                <w:sz w:val="18"/>
                <w:szCs w:val="18"/>
                <w:color w:val="auto"/>
                <w:w w:val="99"/>
              </w:rPr>
            </w:pPr>
            <w:hyperlink r:id="rId63">
              <w:r>
                <w:rPr>
                  <w:rFonts w:ascii="Times New Roman" w:cs="Times New Roman" w:eastAsia="Times New Roman" w:hAnsi="Times New Roman"/>
                  <w:sz w:val="18"/>
                  <w:szCs w:val="18"/>
                  <w:color w:val="auto"/>
                  <w:w w:val="99"/>
                </w:rPr>
                <w:t>Grant Notice under the Flex Pharma, Inc. 2015 Equity Plan</w:t>
              </w:r>
            </w:hyperlink>
          </w:p>
        </w:tc>
        <w:tc>
          <w:tcPr>
            <w:tcW w:w="960" w:type="dxa"/>
            <w:vAlign w:val="bottom"/>
            <w:tcBorders>
              <w:top w:val="single" w:sz="8" w:color="auto"/>
            </w:tcBorders>
            <w:gridSpan w:val="14"/>
          </w:tcPr>
          <w:p>
            <w:pPr>
              <w:spacing w:after="0"/>
              <w:rPr>
                <w:sz w:val="13"/>
                <w:szCs w:val="13"/>
                <w:color w:val="auto"/>
              </w:rPr>
            </w:pPr>
          </w:p>
        </w:tc>
        <w:tc>
          <w:tcPr>
            <w:tcW w:w="52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760" w:type="dxa"/>
            <w:vAlign w:val="bottom"/>
            <w:gridSpan w:val="25"/>
          </w:tcPr>
          <w:p>
            <w:pPr>
              <w:spacing w:after="0"/>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Notice of Stock Option Amendment, dated February 20, 2024, by and</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02/23/2024</w:t>
            </w:r>
          </w:p>
        </w:tc>
      </w:tr>
      <w:tr>
        <w:trPr>
          <w:trHeight w:val="156"/>
        </w:trPr>
        <w:tc>
          <w:tcPr>
            <w:tcW w:w="1160" w:type="dxa"/>
            <w:vAlign w:val="bottom"/>
          </w:tcPr>
          <w:p>
            <w:pPr>
              <w:spacing w:after="0"/>
              <w:rPr>
                <w:sz w:val="13"/>
                <w:szCs w:val="13"/>
                <w:color w:val="auto"/>
              </w:rPr>
            </w:pPr>
          </w:p>
        </w:tc>
        <w:tc>
          <w:tcPr>
            <w:tcW w:w="5040" w:type="dxa"/>
            <w:vAlign w:val="bottom"/>
            <w:tcBorders>
              <w:top w:val="single" w:sz="8" w:color="auto"/>
            </w:tcBorders>
            <w:gridSpan w:val="19"/>
          </w:tcPr>
          <w:p>
            <w:pPr>
              <w:spacing w:after="0" w:line="156" w:lineRule="exact"/>
              <w:rPr>
                <w:rFonts w:ascii="Times New Roman" w:cs="Times New Roman" w:eastAsia="Times New Roman" w:hAnsi="Times New Roman"/>
                <w:sz w:val="18"/>
                <w:szCs w:val="18"/>
                <w:color w:val="auto"/>
              </w:rPr>
            </w:pPr>
            <w:hyperlink r:id="rId64">
              <w:r>
                <w:rPr>
                  <w:rFonts w:ascii="Times New Roman" w:cs="Times New Roman" w:eastAsia="Times New Roman" w:hAnsi="Times New Roman"/>
                  <w:sz w:val="18"/>
                  <w:szCs w:val="18"/>
                  <w:color w:val="auto"/>
                </w:rPr>
                <w:t>between Salarius Pharmaceuticals, Inc. and David J. Arthur.</w:t>
              </w:r>
            </w:hyperlink>
          </w:p>
        </w:tc>
        <w:tc>
          <w:tcPr>
            <w:tcW w:w="20" w:type="dxa"/>
            <w:vAlign w:val="bottom"/>
          </w:tcPr>
          <w:p>
            <w:pPr>
              <w:spacing w:after="0"/>
              <w:rPr>
                <w:sz w:val="13"/>
                <w:szCs w:val="13"/>
                <w:color w:val="auto"/>
              </w:rPr>
            </w:pPr>
          </w:p>
        </w:tc>
        <w:tc>
          <w:tcPr>
            <w:tcW w:w="70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360" w:type="dxa"/>
            <w:vAlign w:val="bottom"/>
            <w:gridSpan w:val="4"/>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760" w:type="dxa"/>
            <w:vAlign w:val="bottom"/>
            <w:gridSpan w:val="25"/>
          </w:tcPr>
          <w:p>
            <w:pPr>
              <w:spacing w:after="0"/>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Amended and Restated Salarius Pharmaceuticals, Inc. 2015 Employee</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06/15/2023</w:t>
            </w:r>
          </w:p>
        </w:tc>
      </w:tr>
      <w:tr>
        <w:trPr>
          <w:trHeight w:val="156"/>
        </w:trPr>
        <w:tc>
          <w:tcPr>
            <w:tcW w:w="1160" w:type="dxa"/>
            <w:vAlign w:val="bottom"/>
          </w:tcPr>
          <w:p>
            <w:pPr>
              <w:spacing w:after="0"/>
              <w:rPr>
                <w:sz w:val="13"/>
                <w:szCs w:val="13"/>
                <w:color w:val="auto"/>
              </w:rPr>
            </w:pPr>
          </w:p>
        </w:tc>
        <w:tc>
          <w:tcPr>
            <w:tcW w:w="1480" w:type="dxa"/>
            <w:vAlign w:val="bottom"/>
            <w:tcBorders>
              <w:top w:val="single" w:sz="8" w:color="auto"/>
              <w:bottom w:val="single" w:sz="8" w:color="auto"/>
            </w:tcBorders>
            <w:gridSpan w:val="3"/>
          </w:tcPr>
          <w:p>
            <w:pPr>
              <w:spacing w:after="0" w:line="156" w:lineRule="exact"/>
              <w:rPr>
                <w:rFonts w:ascii="Times New Roman" w:cs="Times New Roman" w:eastAsia="Times New Roman" w:hAnsi="Times New Roman"/>
                <w:sz w:val="18"/>
                <w:szCs w:val="18"/>
                <w:color w:val="auto"/>
                <w:w w:val="99"/>
              </w:rPr>
            </w:pPr>
            <w:hyperlink r:id="rId65">
              <w:r>
                <w:rPr>
                  <w:rFonts w:ascii="Times New Roman" w:cs="Times New Roman" w:eastAsia="Times New Roman" w:hAnsi="Times New Roman"/>
                  <w:sz w:val="18"/>
                  <w:szCs w:val="18"/>
                  <w:color w:val="auto"/>
                  <w:w w:val="99"/>
                </w:rPr>
                <w:t>Stock Purchase Plan</w:t>
              </w:r>
            </w:hyperlink>
          </w:p>
        </w:tc>
        <w:tc>
          <w:tcPr>
            <w:tcW w:w="3580" w:type="dxa"/>
            <w:vAlign w:val="bottom"/>
            <w:tcBorders>
              <w:top w:val="single" w:sz="8" w:color="auto"/>
            </w:tcBorders>
            <w:gridSpan w:val="17"/>
          </w:tcPr>
          <w:p>
            <w:pPr>
              <w:spacing w:after="0"/>
              <w:rPr>
                <w:sz w:val="13"/>
                <w:szCs w:val="13"/>
                <w:color w:val="auto"/>
              </w:rPr>
            </w:pPr>
          </w:p>
        </w:tc>
        <w:tc>
          <w:tcPr>
            <w:tcW w:w="70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ind w:left="20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760" w:type="dxa"/>
            <w:vAlign w:val="bottom"/>
            <w:gridSpan w:val="25"/>
          </w:tcPr>
          <w:p>
            <w:pPr>
              <w:spacing w:after="0"/>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At the Market Offering Agreement, dated February 5, 2021, between</w:t>
              </w:r>
            </w:hyperlink>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 1.1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02/05/2021</w:t>
            </w:r>
          </w:p>
        </w:tc>
      </w:tr>
      <w:tr>
        <w:trPr>
          <w:trHeight w:val="156"/>
        </w:trPr>
        <w:tc>
          <w:tcPr>
            <w:tcW w:w="1160" w:type="dxa"/>
            <w:vAlign w:val="bottom"/>
          </w:tcPr>
          <w:p>
            <w:pPr>
              <w:spacing w:after="0"/>
              <w:rPr>
                <w:sz w:val="13"/>
                <w:szCs w:val="13"/>
                <w:color w:val="auto"/>
              </w:rPr>
            </w:pPr>
          </w:p>
        </w:tc>
        <w:tc>
          <w:tcPr>
            <w:tcW w:w="4980" w:type="dxa"/>
            <w:vAlign w:val="bottom"/>
            <w:tcBorders>
              <w:top w:val="single" w:sz="8" w:color="auto"/>
            </w:tcBorders>
            <w:gridSpan w:val="18"/>
          </w:tcPr>
          <w:p>
            <w:pPr>
              <w:spacing w:after="0" w:line="156" w:lineRule="exact"/>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Salarius Pharmaceuticals, Inc. and Ladenburg Thalmann &amp; Co. Inc.</w:t>
              </w:r>
            </w:hyperlink>
          </w:p>
        </w:tc>
        <w:tc>
          <w:tcPr>
            <w:tcW w:w="780" w:type="dxa"/>
            <w:vAlign w:val="bottom"/>
            <w:gridSpan w:val="7"/>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880" w:type="dxa"/>
            <w:vAlign w:val="bottom"/>
            <w:tcBorders>
              <w:top w:val="single" w:sz="8" w:color="auto"/>
            </w:tcBorders>
            <w:gridSpan w:val="16"/>
          </w:tcPr>
          <w:p>
            <w:pPr>
              <w:spacing w:after="0"/>
              <w:rPr>
                <w:rFonts w:ascii="Times New Roman" w:cs="Times New Roman" w:eastAsia="Times New Roman" w:hAnsi="Times New Roman"/>
                <w:sz w:val="18"/>
                <w:szCs w:val="18"/>
                <w:color w:val="auto"/>
              </w:rPr>
            </w:pPr>
            <w:hyperlink r:id="rId67">
              <w:r>
                <w:rPr>
                  <w:rFonts w:ascii="Times New Roman" w:cs="Times New Roman" w:eastAsia="Times New Roman" w:hAnsi="Times New Roman"/>
                  <w:sz w:val="18"/>
                  <w:szCs w:val="18"/>
                  <w:color w:val="auto"/>
                </w:rPr>
                <w:t>Securities Purchase Agreement, dated April 22, 2022</w:t>
              </w:r>
            </w:hyperlink>
          </w:p>
        </w:tc>
        <w:tc>
          <w:tcPr>
            <w:tcW w:w="880" w:type="dxa"/>
            <w:vAlign w:val="bottom"/>
            <w:gridSpan w:val="9"/>
          </w:tcPr>
          <w:p>
            <w:pPr>
              <w:spacing w:after="0"/>
              <w:rPr>
                <w:sz w:val="19"/>
                <w:szCs w:val="19"/>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04/22/2022</w:t>
            </w:r>
          </w:p>
        </w:tc>
      </w:tr>
      <w:tr>
        <w:trPr>
          <w:trHeight w:val="214"/>
        </w:trPr>
        <w:tc>
          <w:tcPr>
            <w:tcW w:w="1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1431" w:right="959" w:bottom="1440" w:gutter="0" w:footer="0" w:header="0"/>
        </w:sectPr>
      </w:pPr>
    </w:p>
    <w:bookmarkStart w:id="30" w:name="page31"/>
    <w:bookmarkEnd w:id="3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900" w:type="dxa"/>
            <w:vAlign w:val="bottom"/>
            <w:tcBorders>
              <w:bottom w:val="single" w:sz="8" w:color="auto"/>
            </w:tcBorders>
            <w:gridSpan w:val="8"/>
          </w:tcPr>
          <w:p>
            <w:pPr>
              <w:spacing w:after="0"/>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Form of Securities Purchase Agreement</w:t>
              </w:r>
            </w:hyperlink>
          </w:p>
        </w:tc>
        <w:tc>
          <w:tcPr>
            <w:tcW w:w="2480" w:type="dxa"/>
            <w:vAlign w:val="bottom"/>
            <w:gridSpan w:val="12"/>
          </w:tcPr>
          <w:p>
            <w:pPr>
              <w:spacing w:after="0"/>
              <w:rPr>
                <w:sz w:val="17"/>
                <w:szCs w:val="17"/>
                <w:color w:val="auto"/>
              </w:rPr>
            </w:pPr>
          </w:p>
        </w:tc>
      </w:tr>
      <w:tr>
        <w:trPr>
          <w:trHeight w:val="39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880" w:type="dxa"/>
            <w:vAlign w:val="bottom"/>
            <w:tcBorders>
              <w:bottom w:val="single" w:sz="8" w:color="auto"/>
            </w:tcBorders>
            <w:gridSpan w:val="7"/>
          </w:tcPr>
          <w:p>
            <w:pPr>
              <w:spacing w:after="0"/>
              <w:rPr>
                <w:rFonts w:ascii="Times New Roman" w:cs="Times New Roman" w:eastAsia="Times New Roman" w:hAnsi="Times New Roman"/>
                <w:sz w:val="18"/>
                <w:szCs w:val="18"/>
                <w:color w:val="auto"/>
                <w:w w:val="99"/>
              </w:rPr>
            </w:pPr>
            <w:hyperlink r:id="rId70">
              <w:r>
                <w:rPr>
                  <w:rFonts w:ascii="Times New Roman" w:cs="Times New Roman" w:eastAsia="Times New Roman" w:hAnsi="Times New Roman"/>
                  <w:sz w:val="18"/>
                  <w:szCs w:val="18"/>
                  <w:color w:val="auto"/>
                  <w:w w:val="99"/>
                </w:rPr>
                <w:t>Form of Registration Rights Agreement</w:t>
              </w:r>
            </w:hyperlink>
          </w:p>
        </w:tc>
        <w:tc>
          <w:tcPr>
            <w:tcW w:w="2500" w:type="dxa"/>
            <w:vAlign w:val="bottom"/>
            <w:gridSpan w:val="13"/>
          </w:tcPr>
          <w:p>
            <w:pPr>
              <w:spacing w:after="0"/>
              <w:rPr>
                <w:sz w:val="24"/>
                <w:szCs w:val="24"/>
                <w:color w:val="auto"/>
              </w:rPr>
            </w:pPr>
          </w:p>
        </w:tc>
      </w:tr>
      <w:tr>
        <w:trPr>
          <w:trHeight w:val="39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40" w:type="dxa"/>
            <w:vAlign w:val="bottom"/>
            <w:tcBorders>
              <w:bottom w:val="single" w:sz="8" w:color="auto"/>
            </w:tcBorders>
            <w:gridSpan w:val="4"/>
          </w:tcPr>
          <w:p>
            <w:pPr>
              <w:spacing w:after="0"/>
              <w:rPr>
                <w:rFonts w:ascii="Times New Roman" w:cs="Times New Roman" w:eastAsia="Times New Roman" w:hAnsi="Times New Roman"/>
                <w:sz w:val="18"/>
                <w:szCs w:val="18"/>
                <w:color w:val="auto"/>
                <w:w w:val="99"/>
              </w:rPr>
            </w:pPr>
            <w:hyperlink r:id="rId71">
              <w:r>
                <w:rPr>
                  <w:rFonts w:ascii="Times New Roman" w:cs="Times New Roman" w:eastAsia="Times New Roman" w:hAnsi="Times New Roman"/>
                  <w:sz w:val="18"/>
                  <w:szCs w:val="18"/>
                  <w:color w:val="auto"/>
                  <w:w w:val="99"/>
                </w:rPr>
                <w:t>Subsidiaries of the Registrant</w:t>
              </w:r>
            </w:hyperlink>
          </w:p>
        </w:tc>
        <w:tc>
          <w:tcPr>
            <w:tcW w:w="3240" w:type="dxa"/>
            <w:vAlign w:val="bottom"/>
            <w:gridSpan w:val="16"/>
          </w:tcPr>
          <w:p>
            <w:pPr>
              <w:spacing w:after="0"/>
              <w:rPr>
                <w:sz w:val="24"/>
                <w:szCs w:val="24"/>
                <w:color w:val="auto"/>
              </w:rPr>
            </w:pPr>
          </w:p>
        </w:tc>
      </w:tr>
      <w:tr>
        <w:trPr>
          <w:trHeight w:val="39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80" w:type="dxa"/>
            <w:vAlign w:val="bottom"/>
            <w:gridSpan w:val="20"/>
          </w:tcPr>
          <w:p>
            <w:pPr>
              <w:spacing w:after="0"/>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Consent of Ernst &amp; Young LLP</w:t>
              </w:r>
            </w:hyperlink>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bottom w:val="single" w:sz="8" w:color="auto"/>
            </w:tcBorders>
            <w:gridSpan w:val="9"/>
          </w:tcPr>
          <w:p>
            <w:pPr>
              <w:spacing w:after="0"/>
              <w:rPr>
                <w:rFonts w:ascii="Times New Roman" w:cs="Times New Roman" w:eastAsia="Times New Roman" w:hAnsi="Times New Roman"/>
                <w:sz w:val="18"/>
                <w:szCs w:val="18"/>
                <w:color w:val="auto"/>
                <w:w w:val="99"/>
              </w:rPr>
            </w:pPr>
            <w:hyperlink r:id="rId73">
              <w:r>
                <w:rPr>
                  <w:rFonts w:ascii="Times New Roman" w:cs="Times New Roman" w:eastAsia="Times New Roman" w:hAnsi="Times New Roman"/>
                  <w:sz w:val="18"/>
                  <w:szCs w:val="18"/>
                  <w:color w:val="auto"/>
                  <w:w w:val="99"/>
                </w:rPr>
                <w:t>Power of attorney (included on Signature Page)</w:t>
              </w:r>
            </w:hyperlink>
          </w:p>
        </w:tc>
        <w:tc>
          <w:tcPr>
            <w:tcW w:w="1940" w:type="dxa"/>
            <w:vAlign w:val="bottom"/>
            <w:gridSpan w:val="11"/>
          </w:tcPr>
          <w:p>
            <w:pPr>
              <w:spacing w:after="0"/>
              <w:rPr>
                <w:sz w:val="24"/>
                <w:szCs w:val="24"/>
                <w:color w:val="auto"/>
              </w:rPr>
            </w:pPr>
          </w:p>
        </w:tc>
      </w:tr>
      <w:tr>
        <w:trPr>
          <w:trHeight w:val="69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80" w:type="dxa"/>
            <w:vAlign w:val="bottom"/>
            <w:gridSpan w:val="20"/>
          </w:tcPr>
          <w:p>
            <w:pPr>
              <w:spacing w:after="0"/>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Certification of Principal Executive Officer Pursuant to Securities</w:t>
              </w:r>
            </w:hyperlink>
          </w:p>
        </w:tc>
      </w:tr>
      <w:tr>
        <w:trPr>
          <w:trHeight w:val="155"/>
        </w:trPr>
        <w:tc>
          <w:tcPr>
            <w:tcW w:w="1160" w:type="dxa"/>
            <w:vAlign w:val="bottom"/>
          </w:tcPr>
          <w:p>
            <w:pPr>
              <w:spacing w:after="0"/>
              <w:rPr>
                <w:sz w:val="13"/>
                <w:szCs w:val="13"/>
                <w:color w:val="auto"/>
              </w:rPr>
            </w:pPr>
          </w:p>
        </w:tc>
        <w:tc>
          <w:tcPr>
            <w:tcW w:w="4740" w:type="dxa"/>
            <w:vAlign w:val="bottom"/>
            <w:tcBorders>
              <w:top w:val="single" w:sz="8" w:color="auto"/>
            </w:tcBorders>
            <w:gridSpan w:val="11"/>
          </w:tcPr>
          <w:p>
            <w:pPr>
              <w:spacing w:after="0" w:line="156" w:lineRule="exact"/>
              <w:rPr>
                <w:rFonts w:ascii="Times New Roman" w:cs="Times New Roman" w:eastAsia="Times New Roman" w:hAnsi="Times New Roman"/>
                <w:sz w:val="18"/>
                <w:szCs w:val="18"/>
                <w:color w:val="auto"/>
                <w:w w:val="99"/>
              </w:rPr>
            </w:pPr>
            <w:hyperlink r:id="rId73">
              <w:r>
                <w:rPr>
                  <w:rFonts w:ascii="Times New Roman" w:cs="Times New Roman" w:eastAsia="Times New Roman" w:hAnsi="Times New Roman"/>
                  <w:sz w:val="18"/>
                  <w:szCs w:val="18"/>
                  <w:color w:val="auto"/>
                  <w:w w:val="99"/>
                </w:rPr>
                <w:t>Exchange Act Rule 13a-14(a), as adopted pursuant to Section 302</w:t>
              </w:r>
            </w:hyperlink>
          </w:p>
        </w:tc>
        <w:tc>
          <w:tcPr>
            <w:tcW w:w="640" w:type="dxa"/>
            <w:vAlign w:val="bottom"/>
            <w:gridSpan w:val="9"/>
          </w:tcPr>
          <w:p>
            <w:pPr>
              <w:ind w:left="60"/>
              <w:spacing w:after="0" w:line="156" w:lineRule="exact"/>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of the</w:t>
              </w:r>
            </w:hyperlink>
          </w:p>
        </w:tc>
      </w:tr>
      <w:tr>
        <w:trPr>
          <w:trHeight w:val="169"/>
        </w:trPr>
        <w:tc>
          <w:tcPr>
            <w:tcW w:w="1160" w:type="dxa"/>
            <w:vAlign w:val="bottom"/>
          </w:tcPr>
          <w:p>
            <w:pPr>
              <w:spacing w:after="0"/>
              <w:rPr>
                <w:sz w:val="14"/>
                <w:szCs w:val="14"/>
                <w:color w:val="auto"/>
              </w:rPr>
            </w:pPr>
          </w:p>
        </w:tc>
        <w:tc>
          <w:tcPr>
            <w:tcW w:w="5220" w:type="dxa"/>
            <w:vAlign w:val="bottom"/>
            <w:tcBorders>
              <w:top w:val="single" w:sz="8" w:color="auto"/>
            </w:tcBorders>
            <w:gridSpan w:val="16"/>
          </w:tcPr>
          <w:p>
            <w:pPr>
              <w:spacing w:after="0" w:line="169" w:lineRule="exact"/>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Sarbanes-Oxley Act of 2022</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80" w:type="dxa"/>
            <w:vAlign w:val="bottom"/>
            <w:gridSpan w:val="20"/>
          </w:tcPr>
          <w:p>
            <w:pPr>
              <w:spacing w:after="0"/>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Certification of Principal Financial and Accounting Officer Pursuant to</w:t>
              </w:r>
            </w:hyperlink>
          </w:p>
        </w:tc>
      </w:tr>
      <w:tr>
        <w:trPr>
          <w:trHeight w:val="155"/>
        </w:trPr>
        <w:tc>
          <w:tcPr>
            <w:tcW w:w="1160" w:type="dxa"/>
            <w:vAlign w:val="bottom"/>
          </w:tcPr>
          <w:p>
            <w:pPr>
              <w:spacing w:after="0"/>
              <w:rPr>
                <w:sz w:val="13"/>
                <w:szCs w:val="13"/>
                <w:color w:val="auto"/>
              </w:rPr>
            </w:pPr>
          </w:p>
        </w:tc>
        <w:tc>
          <w:tcPr>
            <w:tcW w:w="5140" w:type="dxa"/>
            <w:vAlign w:val="bottom"/>
            <w:tcBorders>
              <w:top w:val="single" w:sz="8" w:color="auto"/>
              <w:bottom w:val="single" w:sz="8" w:color="auto"/>
            </w:tcBorders>
            <w:gridSpan w:val="13"/>
          </w:tcPr>
          <w:p>
            <w:pPr>
              <w:spacing w:after="0" w:line="156" w:lineRule="exact"/>
              <w:rPr>
                <w:rFonts w:ascii="Times New Roman" w:cs="Times New Roman" w:eastAsia="Times New Roman" w:hAnsi="Times New Roman"/>
                <w:sz w:val="18"/>
                <w:szCs w:val="18"/>
                <w:color w:val="auto"/>
                <w:w w:val="98"/>
              </w:rPr>
            </w:pPr>
            <w:hyperlink r:id="rId74">
              <w:r>
                <w:rPr>
                  <w:rFonts w:ascii="Times New Roman" w:cs="Times New Roman" w:eastAsia="Times New Roman" w:hAnsi="Times New Roman"/>
                  <w:sz w:val="18"/>
                  <w:szCs w:val="18"/>
                  <w:color w:val="auto"/>
                  <w:w w:val="98"/>
                </w:rPr>
                <w:t>Securities Exchange Act Rule 13a-14(a), as adopted pursuant to Section</w:t>
              </w:r>
            </w:hyperlink>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2840" w:type="dxa"/>
            <w:vAlign w:val="bottom"/>
            <w:tcBorders>
              <w:bottom w:val="single" w:sz="8" w:color="auto"/>
            </w:tcBorders>
            <w:gridSpan w:val="6"/>
          </w:tcPr>
          <w:p>
            <w:pPr>
              <w:spacing w:after="0" w:line="169" w:lineRule="exact"/>
              <w:rPr>
                <w:rFonts w:ascii="Times New Roman" w:cs="Times New Roman" w:eastAsia="Times New Roman" w:hAnsi="Times New Roman"/>
                <w:sz w:val="18"/>
                <w:szCs w:val="18"/>
                <w:color w:val="auto"/>
                <w:w w:val="99"/>
              </w:rPr>
            </w:pPr>
            <w:hyperlink r:id="rId74">
              <w:r>
                <w:rPr>
                  <w:rFonts w:ascii="Times New Roman" w:cs="Times New Roman" w:eastAsia="Times New Roman" w:hAnsi="Times New Roman"/>
                  <w:sz w:val="18"/>
                  <w:szCs w:val="18"/>
                  <w:color w:val="auto"/>
                  <w:w w:val="99"/>
                </w:rPr>
                <w:t>302 of the Sarbanes-Oxley Act of 2002</w:t>
              </w:r>
            </w:hyperlink>
          </w:p>
        </w:tc>
        <w:tc>
          <w:tcPr>
            <w:tcW w:w="2360" w:type="dxa"/>
            <w:vAlign w:val="bottom"/>
            <w:gridSpan w:val="9"/>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5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w:t>
            </w:r>
          </w:p>
        </w:tc>
      </w:tr>
      <w:tr>
        <w:trPr>
          <w:trHeight w:val="156"/>
        </w:trPr>
        <w:tc>
          <w:tcPr>
            <w:tcW w:w="1160" w:type="dxa"/>
            <w:vAlign w:val="bottom"/>
          </w:tcPr>
          <w:p>
            <w:pPr>
              <w:spacing w:after="0"/>
              <w:rPr>
                <w:sz w:val="13"/>
                <w:szCs w:val="13"/>
                <w:color w:val="auto"/>
              </w:rPr>
            </w:pPr>
          </w:p>
        </w:tc>
        <w:tc>
          <w:tcPr>
            <w:tcW w:w="5100" w:type="dxa"/>
            <w:vAlign w:val="bottom"/>
            <w:tcBorders>
              <w:top w:val="single" w:sz="8" w:color="auto"/>
            </w:tcBorders>
            <w:gridSpan w:val="12"/>
          </w:tcPr>
          <w:p>
            <w:pPr>
              <w:spacing w:after="0" w:line="156" w:lineRule="exact"/>
              <w:rPr>
                <w:sz w:val="20"/>
                <w:szCs w:val="20"/>
                <w:color w:val="auto"/>
              </w:rPr>
            </w:pPr>
            <w:r>
              <w:rPr>
                <w:rFonts w:ascii="Times New Roman" w:cs="Times New Roman" w:eastAsia="Times New Roman" w:hAnsi="Times New Roman"/>
                <w:sz w:val="18"/>
                <w:szCs w:val="18"/>
                <w:color w:val="auto"/>
              </w:rPr>
              <w:t>and Rule 15d-14(a) of the Securities Exchange Act, as amended</w:t>
            </w:r>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1020" w:type="dxa"/>
            <w:vAlign w:val="bottom"/>
            <w:tcBorders>
              <w:top w:val="single" w:sz="8" w:color="auto"/>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w w:val="98"/>
              </w:rPr>
              <w:t>(Amendment)</w:t>
            </w:r>
          </w:p>
        </w:tc>
        <w:tc>
          <w:tcPr>
            <w:tcW w:w="3600" w:type="dxa"/>
            <w:vAlign w:val="bottom"/>
            <w:tcBorders>
              <w:top w:val="single" w:sz="8" w:color="auto"/>
            </w:tcBorders>
            <w:gridSpan w:val="8"/>
          </w:tcPr>
          <w:p>
            <w:pPr>
              <w:spacing w:after="0"/>
              <w:rPr>
                <w:sz w:val="14"/>
                <w:szCs w:val="14"/>
                <w:color w:val="auto"/>
              </w:rPr>
            </w:pPr>
          </w:p>
        </w:tc>
        <w:tc>
          <w:tcPr>
            <w:tcW w:w="56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538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Rule 13a-14(a) and</w:t>
            </w:r>
          </w:p>
        </w:tc>
      </w:tr>
      <w:tr>
        <w:trPr>
          <w:trHeight w:val="155"/>
        </w:trPr>
        <w:tc>
          <w:tcPr>
            <w:tcW w:w="1160" w:type="dxa"/>
            <w:vAlign w:val="bottom"/>
          </w:tcPr>
          <w:p>
            <w:pPr>
              <w:spacing w:after="0"/>
              <w:rPr>
                <w:sz w:val="13"/>
                <w:szCs w:val="13"/>
                <w:color w:val="auto"/>
              </w:rPr>
            </w:pPr>
          </w:p>
        </w:tc>
        <w:tc>
          <w:tcPr>
            <w:tcW w:w="5360" w:type="dxa"/>
            <w:vAlign w:val="bottom"/>
            <w:tcBorders>
              <w:top w:val="single" w:sz="8" w:color="auto"/>
              <w:bottom w:val="single" w:sz="8" w:color="auto"/>
            </w:tcBorders>
            <w:gridSpan w:val="19"/>
          </w:tcPr>
          <w:p>
            <w:pPr>
              <w:spacing w:after="0" w:line="156" w:lineRule="exact"/>
              <w:rPr>
                <w:sz w:val="20"/>
                <w:szCs w:val="20"/>
                <w:color w:val="auto"/>
              </w:rPr>
            </w:pPr>
            <w:r>
              <w:rPr>
                <w:rFonts w:ascii="Times New Roman" w:cs="Times New Roman" w:eastAsia="Times New Roman" w:hAnsi="Times New Roman"/>
                <w:sz w:val="18"/>
                <w:szCs w:val="18"/>
                <w:color w:val="auto"/>
                <w:w w:val="99"/>
              </w:rPr>
              <w:t>Rule 15d-14(a) of the Securities Exchange Act, as amended (Amendment)</w:t>
            </w:r>
          </w:p>
        </w:tc>
        <w:tc>
          <w:tcPr>
            <w:tcW w:w="20" w:type="dxa"/>
            <w:vAlign w:val="bottom"/>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gridSpan w:val="20"/>
          </w:tcPr>
          <w:p>
            <w:pPr>
              <w:spacing w:after="0"/>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Certification of Principal Executive Officer Pursuant to 18 U.S.C. Section</w:t>
              </w:r>
            </w:hyperlink>
          </w:p>
        </w:tc>
      </w:tr>
      <w:tr>
        <w:trPr>
          <w:trHeight w:val="155"/>
        </w:trPr>
        <w:tc>
          <w:tcPr>
            <w:tcW w:w="1160" w:type="dxa"/>
            <w:vAlign w:val="bottom"/>
          </w:tcPr>
          <w:p>
            <w:pPr>
              <w:spacing w:after="0"/>
              <w:rPr>
                <w:sz w:val="13"/>
                <w:szCs w:val="13"/>
                <w:color w:val="auto"/>
              </w:rPr>
            </w:pPr>
          </w:p>
        </w:tc>
        <w:tc>
          <w:tcPr>
            <w:tcW w:w="5340" w:type="dxa"/>
            <w:vAlign w:val="bottom"/>
            <w:tcBorders>
              <w:top w:val="single" w:sz="8" w:color="auto"/>
            </w:tcBorders>
            <w:gridSpan w:val="18"/>
          </w:tcPr>
          <w:p>
            <w:pPr>
              <w:spacing w:after="0" w:line="156" w:lineRule="exact"/>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1350, as Adopted Pursuant to Section 906 of the Sarbanes-Oxley Act of</w:t>
              </w:r>
            </w:hyperlink>
          </w:p>
        </w:tc>
        <w:tc>
          <w:tcPr>
            <w:tcW w:w="40" w:type="dxa"/>
            <w:vAlign w:val="bottom"/>
            <w:gridSpan w:val="2"/>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line="169" w:lineRule="exact"/>
              <w:rPr>
                <w:rFonts w:ascii="Times New Roman" w:cs="Times New Roman" w:eastAsia="Times New Roman" w:hAnsi="Times New Roman"/>
                <w:sz w:val="18"/>
                <w:szCs w:val="18"/>
                <w:color w:val="auto"/>
                <w:w w:val="94"/>
              </w:rPr>
            </w:pPr>
            <w:hyperlink r:id="rId75">
              <w:r>
                <w:rPr>
                  <w:rFonts w:ascii="Times New Roman" w:cs="Times New Roman" w:eastAsia="Times New Roman" w:hAnsi="Times New Roman"/>
                  <w:sz w:val="18"/>
                  <w:szCs w:val="18"/>
                  <w:color w:val="auto"/>
                  <w:w w:val="94"/>
                </w:rPr>
                <w:t>2002</w:t>
              </w:r>
            </w:hyperlink>
          </w:p>
        </w:tc>
        <w:tc>
          <w:tcPr>
            <w:tcW w:w="6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80" w:type="dxa"/>
            <w:vAlign w:val="bottom"/>
            <w:gridSpan w:val="20"/>
          </w:tcPr>
          <w:p>
            <w:pPr>
              <w:spacing w:after="0"/>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Certification of Principal Financial Officer Pursuant to 18 U.S.C. Section</w:t>
              </w:r>
            </w:hyperlink>
          </w:p>
        </w:tc>
      </w:tr>
      <w:tr>
        <w:trPr>
          <w:trHeight w:val="155"/>
        </w:trPr>
        <w:tc>
          <w:tcPr>
            <w:tcW w:w="1160" w:type="dxa"/>
            <w:vAlign w:val="bottom"/>
          </w:tcPr>
          <w:p>
            <w:pPr>
              <w:spacing w:after="0"/>
              <w:rPr>
                <w:sz w:val="13"/>
                <w:szCs w:val="13"/>
                <w:color w:val="auto"/>
              </w:rPr>
            </w:pPr>
          </w:p>
        </w:tc>
        <w:tc>
          <w:tcPr>
            <w:tcW w:w="5280" w:type="dxa"/>
            <w:vAlign w:val="bottom"/>
            <w:tcBorders>
              <w:top w:val="single" w:sz="8" w:color="auto"/>
            </w:tcBorders>
            <w:gridSpan w:val="17"/>
          </w:tcPr>
          <w:p>
            <w:pPr>
              <w:spacing w:after="0" w:line="156" w:lineRule="exact"/>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1350, as Adopted Pursuant to Section 906 of the Sarbanes-Oxley Act of</w:t>
              </w:r>
            </w:hyperlink>
          </w:p>
        </w:tc>
        <w:tc>
          <w:tcPr>
            <w:tcW w:w="100" w:type="dxa"/>
            <w:vAlign w:val="bottom"/>
            <w:gridSpan w:val="3"/>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line="169" w:lineRule="exact"/>
              <w:rPr>
                <w:rFonts w:ascii="Times New Roman" w:cs="Times New Roman" w:eastAsia="Times New Roman" w:hAnsi="Times New Roman"/>
                <w:sz w:val="18"/>
                <w:szCs w:val="18"/>
                <w:color w:val="auto"/>
                <w:w w:val="94"/>
              </w:rPr>
            </w:pPr>
            <w:hyperlink r:id="rId76">
              <w:r>
                <w:rPr>
                  <w:rFonts w:ascii="Times New Roman" w:cs="Times New Roman" w:eastAsia="Times New Roman" w:hAnsi="Times New Roman"/>
                  <w:sz w:val="18"/>
                  <w:szCs w:val="18"/>
                  <w:color w:val="auto"/>
                  <w:w w:val="94"/>
                </w:rPr>
                <w:t>2002</w:t>
              </w:r>
            </w:hyperlink>
          </w:p>
        </w:tc>
        <w:tc>
          <w:tcPr>
            <w:tcW w:w="6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44" w:lineRule="exact"/>
        <w:rPr>
          <w:sz w:val="20"/>
          <w:szCs w:val="20"/>
          <w:color w:val="auto"/>
        </w:rPr>
      </w:pPr>
    </w:p>
    <w:p>
      <w:pPr>
        <w:ind w:left="1160" w:hanging="1154"/>
        <w:spacing w:after="0"/>
        <w:tabs>
          <w:tab w:leader="none" w:pos="1160" w:val="left"/>
        </w:tabs>
        <w:numPr>
          <w:ilvl w:val="0"/>
          <w:numId w:val="25"/>
        </w:numPr>
        <w:rPr>
          <w:rFonts w:ascii="Times New Roman" w:cs="Times New Roman" w:eastAsia="Times New Roman" w:hAnsi="Times New Roman"/>
          <w:sz w:val="18"/>
          <w:szCs w:val="18"/>
          <w:u w:val="single" w:color="auto"/>
          <w:color w:val="auto"/>
        </w:rPr>
      </w:pPr>
      <w:hyperlink r:id="rId77">
        <w:r>
          <w:rPr>
            <w:rFonts w:ascii="Times New Roman" w:cs="Times New Roman" w:eastAsia="Times New Roman" w:hAnsi="Times New Roman"/>
            <w:sz w:val="18"/>
            <w:szCs w:val="18"/>
            <w:u w:val="single" w:color="auto"/>
            <w:color w:val="auto"/>
          </w:rPr>
          <w:t>Salarius Pharmaceuticals, Inc., Clawback Policy</w:t>
        </w:r>
      </w:hyperlink>
    </w:p>
    <w:p>
      <w:pPr>
        <w:spacing w:after="0" w:line="293" w:lineRule="exact"/>
        <w:rPr>
          <w:sz w:val="20"/>
          <w:szCs w:val="20"/>
          <w:color w:val="auto"/>
        </w:rPr>
      </w:pPr>
    </w:p>
    <w:p>
      <w:pPr>
        <w:spacing w:after="0"/>
        <w:tabs>
          <w:tab w:leader="none" w:pos="114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101.INS</w:t>
      </w:r>
      <w:r>
        <w:rPr>
          <w:sz w:val="20"/>
          <w:szCs w:val="20"/>
          <w:color w:val="auto"/>
        </w:rPr>
        <w:tab/>
      </w:r>
      <w:hyperlink r:id="rId78">
        <w:r>
          <w:rPr>
            <w:rFonts w:ascii="Times New Roman" w:cs="Times New Roman" w:eastAsia="Times New Roman" w:hAnsi="Times New Roman"/>
            <w:sz w:val="17"/>
            <w:szCs w:val="17"/>
            <w:color w:val="auto"/>
          </w:rPr>
          <w:t>XBRL Instance Document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05/16/2023</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05/16/2023</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S-1</w:t>
            </w:r>
          </w:p>
        </w:tc>
        <w:tc>
          <w:tcPr>
            <w:tcW w:w="1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333-235879 Exhibit</w:t>
            </w: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01/10/2020</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03/22/2024</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03/22/2024</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03/22/2024</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03/22/2024</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7"/>
          <w:szCs w:val="17"/>
          <w:color w:val="auto"/>
        </w:rPr>
        <w:t>03/22/2024</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001-36812 Exhibit</w:t>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32.1</w:t>
      </w:r>
    </w:p>
    <w:p>
      <w:pPr>
        <w:spacing w:after="0" w:line="45"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7"/>
          <w:szCs w:val="17"/>
          <w:color w:val="auto"/>
        </w:rPr>
        <w:t>03/22/2024</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001-36812 Exhibit</w:t>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32.2</w:t>
      </w:r>
    </w:p>
    <w:p>
      <w:pPr>
        <w:spacing w:after="0" w:line="45"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7"/>
          <w:szCs w:val="17"/>
          <w:color w:val="auto"/>
        </w:rPr>
        <w:t>03/22/2024</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001-36812 Exhibit 97</w:t>
      </w:r>
    </w:p>
    <w:p>
      <w:pPr>
        <w:spacing w:after="0" w:line="58"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7"/>
          <w:szCs w:val="17"/>
          <w:color w:val="auto"/>
        </w:rPr>
        <w:t>03/22/2024</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001-36812 Exhibit</w:t>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101.INS</w:t>
      </w:r>
    </w:p>
    <w:p>
      <w:pPr>
        <w:sectPr>
          <w:pgSz w:w="11900" w:h="16838" w:orient="portrait"/>
          <w:cols w:equalWidth="0" w:num="2">
            <w:col w:w="6520" w:space="340"/>
            <w:col w:w="3740"/>
          </w:cols>
          <w:pgMar w:left="340" w:top="1431" w:right="959" w:bottom="1440" w:gutter="0" w:footer="0" w:header="0"/>
        </w:sectPr>
      </w:pPr>
    </w:p>
    <w:bookmarkStart w:id="31" w:name="page32"/>
    <w:bookmarkEnd w:id="3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760" w:type="dxa"/>
            <w:vAlign w:val="bottom"/>
          </w:tcPr>
          <w:p>
            <w:pPr>
              <w:ind w:left="240"/>
              <w:spacing w:after="0"/>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XBRL Schema Document</w:t>
              </w:r>
            </w:hyperlink>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10-K</w:t>
            </w:r>
          </w:p>
        </w:tc>
        <w:tc>
          <w:tcPr>
            <w:tcW w:w="270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7"/>
              </w:rPr>
              <w:t>03/22/2024</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101.SCH</w:t>
            </w:r>
          </w:p>
        </w:tc>
        <w:tc>
          <w:tcPr>
            <w:tcW w:w="0" w:type="dxa"/>
            <w:vAlign w:val="bottom"/>
          </w:tcPr>
          <w:p>
            <w:pPr>
              <w:spacing w:after="0"/>
              <w:rPr>
                <w:sz w:val="1"/>
                <w:szCs w:val="1"/>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760" w:type="dxa"/>
            <w:vAlign w:val="bottom"/>
          </w:tcPr>
          <w:p>
            <w:pPr>
              <w:ind w:left="240"/>
              <w:spacing w:after="0"/>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XBRL Calculation Linkbase Document</w:t>
              </w:r>
            </w:hyperlink>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10-K</w:t>
            </w:r>
          </w:p>
        </w:tc>
        <w:tc>
          <w:tcPr>
            <w:tcW w:w="270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7"/>
              </w:rPr>
              <w:t>03/22/2024</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0" w:type="dxa"/>
            <w:vAlign w:val="bottom"/>
          </w:tcPr>
          <w:p>
            <w:pPr>
              <w:spacing w:after="0"/>
              <w:rPr>
                <w:sz w:val="1"/>
                <w:szCs w:val="1"/>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760" w:type="dxa"/>
            <w:vAlign w:val="bottom"/>
          </w:tcPr>
          <w:p>
            <w:pPr>
              <w:ind w:left="240"/>
              <w:spacing w:after="0"/>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XBRL Definition Linkbase Document</w:t>
              </w:r>
            </w:hyperlink>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10-K</w:t>
            </w:r>
          </w:p>
        </w:tc>
        <w:tc>
          <w:tcPr>
            <w:tcW w:w="270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7"/>
              </w:rPr>
              <w:t>03/22/2024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101.DEF</w:t>
            </w:r>
          </w:p>
        </w:tc>
        <w:tc>
          <w:tcPr>
            <w:tcW w:w="0" w:type="dxa"/>
            <w:vAlign w:val="bottom"/>
          </w:tcPr>
          <w:p>
            <w:pPr>
              <w:spacing w:after="0"/>
              <w:rPr>
                <w:sz w:val="1"/>
                <w:szCs w:val="1"/>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760" w:type="dxa"/>
            <w:vAlign w:val="bottom"/>
          </w:tcPr>
          <w:p>
            <w:pPr>
              <w:ind w:left="240"/>
              <w:spacing w:after="0"/>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XBRL Label Linkbase Document</w:t>
              </w:r>
            </w:hyperlink>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10-K</w:t>
            </w:r>
          </w:p>
        </w:tc>
        <w:tc>
          <w:tcPr>
            <w:tcW w:w="270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7"/>
              </w:rPr>
              <w:t>03/22/2024</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 LAB</w:t>
            </w:r>
          </w:p>
        </w:tc>
        <w:tc>
          <w:tcPr>
            <w:tcW w:w="0" w:type="dxa"/>
            <w:vAlign w:val="bottom"/>
          </w:tcPr>
          <w:p>
            <w:pPr>
              <w:spacing w:after="0"/>
              <w:rPr>
                <w:sz w:val="1"/>
                <w:szCs w:val="1"/>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760" w:type="dxa"/>
            <w:vAlign w:val="bottom"/>
          </w:tcPr>
          <w:p>
            <w:pPr>
              <w:ind w:left="240"/>
              <w:spacing w:after="0"/>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XBRL Presentation Linkbase Document</w:t>
              </w:r>
            </w:hyperlink>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10-K</w:t>
            </w:r>
          </w:p>
        </w:tc>
        <w:tc>
          <w:tcPr>
            <w:tcW w:w="270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7"/>
              </w:rPr>
              <w:t>03/22/2024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001-36812 Exhibit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101.PRE</w:t>
            </w: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104.1</w:t>
            </w:r>
          </w:p>
        </w:tc>
        <w:tc>
          <w:tcPr>
            <w:tcW w:w="576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2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27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001-36812 Exhibit    03/22/2024</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contained in Exhibit 101)</w:t>
            </w:r>
          </w:p>
        </w:tc>
        <w:tc>
          <w:tcPr>
            <w:tcW w:w="12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84"/>
        </w:trPr>
        <w:tc>
          <w:tcPr>
            <w:tcW w:w="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104.2</w:t>
            </w:r>
          </w:p>
        </w:tc>
        <w:tc>
          <w:tcPr>
            <w:tcW w:w="57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 this Amendment (formatted as Inline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XBRL)</w:t>
            </w:r>
          </w:p>
        </w:tc>
        <w:tc>
          <w:tcPr>
            <w:tcW w:w="1220" w:type="dxa"/>
            <w:vAlign w:val="bottom"/>
            <w:vMerge w:val="continue"/>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160" w:right="4220" w:hanging="1154"/>
        <w:spacing w:after="0" w:line="237"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and provided separately to the SEC pursuant to a request for confidential treatment.</w:t>
      </w:r>
    </w:p>
    <w:p>
      <w:pPr>
        <w:spacing w:after="0" w:line="10" w:lineRule="exact"/>
        <w:rPr>
          <w:sz w:val="20"/>
          <w:szCs w:val="20"/>
          <w:color w:val="auto"/>
        </w:rPr>
      </w:pPr>
    </w:p>
    <w:p>
      <w:pPr>
        <w:ind w:left="1160" w:hanging="1154"/>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1440" w:right="9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Amendment No. 1 to its Annual Report on Form 10-K/A to be signed on its behalf by the undersigned, thereunto duly authorized.</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SALARIUS PHARMACEUTICALS, INC.</w:t>
      </w:r>
    </w:p>
    <w:p>
      <w:pPr>
        <w:spacing w:after="0" w:line="38" w:lineRule="exact"/>
        <w:rPr>
          <w:sz w:val="20"/>
          <w:szCs w:val="20"/>
          <w:color w:val="auto"/>
        </w:rPr>
      </w:pPr>
    </w:p>
    <w:tbl>
      <w:tblPr>
        <w:tblLayout w:type="fixed"/>
        <w:tblInd w:w="6540" w:type="dxa"/>
        <w:tblCellMar>
          <w:top w:w="0" w:type="dxa"/>
          <w:left w:w="0" w:type="dxa"/>
          <w:bottom w:w="0" w:type="dxa"/>
          <w:right w:w="0" w:type="dxa"/>
        </w:tblCellMar>
      </w:tblP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Borders>
              <w:top w:val="single" w:sz="8" w:color="auto"/>
              <w:bottom w:val="single" w:sz="8" w:color="auto"/>
            </w:tcBorders>
          </w:tcPr>
          <w:p>
            <w:pPr>
              <w:spacing w:after="0"/>
              <w:rPr>
                <w:sz w:val="21"/>
                <w:szCs w:val="21"/>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 Arthur</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David J. Arthur</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President &amp; Chief Executive Officer</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Borders>
              <w:bottom w:val="single" w:sz="8" w:color="auto"/>
            </w:tcBorders>
          </w:tcPr>
          <w:p>
            <w:pPr>
              <w:spacing w:after="0"/>
              <w:rPr>
                <w:sz w:val="2"/>
                <w:szCs w:val="2"/>
                <w:color w:val="auto"/>
              </w:rPr>
            </w:pPr>
          </w:p>
        </w:tc>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April 22, 2024</w:t>
            </w:r>
          </w:p>
        </w:tc>
        <w:tc>
          <w:tcPr>
            <w:tcW w:w="0" w:type="dxa"/>
            <w:vAlign w:val="bottom"/>
          </w:tcPr>
          <w:p>
            <w:pPr>
              <w:spacing w:after="0"/>
              <w:rPr>
                <w:sz w:val="1"/>
                <w:szCs w:val="1"/>
                <w:color w:val="auto"/>
              </w:rPr>
            </w:pPr>
          </w:p>
        </w:tc>
      </w:tr>
      <w:tr>
        <w:trPr>
          <w:trHeight w:val="223"/>
        </w:trPr>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885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J. Arthur</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J. Rosenblum</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William K. McVicar</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Tess Burleson</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1">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Arnold Hanish</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2">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Lammers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3">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 Lieber</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Bruce McCreedy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 w:type="dxa"/>
            <w:vAlign w:val="bottom"/>
          </w:tcPr>
          <w:p>
            <w:pPr>
              <w:spacing w:after="0"/>
              <w:rPr>
                <w:sz w:val="21"/>
                <w:szCs w:val="21"/>
                <w:color w:val="auto"/>
              </w:rPr>
            </w:pPr>
          </w:p>
        </w:tc>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7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President &amp; Chief Executive Officer</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21"/>
                <w:szCs w:val="21"/>
                <w:color w:val="auto"/>
              </w:rPr>
            </w:pPr>
          </w:p>
        </w:tc>
      </w:tr>
      <w:tr>
        <w:trPr>
          <w:trHeight w:val="47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21"/>
                <w:szCs w:val="21"/>
                <w:color w:val="auto"/>
              </w:rPr>
            </w:pPr>
          </w:p>
        </w:tc>
      </w:tr>
      <w:tr>
        <w:trPr>
          <w:trHeight w:val="47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r>
        <w:trPr>
          <w:trHeight w:val="71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r>
        <w:trPr>
          <w:trHeight w:val="71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r>
        <w:trPr>
          <w:trHeight w:val="71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r>
        <w:trPr>
          <w:trHeight w:val="7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r>
        <w:trPr>
          <w:trHeight w:val="71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22, 2024</w:t>
            </w:r>
          </w:p>
        </w:tc>
      </w:tr>
    </w:tbl>
    <w:p>
      <w:pPr>
        <w:spacing w:after="0" w:line="415" w:lineRule="exact"/>
        <w:rPr>
          <w:sz w:val="20"/>
          <w:szCs w:val="20"/>
          <w:color w:val="auto"/>
        </w:rPr>
      </w:pPr>
    </w:p>
    <w:p>
      <w:pPr>
        <w:sectPr>
          <w:pgSz w:w="11900" w:h="16838" w:orient="portrait"/>
          <w:cols w:equalWidth="0" w:num="2">
            <w:col w:w="3060" w:space="720"/>
            <w:col w:w="7460"/>
          </w:cols>
          <w:pgMar w:left="320" w:top="1413" w:right="339" w:bottom="1440" w:gutter="0" w:footer="0" w:header="0"/>
          <w:type w:val="continuous"/>
        </w:sect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Arthur</w:t>
            </w:r>
          </w:p>
        </w:tc>
      </w:tr>
      <w:tr>
        <w:trPr>
          <w:trHeight w:val="225"/>
        </w:trPr>
        <w:tc>
          <w:tcPr>
            <w:tcW w:w="6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Arthur, attorney-in-fact</w:t>
            </w:r>
          </w:p>
        </w:tc>
      </w:tr>
      <w:tr>
        <w:trPr>
          <w:trHeight w:val="234"/>
        </w:trPr>
        <w:tc>
          <w:tcPr>
            <w:tcW w:w="66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413"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 xml:space="preserve">Exhibit </w:t>
      </w:r>
      <w:r>
        <w:rPr>
          <w:rFonts w:ascii="Times New Roman" w:cs="Times New Roman" w:eastAsia="Times New Roman" w:hAnsi="Times New Roman"/>
          <w:sz w:val="18"/>
          <w:szCs w:val="18"/>
          <w:b w:val="1"/>
          <w:bCs w:val="1"/>
          <w:color w:val="auto"/>
        </w:rPr>
        <w:t>31.3</w:t>
      </w:r>
    </w:p>
    <w:p>
      <w:pPr>
        <w:spacing w:after="0" w:line="200" w:lineRule="exact"/>
        <w:rPr>
          <w:sz w:val="20"/>
          <w:szCs w:val="20"/>
          <w:color w:val="auto"/>
        </w:rPr>
      </w:pPr>
    </w:p>
    <w:p>
      <w:pPr>
        <w:spacing w:after="0" w:line="35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Certification of Principal Executive Officer pursuant to Rule 13a-14(a) and Rule 15d-14(a) of the Securities Exchange Act of 1934, as amended.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Arthur, certify that:</w:t>
      </w:r>
    </w:p>
    <w:p>
      <w:pPr>
        <w:spacing w:after="0" w:line="202" w:lineRule="exact"/>
        <w:rPr>
          <w:sz w:val="20"/>
          <w:szCs w:val="20"/>
          <w:color w:val="auto"/>
        </w:rPr>
      </w:pPr>
    </w:p>
    <w:p>
      <w:pPr>
        <w:ind w:left="340"/>
        <w:spacing w:after="0"/>
        <w:tabs>
          <w:tab w:leader="none" w:pos="8540" w:val="left"/>
        </w:tabs>
        <w:rPr>
          <w:sz w:val="20"/>
          <w:szCs w:val="20"/>
          <w:color w:val="auto"/>
        </w:rPr>
      </w:pPr>
      <w:r>
        <w:rPr>
          <w:rFonts w:ascii="Times New Roman" w:cs="Times New Roman" w:eastAsia="Times New Roman" w:hAnsi="Times New Roman"/>
          <w:sz w:val="22"/>
          <w:szCs w:val="22"/>
          <w:color w:val="auto"/>
        </w:rPr>
        <w:t>1.  I have reviewed this Amendment No. 1 to the annual report on Form 10-K/A of Salarius</w:t>
      </w:r>
      <w:r>
        <w:rPr>
          <w:sz w:val="20"/>
          <w:szCs w:val="20"/>
          <w:color w:val="auto"/>
        </w:rPr>
        <w:tab/>
      </w:r>
      <w:r>
        <w:rPr>
          <w:rFonts w:ascii="Times New Roman" w:cs="Times New Roman" w:eastAsia="Times New Roman" w:hAnsi="Times New Roman"/>
          <w:sz w:val="21"/>
          <w:szCs w:val="21"/>
          <w:color w:val="auto"/>
        </w:rPr>
        <w:t>Pharmaceuticals, Inc.; and</w:t>
      </w:r>
    </w:p>
    <w:p>
      <w:pPr>
        <w:spacing w:after="0" w:line="14" w:lineRule="exact"/>
        <w:rPr>
          <w:sz w:val="20"/>
          <w:szCs w:val="20"/>
          <w:color w:val="auto"/>
        </w:rPr>
      </w:pPr>
    </w:p>
    <w:p>
      <w:pPr>
        <w:jc w:val="both"/>
        <w:ind w:left="660" w:right="340" w:hanging="328"/>
        <w:spacing w:after="0" w:line="235"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8" w:lineRule="exact"/>
        <w:rPr>
          <w:sz w:val="20"/>
          <w:szCs w:val="20"/>
          <w:color w:val="auto"/>
        </w:rPr>
      </w:pPr>
    </w:p>
    <w:p>
      <w:pPr>
        <w:ind w:left="540"/>
        <w:spacing w:after="0"/>
        <w:tabs>
          <w:tab w:leader="none" w:pos="6100" w:val="left"/>
          <w:tab w:leader="none" w:pos="6600" w:val="left"/>
        </w:tabs>
        <w:rPr>
          <w:sz w:val="20"/>
          <w:szCs w:val="20"/>
          <w:color w:val="auto"/>
        </w:rPr>
      </w:pPr>
      <w:r>
        <w:rPr>
          <w:rFonts w:ascii="Times New Roman" w:cs="Times New Roman" w:eastAsia="Times New Roman" w:hAnsi="Times New Roman"/>
          <w:sz w:val="18"/>
          <w:szCs w:val="18"/>
          <w:color w:val="auto"/>
        </w:rPr>
        <w:t>Dated: April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26035</wp:posOffset>
            </wp:positionV>
            <wp:extent cx="26142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David J. Arthur</w:t>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 Chief Executive Officer</w:t>
      </w:r>
    </w:p>
    <w:p>
      <w:pPr>
        <w:ind w:left="7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2"/>
          <w:szCs w:val="22"/>
          <w:b w:val="1"/>
          <w:bCs w:val="1"/>
          <w:color w:val="auto"/>
        </w:rPr>
        <w:t>Certification of Principal Financial Officer pursuant to Rule 13a-14(a) and Rule 15d-14(a) of the Securities Exchange Act of 1934, as amended.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Rosenblum, certify that:</w:t>
      </w: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10-K/A of Salarius Pharmaceuticals, Inc.; and</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sz w:val="20"/>
          <w:szCs w:val="20"/>
          <w:color w:val="auto"/>
        </w:rPr>
      </w:pPr>
    </w:p>
    <w:p>
      <w:pPr>
        <w:ind w:left="20"/>
        <w:spacing w:after="0"/>
        <w:tabs>
          <w:tab w:leader="none" w:pos="5140" w:val="left"/>
          <w:tab w:leader="none" w:pos="5740" w:val="left"/>
        </w:tabs>
        <w:rPr>
          <w:sz w:val="20"/>
          <w:szCs w:val="20"/>
          <w:color w:val="auto"/>
        </w:rPr>
      </w:pPr>
      <w:r>
        <w:rPr>
          <w:rFonts w:ascii="Times New Roman" w:cs="Times New Roman" w:eastAsia="Times New Roman" w:hAnsi="Times New Roman"/>
          <w:sz w:val="18"/>
          <w:szCs w:val="18"/>
          <w:color w:val="auto"/>
        </w:rPr>
        <w:t>Dated: April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Mark Rosenblum</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 Executive Vice President of Finance and</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3"/>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97"/>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2"/>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1" Type="http://schemas.openxmlformats.org/officeDocument/2006/relationships/image" Target="media/image29.png"/><Relationship Id="rId56" Type="http://schemas.openxmlformats.org/officeDocument/2006/relationships/image" Target="media/image30.png"/><Relationship Id="rId68" Type="http://schemas.openxmlformats.org/officeDocument/2006/relationships/image" Target="media/image31.png"/><Relationship Id="rId79" Type="http://schemas.openxmlformats.org/officeDocument/2006/relationships/image" Target="media/image32.png"/><Relationship Id="rId85" Type="http://schemas.openxmlformats.org/officeDocument/2006/relationships/image" Target="media/image33.png"/><Relationship Id="rId86" Type="http://schemas.openxmlformats.org/officeDocument/2006/relationships/image" Target="media/image34.png"/><Relationship Id="rId87" Type="http://schemas.openxmlformats.org/officeDocument/2006/relationships/image" Target="media/image35.png"/><Relationship Id="rId88" Type="http://schemas.openxmlformats.org/officeDocument/2006/relationships/image" Target="media/image36.png"/><Relationship Id="rId89" Type="http://schemas.openxmlformats.org/officeDocument/2006/relationships/image" Target="media/image37.png"/><Relationship Id="rId90" Type="http://schemas.openxmlformats.org/officeDocument/2006/relationships/image" Target="media/image38.png"/><Relationship Id="rId91" Type="http://schemas.openxmlformats.org/officeDocument/2006/relationships/image" Target="media/image39.png"/><Relationship Id="rId92" Type="http://schemas.openxmlformats.org/officeDocument/2006/relationships/image" Target="media/image40.png"/><Relationship Id="rId93" Type="http://schemas.openxmlformats.org/officeDocument/2006/relationships/image" Target="media/image41.png"/><Relationship Id="rId94" Type="http://schemas.openxmlformats.org/officeDocument/2006/relationships/image" Target="media/image42.png"/><Relationship Id="rId95" Type="http://schemas.openxmlformats.org/officeDocument/2006/relationships/image" Target="media/image43.png"/><Relationship Id="rId96" Type="http://schemas.openxmlformats.org/officeDocument/2006/relationships/image" Target="media/image44.png"/><Relationship Id="rId36" Type="http://schemas.openxmlformats.org/officeDocument/2006/relationships/hyperlink" Target="https://www.sec.gov/Archives/edgar/data/1615219/000110465915007801/a15-4061_1ex3d1.htm" TargetMode="External"/><Relationship Id="rId37" Type="http://schemas.openxmlformats.org/officeDocument/2006/relationships/hyperlink" Target="https://www.sec.gov/Archives/edgar/data/1615219/000119312519199074/d754556dex31.htm" TargetMode="External"/><Relationship Id="rId38" Type="http://schemas.openxmlformats.org/officeDocument/2006/relationships/hyperlink" Target="https://www.sec.gov/Archives/edgar/data/1615219/000161521922000135/exhibit31.htm" TargetMode="External"/><Relationship Id="rId39" Type="http://schemas.openxmlformats.org/officeDocument/2006/relationships/hyperlink" Target="https://www.sec.gov/Archives/edgar/data/1615219/000119312519199074/d754556dex32.htm" TargetMode="External"/><Relationship Id="rId40" Type="http://schemas.openxmlformats.org/officeDocument/2006/relationships/hyperlink" Target="https://www.sec.gov/Archives/edgar/data/1615219/000161521922000034/salarius-bylawsamendment33.htm" TargetMode="External"/><Relationship Id="rId42" Type="http://schemas.openxmlformats.org/officeDocument/2006/relationships/hyperlink" Target="https://www.sec.gov/Archives/edgar/data/1615219/000104746915000197/a2222689zs-1a.htm" TargetMode="External"/><Relationship Id="rId43" Type="http://schemas.openxmlformats.org/officeDocument/2006/relationships/hyperlink" Target="https://www.sec.gov/Archives/edgar/data/1615219/000119312520025727/d857822dex48.htm" TargetMode="External"/><Relationship Id="rId44" Type="http://schemas.openxmlformats.org/officeDocument/2006/relationships/hyperlink" Target="https://www.sec.gov/Archives/edgar/data/1615219/000119312520033412/d863520dex41.htm" TargetMode="External"/><Relationship Id="rId45" Type="http://schemas.openxmlformats.org/officeDocument/2006/relationships/hyperlink" Target="https://www.sec.gov/Archives/edgar/data/1615219/000161521920000129/slrxaformofinducementw.htm" TargetMode="External"/><Relationship Id="rId46" Type="http://schemas.openxmlformats.org/officeDocument/2006/relationships/hyperlink" Target="https://www.sec.gov/Archives/edgar/data/1615219/000161521921000070/salarius-formofwarranttopu.htm" TargetMode="External"/><Relationship Id="rId47" Type="http://schemas.openxmlformats.org/officeDocument/2006/relationships/hyperlink" Target="https://www.sec.gov/Archives/edgar/data/1615219/000161521923000042/exhibit411.htm" TargetMode="External"/><Relationship Id="rId48" Type="http://schemas.openxmlformats.org/officeDocument/2006/relationships/hyperlink" Target="https://www.sec.gov/Archives/edgar/data/1615219/000161521923000042/exhibit42.htm" TargetMode="External"/><Relationship Id="rId49" Type="http://schemas.openxmlformats.org/officeDocument/2006/relationships/hyperlink" Target="https://www.sec.gov/Archives/edgar/data/1615219/000161521923000042/exhibit43.htm" TargetMode="External"/><Relationship Id="rId50" Type="http://schemas.openxmlformats.org/officeDocument/2006/relationships/hyperlink" Target="https://www.sec.gov/Archives/edgar/data/1615219/000161521922000045/exhibit41.htm" TargetMode="External"/><Relationship Id="rId51" Type="http://schemas.openxmlformats.org/officeDocument/2006/relationships/hyperlink" Target="https://www.sec.gov/Archives/edgar/data/1615219/000161521921000026/slrx12312019descriptionofr.htm" TargetMode="External"/><Relationship Id="rId52" Type="http://schemas.openxmlformats.org/officeDocument/2006/relationships/hyperlink" Target="https://www.sec.gov/Archives/edgar/data/1615219/000119312519199074/d754556dex101.htm" TargetMode="External"/><Relationship Id="rId53" Type="http://schemas.openxmlformats.org/officeDocument/2006/relationships/hyperlink" Target="https://www.sec.gov/Archives/edgar/data/1615219/000161521924000017/exhibit104.htm" TargetMode="External"/><Relationship Id="rId54" Type="http://schemas.openxmlformats.org/officeDocument/2006/relationships/hyperlink" Target="https://www.sec.gov/Archives/edgar/data/1615219/000119312519038620/d675806dex101.htm" TargetMode="External"/><Relationship Id="rId55" Type="http://schemas.openxmlformats.org/officeDocument/2006/relationships/hyperlink" Target="https://www.sec.gov/Archives/edgar/data/1615219/000119312519038620/d675806dex103.htm" TargetMode="External"/><Relationship Id="rId57" Type="http://schemas.openxmlformats.org/officeDocument/2006/relationships/hyperlink" Target="https://www.sec.gov/Archives/edgar/data/1615219/000119312519038620/d675806dex105.htm" TargetMode="External"/><Relationship Id="rId58" Type="http://schemas.openxmlformats.org/officeDocument/2006/relationships/hyperlink" Target="https://www.sec.gov/Archives/edgar/data/1615219/000161521919000043/exhibit105salariusdavidj.htm" TargetMode="External"/><Relationship Id="rId59" Type="http://schemas.openxmlformats.org/officeDocument/2006/relationships/hyperlink" Target="https://www.sec.gov/Archives/edgar/data/1615219/000161521920000050/mrosenblum-executiveem.htm" TargetMode="External"/><Relationship Id="rId60" Type="http://schemas.openxmlformats.org/officeDocument/2006/relationships/hyperlink" Target="https://www.sec.gov/Archives/edgar/data/1615219/000161521924000017/exhibit105.htm" TargetMode="External"/><Relationship Id="rId61" Type="http://schemas.openxmlformats.org/officeDocument/2006/relationships/hyperlink" Target="https://www.sec.gov/Archives/edgar/data/1615219/000161521924000017/exhibit1012.htm" TargetMode="External"/><Relationship Id="rId62" Type="http://schemas.openxmlformats.org/officeDocument/2006/relationships/hyperlink" Target="https://www.sec.gov/Archives/edgar/data/1615219/000161521924000017/exhibit1022.htm" TargetMode="External"/><Relationship Id="rId63" Type="http://schemas.openxmlformats.org/officeDocument/2006/relationships/hyperlink" Target="https://www.sec.gov/Archives/edgar/data/1615219/000161521915000004/flks20141231ex-104.htm" TargetMode="External"/><Relationship Id="rId64" Type="http://schemas.openxmlformats.org/officeDocument/2006/relationships/hyperlink" Target="https://www.sec.gov/Archives/edgar/data/1615219/000161521924000017/exhibit103.htm" TargetMode="External"/><Relationship Id="rId65" Type="http://schemas.openxmlformats.org/officeDocument/2006/relationships/hyperlink" Target="https://www.sec.gov/Archives/edgar/data/1615219/000161521923000055/salariusespp-4129x2112x032.htm" TargetMode="External"/><Relationship Id="rId66" Type="http://schemas.openxmlformats.org/officeDocument/2006/relationships/hyperlink" Target="https://www.sec.gov/Archives/edgar/data/1615219/000161521921000013/salarius-ex11conformedsale.htm" TargetMode="External"/><Relationship Id="rId67" Type="http://schemas.openxmlformats.org/officeDocument/2006/relationships/hyperlink" Target="https://www.sec.gov/Archives/edgar/data/1615219/000161521922000045/exhibit101.htm" TargetMode="External"/><Relationship Id="rId69" Type="http://schemas.openxmlformats.org/officeDocument/2006/relationships/hyperlink" Target="https://www.sec.gov/Archives/edgar/data/1615219/000161521923000042/exhibit1011.htm" TargetMode="External"/><Relationship Id="rId70" Type="http://schemas.openxmlformats.org/officeDocument/2006/relationships/hyperlink" Target="https://www.sec.gov/Archives/edgar/data/1615219/000161521923000042/exhibit1021.htm" TargetMode="External"/><Relationship Id="rId71" Type="http://schemas.openxmlformats.org/officeDocument/2006/relationships/hyperlink" Target="https://www.sec.gov/Archives/edgar/data/1615219/000119312520005401/d857822dex211.htm" TargetMode="External"/><Relationship Id="rId72" Type="http://schemas.openxmlformats.org/officeDocument/2006/relationships/hyperlink" Target="https://www.sec.gov/Archives/edgar/data/1615219/000161521924000025/a2023eyconsent.htm" TargetMode="External"/><Relationship Id="rId73" Type="http://schemas.openxmlformats.org/officeDocument/2006/relationships/hyperlink" Target="https://www.sec.gov/ix?doc=/Archives/edgar/data/1615219/000161521924000025/flks-20231231.htm" TargetMode="External"/><Relationship Id="rId74" Type="http://schemas.openxmlformats.org/officeDocument/2006/relationships/hyperlink" Target="https://www.sec.gov/Archives/edgar/data/1615219/000161521924000025/slrx12312023-312expfocerti.htm" TargetMode="External"/><Relationship Id="rId75" Type="http://schemas.openxmlformats.org/officeDocument/2006/relationships/hyperlink" Target="https://www.sec.gov/Archives/edgar/data/1615219/000161521924000025/slrx12312023-321ex906peoce.htm" TargetMode="External"/><Relationship Id="rId76" Type="http://schemas.openxmlformats.org/officeDocument/2006/relationships/hyperlink" Target="https://www.sec.gov/Archives/edgar/data/1615219/000161521924000025/slrx12312023-322ex906pfoce.htm" TargetMode="External"/><Relationship Id="rId77" Type="http://schemas.openxmlformats.org/officeDocument/2006/relationships/hyperlink" Target="https://www.sec.gov/Archives/edgar/data/1615219/000161521924000025/slrx-compensationcommittee.htm" TargetMode="External"/><Relationship Id="rId78" Type="http://schemas.openxmlformats.org/officeDocument/2006/relationships/hyperlink" Target="https://www.sec.gov/Archives/edgar/data/1615219/000161521924000025/flks-20231231_htm.xml" TargetMode="External"/><Relationship Id="rId80" Type="http://schemas.openxmlformats.org/officeDocument/2006/relationships/hyperlink" Target="https://www.sec.gov/Archives/edgar/data/1615219/000161521924000025/flks-20231231.xsd" TargetMode="External"/><Relationship Id="rId81" Type="http://schemas.openxmlformats.org/officeDocument/2006/relationships/hyperlink" Target="https://www.sec.gov/Archives/edgar/data/1615219/000161521924000025/flks-20231231_cal.xml" TargetMode="External"/><Relationship Id="rId82" Type="http://schemas.openxmlformats.org/officeDocument/2006/relationships/hyperlink" Target="https://www.sec.gov/Archives/edgar/data/1615219/000161521924000025/flks-20231231_def.xml" TargetMode="External"/><Relationship Id="rId83" Type="http://schemas.openxmlformats.org/officeDocument/2006/relationships/hyperlink" Target="https://www.sec.gov/Archives/edgar/data/1615219/000161521924000025/flks-20231231_lab.xml" TargetMode="External"/><Relationship Id="rId84" Type="http://schemas.openxmlformats.org/officeDocument/2006/relationships/hyperlink" Target="https://www.sec.gov/Archives/edgar/data/1615219/000161521924000025/flks-20231231_pre.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2024-04-22T16:12:45Z</dcterms:created>
  <dcterms:modified xsi:type="dcterms:W3CDTF">2024-04-22T16:12:45Z</dcterms:modified>
</cp:coreProperties>
</file>