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ind w:left="3900" w:right="1060" w:hanging="3784"/>
        <w:spacing w:after="0" w:line="266" w:lineRule="auto"/>
        <w:tabs>
          <w:tab w:leader="none" w:pos="1405"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June 30, 2021</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1" w:lineRule="exact"/>
        <w:rPr>
          <w:sz w:val="24"/>
          <w:szCs w:val="24"/>
          <w:color w:val="auto"/>
        </w:rPr>
      </w:pPr>
    </w:p>
    <w:p>
      <w:pPr>
        <w:jc w:val="center"/>
        <w:ind w:left="4360" w:right="1060" w:hanging="4244"/>
        <w:spacing w:after="0" w:line="290" w:lineRule="auto"/>
        <w:tabs>
          <w:tab w:leader="none" w:pos="1402"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4" w:lineRule="exact"/>
        <w:rPr>
          <w:sz w:val="24"/>
          <w:szCs w:val="24"/>
          <w:color w:val="auto"/>
        </w:rPr>
      </w:pPr>
    </w:p>
    <w:tbl>
      <w:tblPr>
        <w:tblLayout w:type="fixed"/>
        <w:tblInd w:w="2600" w:type="dxa"/>
        <w:tblCellMar>
          <w:top w:w="0" w:type="dxa"/>
          <w:left w:w="0" w:type="dxa"/>
          <w:bottom w:w="0" w:type="dxa"/>
          <w:right w:w="0" w:type="dxa"/>
        </w:tblCellMar>
      </w:tblPr>
      <w:tr>
        <w:trPr>
          <w:trHeight w:val="190"/>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52"/>
        </w:trPr>
        <w:tc>
          <w:tcPr>
            <w:tcW w:w="3120" w:type="dxa"/>
            <w:vAlign w:val="bottom"/>
          </w:tcPr>
          <w:p>
            <w:pPr>
              <w:jc w:val="center"/>
              <w:ind w:right="1168"/>
              <w:spacing w:after="0" w:line="152"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line="152" w:lineRule="exact"/>
              <w:rPr>
                <w:sz w:val="20"/>
                <w:szCs w:val="20"/>
                <w:color w:val="auto"/>
              </w:rPr>
            </w:pPr>
            <w:r>
              <w:rPr>
                <w:rFonts w:ascii="Arial" w:cs="Arial" w:eastAsia="Arial" w:hAnsi="Arial"/>
                <w:sz w:val="14"/>
                <w:szCs w:val="14"/>
                <w:color w:val="auto"/>
              </w:rPr>
              <w:t>(I.R.S. Employer</w:t>
            </w:r>
          </w:p>
        </w:tc>
      </w:tr>
      <w:tr>
        <w:trPr>
          <w:trHeight w:val="172"/>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(832)834-6992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83"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-64770</wp:posOffset>
            </wp:positionV>
            <wp:extent cx="4166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20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$ 0.0001 par value</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SLRX</w:t>
            </w:r>
          </w:p>
        </w:tc>
        <w:tc>
          <w:tcPr>
            <w:tcW w:w="40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49"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0"/>
        <w:spacing w:after="0" w:line="161" w:lineRule="exact"/>
        <w:tabs>
          <w:tab w:leader="none" w:pos="1900" w:val="left"/>
          <w:tab w:leader="none" w:pos="2300" w:val="left"/>
          <w:tab w:leader="none" w:pos="3580" w:val="left"/>
          <w:tab w:leader="none" w:pos="4140" w:val="left"/>
          <w:tab w:leader="none" w:pos="5860" w:val="left"/>
          <w:tab w:leader="none" w:pos="6300" w:val="left"/>
          <w:tab w:leader="none" w:pos="828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77" w:lineRule="exact"/>
        <w:rPr>
          <w:sz w:val="24"/>
          <w:szCs w:val="24"/>
          <w:color w:val="auto"/>
        </w:rPr>
      </w:pPr>
    </w:p>
    <w:p>
      <w:pPr>
        <w:ind w:right="28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As of August 2, 2021, there were 44,778,794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4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480"/>
        </w:trPr>
        <w:tc>
          <w:tcPr>
            <w:tcW w:w="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PART I.</w:t>
              </w:r>
            </w:hyperlink>
          </w:p>
        </w:tc>
        <w:tc>
          <w:tcPr>
            <w:tcW w:w="740" w:type="dxa"/>
            <w:vAlign w:val="bottom"/>
            <w:gridSpan w:val="4"/>
          </w:tcPr>
          <w:p>
            <w:pPr>
              <w:spacing w:after="0"/>
              <w:rPr>
                <w:sz w:val="24"/>
                <w:szCs w:val="24"/>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Item 1.</w:t>
              </w:r>
            </w:hyperlink>
          </w:p>
        </w:tc>
        <w:tc>
          <w:tcPr>
            <w:tcW w:w="6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8"/>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Balance Sheets</w:t>
              </w:r>
            </w:hyperlink>
          </w:p>
        </w:tc>
        <w:tc>
          <w:tcPr>
            <w:tcW w:w="5380" w:type="dxa"/>
            <w:vAlign w:val="bottom"/>
            <w:gridSpan w:val="5"/>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Operations</w:t>
              </w:r>
            </w:hyperlink>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Condensed Consolidated Statements of Cash Flows</w:t>
              </w:r>
            </w:hyperlink>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w:t>
              </w:r>
            </w:hyperlink>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0"/>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Condensed Consolidated Financial Statements</w:t>
              </w:r>
            </w:hyperlink>
          </w:p>
        </w:tc>
        <w:tc>
          <w:tcPr>
            <w:tcW w:w="38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16">
              <w:r>
                <w:rPr>
                  <w:rFonts w:ascii="Arial" w:cs="Arial" w:eastAsia="Arial" w:hAnsi="Arial"/>
                  <w:sz w:val="18"/>
                  <w:szCs w:val="18"/>
                  <w:color w:val="0000FF"/>
                  <w:w w:val="98"/>
                </w:rPr>
                <w:t>Item 2.</w:t>
              </w:r>
            </w:hyperlink>
          </w:p>
        </w:tc>
        <w:tc>
          <w:tcPr>
            <w:tcW w:w="80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12"/>
          </w:tcPr>
          <w:p>
            <w:pPr>
              <w:spacing w:after="0"/>
              <w:rPr>
                <w:rFonts w:ascii="Arial" w:cs="Arial" w:eastAsia="Arial" w:hAnsi="Arial"/>
                <w:sz w:val="18"/>
                <w:szCs w:val="18"/>
                <w:color w:val="0000FF"/>
                <w:w w:val="99"/>
              </w:rPr>
            </w:pPr>
            <w:hyperlink w:anchor="page16">
              <w:r>
                <w:rPr>
                  <w:rFonts w:ascii="Arial" w:cs="Arial" w:eastAsia="Arial" w:hAnsi="Arial"/>
                  <w:sz w:val="18"/>
                  <w:szCs w:val="18"/>
                  <w:color w:val="0000FF"/>
                  <w:w w:val="99"/>
                </w:rPr>
                <w:t>Management’s Discussion and Analysis of Financial Condition and Results of Operations</w:t>
              </w:r>
            </w:hyperlink>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3.</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Quantitative and Qualitative Disclosures about Market Risk</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4.</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360" w:type="dxa"/>
            <w:vAlign w:val="bottom"/>
            <w:gridSpan w:val="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PART II.</w:t>
              </w:r>
            </w:hyperlink>
          </w:p>
        </w:tc>
        <w:tc>
          <w:tcPr>
            <w:tcW w:w="9120" w:type="dxa"/>
            <w:vAlign w:val="bottom"/>
            <w:gridSpan w:val="15"/>
          </w:tcPr>
          <w:p>
            <w:pPr>
              <w:ind w:left="200"/>
              <w:spacing w:after="0"/>
              <w:rPr>
                <w:rFonts w:ascii="Arial" w:cs="Arial" w:eastAsia="Arial" w:hAnsi="Arial"/>
                <w:sz w:val="18"/>
                <w:szCs w:val="18"/>
                <w:color w:val="0000FF"/>
              </w:rPr>
            </w:pPr>
            <w:hyperlink w:anchor="page23">
              <w:r>
                <w:rPr>
                  <w:rFonts w:ascii="Arial" w:cs="Arial" w:eastAsia="Arial" w:hAnsi="Arial"/>
                  <w:sz w:val="18"/>
                  <w:szCs w:val="18"/>
                  <w:color w:val="0000FF"/>
                </w:rPr>
                <w:t>Other Information</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3">
              <w:r>
                <w:rPr>
                  <w:rFonts w:ascii="Arial" w:cs="Arial" w:eastAsia="Arial" w:hAnsi="Arial"/>
                  <w:sz w:val="18"/>
                  <w:szCs w:val="18"/>
                  <w:color w:val="0000FF"/>
                  <w:w w:val="98"/>
                </w:rPr>
                <w:t>Item 1.</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rFonts w:ascii="Arial" w:cs="Arial" w:eastAsia="Arial" w:hAnsi="Arial"/>
                <w:sz w:val="18"/>
                <w:szCs w:val="18"/>
                <w:color w:val="0000FF"/>
                <w:w w:val="98"/>
              </w:rPr>
            </w:pPr>
            <w:hyperlink w:anchor="page23">
              <w:r>
                <w:rPr>
                  <w:rFonts w:ascii="Arial" w:cs="Arial" w:eastAsia="Arial" w:hAnsi="Arial"/>
                  <w:sz w:val="18"/>
                  <w:szCs w:val="18"/>
                  <w:color w:val="0000FF"/>
                  <w:w w:val="98"/>
                </w:rPr>
                <w:t>Item 1A.</w:t>
              </w:r>
            </w:hyperlink>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3">
              <w:r>
                <w:rPr>
                  <w:rFonts w:ascii="Arial" w:cs="Arial" w:eastAsia="Arial" w:hAnsi="Arial"/>
                  <w:sz w:val="18"/>
                  <w:szCs w:val="18"/>
                  <w:color w:val="0000FF"/>
                </w:rPr>
                <w:t>Risk Factors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5">
              <w:r>
                <w:rPr>
                  <w:rFonts w:ascii="Arial" w:cs="Arial" w:eastAsia="Arial" w:hAnsi="Arial"/>
                  <w:sz w:val="18"/>
                  <w:szCs w:val="18"/>
                  <w:color w:val="0000FF"/>
                  <w:w w:val="98"/>
                </w:rPr>
                <w:t>Item 6.</w:t>
              </w:r>
            </w:hyperlink>
          </w:p>
        </w:tc>
        <w:tc>
          <w:tcPr>
            <w:tcW w:w="12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5">
              <w:r>
                <w:rPr>
                  <w:rFonts w:ascii="Arial" w:cs="Arial" w:eastAsia="Arial" w:hAnsi="Arial"/>
                  <w:sz w:val="18"/>
                  <w:szCs w:val="18"/>
                  <w:color w:val="0000FF"/>
                </w:rPr>
                <w:t>Exhibits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The information in this Quarterly Report on Form 10-Q, including the information and exhibits incorporated herein by reference, include forward-looking statements within the meaning of Section 27A of the Securities Act of 1933, as amended, and Section 21E of the Securities Exchange Act of 1934, as amended (the “Exchange Act”). Statements other than statements of historical fact constitute forward-looking statements. These are statements that include, but are not limited to, statements about: future periods; the Company's strategy and ongoing development programs; the Company's clinical trials, including status, costs, goals, timing and other expectations related thereto; the Company’s belief as to the potential of its lead compound, SP-2577; the Company's strategic collaborations and license agreements, and intellectual property; the potential for seclidemstat to target the epigenetic dysregulation underlying Ewing sarcoma and advanced solid tumors including, but not limited to, prostate, breast, ovarian, melanoma, colorectal and other cancers; expected timing and results of clinical studies; the ability of seclidemstat to demonstrate drug activity the nature, strategy and focus of the Company; the development and commercial potential of any product candidates; the Company's ability and plan to regain and maintain compliance with Nasdaq's continued listing standards; the Company’s expectations as to revenue, cash flow, and expenses; the potential impact of the COVID-19 pandemic on the Company’s business, operations, cash flow and ability to obtain additional financing; the Company's liquidity position, the expected sufficiency of such position for anticipated operating and capital requirements; future capital requirements, and need for, and ability to secure, additional financing; the ability of the Company to access additional financing under the Grant Contract with Cancer Prevention and Research Institute of Texas; the Company's operating losses and ability to continue as a going concern ; and the Company's decision to engage in any new collaborations or selectively partnering its technology to improve the Company's ability to continue as a going concern. These forward-looking statements are based on current expectations and beliefs and involve numerous risks and uncertainties, including those discussed under “Part I — Item 1A — Risk Factors,” in our Annual Report on Form 10-K for the year ended December 31, 2020, and under Part II — Item 1A — Risk Factors in this Quarterly Report on Form 10-Q. These risks and uncertainties that could cause actual results to differ materially from expectations or those expressed in these forward-looking statements.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“target”, “potential,” “evaluate,” “proceeding”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6/30/2021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33,079,389</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11,118,614</w:t>
            </w: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Grants receivable from CPRIT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4,794,919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3,855,996</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432,502</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822,050</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38,306,810</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15,796,660</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15,260</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22,639</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216,786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247,113</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8,865,909</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8,865,909</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47,404,765</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24,932,321</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1,275,879</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1,853,756</w:t>
            </w: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214,677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383,138</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payable</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477,028</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Warrant liability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63,079</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59,211</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1,553,635</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2,773,133</w:t>
            </w:r>
          </w:p>
        </w:tc>
      </w:tr>
      <w:tr>
        <w:trPr>
          <w:trHeight w:val="196"/>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2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44,778,794 and</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23,810,541 shares issued at June 30, 2021 and December 31, 2020, and 44,778,794 and</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23,808,546 shares outstanding at June 30, 2021 and December 31, 2020, respectively</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70,201,872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41,585,761</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(24,355,219)</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(19,428,954)</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45,851,130</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22,159,188</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47,404,765</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24,932,321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30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571,387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1,243,310</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1,840,216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2,376,140</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2,096,302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1,443,322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3,836,957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3,086,693</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1,591,905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1,700,942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2,924,674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3,559,959</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3,688,207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3,144,264</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6,761,631</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6,646,652</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(3,116,820)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(1,900,954)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(4,921,415)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(4,270,512)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220,435</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179,027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179,027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(3,074,369)</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(1,784,258)</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(4,926,265)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(3,868,074)</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(3,074,369)</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(1,784,258)</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(4,926,265)</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(3,868,074)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number of common shares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100"/>
              <w:spacing w:after="0"/>
              <w:rPr>
                <w:sz w:val="20"/>
                <w:szCs w:val="20"/>
                <w:color w:val="auto"/>
              </w:rPr>
            </w:pPr>
            <w:r>
              <w:rPr>
                <w:rFonts w:ascii="Arial" w:cs="Arial" w:eastAsia="Arial" w:hAnsi="Arial"/>
                <w:sz w:val="18"/>
                <w:szCs w:val="18"/>
                <w:color w:val="auto"/>
              </w:rPr>
              <w:t>outstanding — basic and diluted</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44,756,201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13,951,283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37,654,521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11,743,062</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Six Months Ended</w:t>
      </w:r>
    </w:p>
    <w:p>
      <w:pPr>
        <w:ind w:left="920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(4,926,265)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(3,868,074)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impairment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282,835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71,314</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for services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(220,435)</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(938,923)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(1,834,439)</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617,709</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(577,877)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(741,018)</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298,369</w:t>
            </w: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(541,701)</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(5,897,570)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(6,184,809)</w:t>
            </w:r>
          </w:p>
        </w:tc>
      </w:tr>
      <w:tr>
        <w:trPr>
          <w:trHeight w:val="148"/>
        </w:trPr>
        <w:tc>
          <w:tcPr>
            <w:tcW w:w="7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26,850,022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9,592,325</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warrants exercised for cash</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578,714</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(502,332)</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27,858,345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9,668,707</w:t>
            </w:r>
          </w:p>
        </w:tc>
      </w:tr>
      <w:tr>
        <w:trPr>
          <w:trHeight w:val="108"/>
        </w:trPr>
        <w:tc>
          <w:tcPr>
            <w:tcW w:w="7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21,960,775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3,483,898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11,118,614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3,738,900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33,079,389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7,222,798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Accrued issuance costs for public offering</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125,159</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760" w:right="1940"/>
        <w:spacing w:after="0" w:line="278" w:lineRule="auto"/>
        <w:rPr>
          <w:sz w:val="20"/>
          <w:szCs w:val="20"/>
          <w:color w:val="auto"/>
        </w:rPr>
      </w:pPr>
      <w:r>
        <w:rPr>
          <w:rFonts w:ascii="Arial" w:cs="Arial" w:eastAsia="Arial" w:hAnsi="Arial"/>
          <w:sz w:val="18"/>
          <w:szCs w:val="18"/>
          <w:b w:val="1"/>
          <w:bCs w:val="1"/>
          <w:color w:val="auto"/>
        </w:rPr>
        <w:t>SALARIUS PHARMACEUTICALS, INC. CONDENSED CONSOLIDATED STATEMENTS OF STOCKHOLDERS' EQUITY (Unaudited)</w:t>
      </w:r>
    </w:p>
    <w:p>
      <w:pPr>
        <w:spacing w:after="0" w:line="200" w:lineRule="exact"/>
        <w:rPr>
          <w:sz w:val="20"/>
          <w:szCs w:val="20"/>
          <w:color w:val="auto"/>
        </w:rPr>
      </w:pP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860" w:type="dxa"/>
            <w:vAlign w:val="bottom"/>
            <w:gridSpan w:val="4"/>
            <w:vMerge w:val="restart"/>
          </w:tcPr>
          <w:p>
            <w:pPr>
              <w:jc w:val="right"/>
              <w:ind w:right="25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700" w:type="dxa"/>
            <w:vAlign w:val="bottom"/>
            <w:gridSpan w:val="3"/>
            <w:vMerge w:val="restart"/>
          </w:tcPr>
          <w:p>
            <w:pPr>
              <w:jc w:val="right"/>
              <w:ind w:right="170"/>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vMerge w:val="restart"/>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10"/>
        </w:trPr>
        <w:tc>
          <w:tcPr>
            <w:tcW w:w="2700" w:type="dxa"/>
            <w:vAlign w:val="bottom"/>
          </w:tcPr>
          <w:p>
            <w:pPr>
              <w:spacing w:after="0"/>
              <w:rPr>
                <w:sz w:val="9"/>
                <w:szCs w:val="9"/>
                <w:color w:val="auto"/>
              </w:rPr>
            </w:pPr>
          </w:p>
        </w:tc>
        <w:tc>
          <w:tcPr>
            <w:tcW w:w="186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7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4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9"/>
              </w:rPr>
              <w:t>Additional</w:t>
            </w:r>
          </w:p>
        </w:tc>
        <w:tc>
          <w:tcPr>
            <w:tcW w:w="138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Accumulated</w:t>
            </w:r>
          </w:p>
        </w:tc>
        <w:tc>
          <w:tcPr>
            <w:tcW w:w="12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9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8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7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Paid-In Capital</w:t>
            </w: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Deficit</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49"/>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4,511,174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7"/>
              </w:rPr>
              <w:t>$ 22,657,103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$(12,076,700)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10,580,854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ind w:left="20"/>
              <w:spacing w:after="0" w:line="203" w:lineRule="exact"/>
              <w:rPr>
                <w:sz w:val="20"/>
                <w:szCs w:val="20"/>
                <w:color w:val="auto"/>
              </w:rPr>
            </w:pPr>
            <w:r>
              <w:rPr>
                <w:rFonts w:ascii="Arial" w:cs="Arial" w:eastAsia="Arial" w:hAnsi="Arial"/>
                <w:sz w:val="18"/>
                <w:szCs w:val="18"/>
                <w:color w:val="auto"/>
              </w:rPr>
              <w:t>Issuance of equity securities, net</w:t>
            </w:r>
          </w:p>
        </w:tc>
        <w:tc>
          <w:tcPr>
            <w:tcW w:w="10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8,353,480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835</w:t>
            </w:r>
          </w:p>
        </w:tc>
        <w:tc>
          <w:tcPr>
            <w:tcW w:w="1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97"/>
              </w:rPr>
              <w:t>1,246,519</w:t>
            </w:r>
          </w:p>
        </w:tc>
        <w:tc>
          <w:tcPr>
            <w:tcW w:w="100" w:type="dxa"/>
            <w:vAlign w:val="bottom"/>
          </w:tcPr>
          <w:p>
            <w:pPr>
              <w:spacing w:after="0"/>
              <w:rPr>
                <w:sz w:val="17"/>
                <w:szCs w:val="17"/>
                <w:color w:val="auto"/>
              </w:rPr>
            </w:pPr>
          </w:p>
        </w:tc>
        <w:tc>
          <w:tcPr>
            <w:tcW w:w="7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125</w:t>
            </w:r>
          </w:p>
        </w:tc>
        <w:tc>
          <w:tcPr>
            <w:tcW w:w="80" w:type="dxa"/>
            <w:vAlign w:val="bottom"/>
          </w:tcPr>
          <w:p>
            <w:pPr>
              <w:spacing w:after="0"/>
              <w:rPr>
                <w:sz w:val="17"/>
                <w:szCs w:val="17"/>
                <w:color w:val="auto"/>
              </w:rPr>
            </w:pPr>
          </w:p>
        </w:tc>
        <w:tc>
          <w:tcPr>
            <w:tcW w:w="11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9,466,206</w:t>
            </w:r>
          </w:p>
        </w:tc>
        <w:tc>
          <w:tcPr>
            <w:tcW w:w="80" w:type="dxa"/>
            <w:vAlign w:val="bottom"/>
          </w:tcPr>
          <w:p>
            <w:pPr>
              <w:spacing w:after="0"/>
              <w:rPr>
                <w:sz w:val="17"/>
                <w:szCs w:val="17"/>
                <w:color w:val="auto"/>
              </w:rPr>
            </w:pPr>
          </w:p>
        </w:tc>
        <w:tc>
          <w:tcPr>
            <w:tcW w:w="13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9,467,166</w:t>
            </w: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 shares converted to</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777,825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Equity-based compensation</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38,409</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(2,083,816)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(2,083,816)</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13,645,677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468,694</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47</w:t>
            </w: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32,161,718</w:t>
            </w: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(14,160,516)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18,002,613</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exercised for cash, net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578,664</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578,714</w:t>
            </w:r>
          </w:p>
        </w:tc>
        <w:tc>
          <w:tcPr>
            <w:tcW w:w="0" w:type="dxa"/>
            <w:vAlign w:val="bottom"/>
          </w:tcPr>
          <w:p>
            <w:pPr>
              <w:spacing w:after="0"/>
              <w:rPr>
                <w:sz w:val="1"/>
                <w:szCs w:val="1"/>
                <w:color w:val="auto"/>
              </w:rPr>
            </w:pP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Preferred shares converted to</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tcPr>
          <w:p>
            <w:pPr>
              <w:ind w:left="20"/>
              <w:spacing w:after="0"/>
              <w:rPr>
                <w:sz w:val="20"/>
                <w:szCs w:val="20"/>
                <w:color w:val="auto"/>
              </w:rPr>
            </w:pPr>
            <w:r>
              <w:rPr>
                <w:rFonts w:ascii="Arial" w:cs="Arial" w:eastAsia="Arial" w:hAnsi="Arial"/>
                <w:sz w:val="18"/>
                <w:szCs w:val="18"/>
                <w:color w:val="auto"/>
              </w:rPr>
              <w:t>common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468,694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(468,694)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Equity-based compensation</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32,905</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32,905</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Equity-based services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18,564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24,998</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(1,784,258)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(1,784,258)</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040" w:type="dxa"/>
            <w:vAlign w:val="bottom"/>
          </w:tcPr>
          <w:p>
            <w:pPr>
              <w:jc w:val="right"/>
              <w:spacing w:after="0"/>
              <w:rPr>
                <w:sz w:val="20"/>
                <w:szCs w:val="20"/>
                <w:color w:val="auto"/>
              </w:rPr>
            </w:pPr>
            <w:r>
              <w:rPr>
                <w:rFonts w:ascii="Arial" w:cs="Arial" w:eastAsia="Arial" w:hAnsi="Arial"/>
                <w:sz w:val="18"/>
                <w:szCs w:val="18"/>
                <w:color w:val="auto"/>
              </w:rPr>
              <w:t>14,638,008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32,798,285</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(15,944,774)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16,854,974</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23,808,546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2,381</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41,585,761</w:t>
            </w:r>
          </w:p>
        </w:tc>
        <w:tc>
          <w:tcPr>
            <w:tcW w:w="80" w:type="dxa"/>
            <w:vAlign w:val="bottom"/>
          </w:tcPr>
          <w:p>
            <w:pPr>
              <w:spacing w:after="0"/>
              <w:rPr>
                <w:sz w:val="19"/>
                <w:szCs w:val="19"/>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b w:val="1"/>
                <w:bCs w:val="1"/>
                <w:color w:val="auto"/>
              </w:rPr>
              <w:t>(19,428,954)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22,159,188</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Issuance of equity securities, net 19,627,215</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26,848,058</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26,850,021</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Warrants exercised for cash, net</w:t>
            </w:r>
          </w:p>
        </w:tc>
        <w:tc>
          <w:tcPr>
            <w:tcW w:w="1040" w:type="dxa"/>
            <w:vAlign w:val="bottom"/>
          </w:tcPr>
          <w:p>
            <w:pPr>
              <w:jc w:val="right"/>
              <w:spacing w:after="0"/>
              <w:rPr>
                <w:sz w:val="20"/>
                <w:szCs w:val="20"/>
                <w:color w:val="auto"/>
              </w:rPr>
            </w:pPr>
            <w:r>
              <w:rPr>
                <w:rFonts w:ascii="Arial" w:cs="Arial" w:eastAsia="Arial" w:hAnsi="Arial"/>
                <w:sz w:val="18"/>
                <w:szCs w:val="18"/>
                <w:color w:val="auto"/>
              </w:rPr>
              <w:t>1,298,567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1,485,222</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1,485,351</w:t>
            </w: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Equity-based compensation</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135,379</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135,379</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(1,851,896)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(1,851,896)</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44,734,328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7"/>
              </w:rPr>
              <w:t>$ 70,054,420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$(21,280,850)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48,778,043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Equity-based compensation</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7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7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38,278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147,452</w:t>
            </w:r>
          </w:p>
        </w:tc>
        <w:tc>
          <w:tcPr>
            <w:tcW w:w="80" w:type="dxa"/>
            <w:vAlign w:val="bottom"/>
          </w:tcPr>
          <w:p>
            <w:pPr>
              <w:spacing w:after="0"/>
              <w:rPr>
                <w:sz w:val="18"/>
                <w:szCs w:val="18"/>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147,456</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services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(3,074,369)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(3,074,369)</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44,778,794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70,201,872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(24,355,219)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45,851,130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290" w:right="7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right="2680"/>
        <w:spacing w:after="0" w:line="278"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3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The field concerned with gene expression regulation is called ‘epigenetics’. As cancers are often diseases driven by gene dysregulation, epigenetics is an area of interest for cancer treatment. The Company's lead epigenetic based technology was licensed from the University of Utah Research Foundation in 2011. The Company is located in Houston, Texas.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Pandemic</w:t>
      </w:r>
    </w:p>
    <w:p>
      <w:pPr>
        <w:spacing w:after="0" w:line="2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outbreak of COVID-19 has spread worldwide and has had a major impact on the United States and global economies and may in the future affect the Company’s operations and those of third parties on which the Company relies. While the potential economic and operational impact brought by, and the duration of, the COVID-19 pandemic is difficult to assess or predict, the future impact of the COVID-19 pandemic on the global financial markets may reduce the Company’s ability to access capital, which could negatively impact the Company’s long-term liquidity. The ultimate impact of the COVID-19 pandemic continues to be highly uncertain and subject to change and the Company does not yet know the full extent of potential delays or impacts on its business. However, these effects could have a material impact on the Company’s liquidity, capital resources, operations, and business and those of the third parties on which we rely.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2020 included elsewhere in the Company's Annual Report on Form 10-K filed with the SEC on March 18, 2021. In the opinion of management, the unaudited interim financial statements reflect all the adjustments (consisting of normal recurring adjustments) necessary to state fairly the Company’s financial position as of June 30, 2021 and the results of operations for the three and six months ended June 30, 2021 and 2020. The interim results of operations are not necessarily indicative of the results that may occur for the full fiscal year. The December 31, 2020 balance sheet included herein was derived from the audited financial statements, but does not include all disclosures, including notes, required by GAAP for complete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maintains several bank accounts including an interest-bearing account for funds received from Cancer Prevention and Research Institution of Texas ("CPRIT") funded amount.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for the three and six months ended June 30, 2021 and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first step in the impairment process is to determine the fair value of the reporting unit and then compare it to the carrying value, including goodwill. If the fair value exceeds the carrying value, no further action is required and no impairment loss is recognized. Additional impairment assessments may be performed on an interim basis if the Company encounters events or changes in circumstances that would indicate that, more likely than not, the carrying value of goodwill has been impaired. There was no impairment of goodwill during the three and six months ended June 30, 2021 or June 30,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determines whether the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anti -dilutive shares, consisting of common shares underlying (i) common stock options, (ii) stock purchase warrants, (iii) unvested restricted stock, (iv) convertible preferred stock and (v) rights entitling holders to receive warrants to purchase the Company's common shares, which have been excluded from the computation of diluted loss per share, was 9,520,698 and 9,606,690 shares as of June 30, 2021 and 2020,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2021 and December 31, 2020,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The guidance eliminates certain exceptions for recognizing deferred taxes for investments, performing intra-period 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The adoption of ASU 2019-12 in the first quarter of 2021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GRANTS RECEIVABLE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Grants receivable represents qualifying costs incurred and there is reasonable assurance that conditions of the grant have been met but the corresponding funds have not been received as of the reporting date. Grants receivable balances are $4.8 million and $3.9 million as of June 30, 2021 and December 31, 2020, respectively.</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5"/>
        </w:trPr>
        <w:tc>
          <w:tcPr>
            <w:tcW w:w="934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 at June 30, 2021 and December 31, 2020 consisted of the following:</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6"/>
        </w:trPr>
        <w:tc>
          <w:tcPr>
            <w:tcW w:w="7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2020</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clinical trial expenses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173,645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117,306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684,268</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137,782</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432,502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822,050</w:t>
            </w:r>
          </w:p>
        </w:tc>
      </w:tr>
      <w:tr>
        <w:trPr>
          <w:trHeight w:val="20"/>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insurance is comprised of prepaid directors' and officers' insurance. In July 2020 and 2019, the Company financed their directors' and officers' insurance premium with a short term note, the principal amount of which was approximately $0.9 million bearing interest at a rate of 2.49% and 4.61%, respectively. The note payable balances, which were included within Current Liabilities on the Condensed Consolidated Balance Sheets, were $0 million and $0.5 million at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based on a fully diluted basis at the effective date of the agreement subject to certain adjustments specified in the agreement, such as granted revenue sharing</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rights on any resulting products or processes to commence on first commercial sale, and milestone payments based upon regulatory approval of any resulting product or process as well as on the second anniversary of first commercial sale.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of up to $18.7 million, further modified to $16.1 million, to fund the development of an LSD1 inhibitor. This is a 3-year grant award which originally expired on May 31, 2019. The grant now expires on November 30, 2021 with extensions available.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June 30, 2021, the Company has expended all allowable funds under the grant.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2021 and December 31, 2020, the Company had grants receivable of $4.8 million and $3.9 million, respectively, related to the CPRIT contract.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56"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warrants issued in connection with the Company's merger with Flex Pharma in 2019, which are measured at fair value on a recurring basis for the three and six months ended June 30, 2021:</w:t>
      </w:r>
    </w:p>
    <w:p>
      <w:pPr>
        <w:spacing w:after="0" w:line="198"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Balance at December 31,</w:t>
            </w:r>
          </w:p>
        </w:tc>
        <w:tc>
          <w:tcPr>
            <w:tcW w:w="160" w:type="dxa"/>
            <w:vAlign w:val="bottom"/>
          </w:tcPr>
          <w:p>
            <w:pPr>
              <w:spacing w:after="0"/>
              <w:rPr>
                <w:sz w:val="17"/>
                <w:szCs w:val="17"/>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Change in Fair Value</w:t>
            </w:r>
          </w:p>
        </w:tc>
        <w:tc>
          <w:tcPr>
            <w:tcW w:w="2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Balance at June 30, 2021</w:t>
            </w:r>
          </w:p>
        </w:tc>
        <w:tc>
          <w:tcPr>
            <w:tcW w:w="0" w:type="dxa"/>
            <w:vAlign w:val="bottom"/>
          </w:tcPr>
          <w:p>
            <w:pPr>
              <w:spacing w:after="0"/>
              <w:rPr>
                <w:sz w:val="1"/>
                <w:szCs w:val="1"/>
                <w:color w:val="auto"/>
              </w:rPr>
            </w:pPr>
          </w:p>
        </w:tc>
      </w:tr>
      <w:tr>
        <w:trPr>
          <w:trHeight w:val="229"/>
        </w:trPr>
        <w:tc>
          <w:tcPr>
            <w:tcW w:w="21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3,868</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63,079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Common Stock</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“February 2020 Offering”). The February 2020 Offering was comprised of 7,101,307 Class A units, priced at a public offering price of $1.15 per unit, with each unit consisting of one share of common stock and a five-year warrant to purchase one share of common stock at an exercise price of $1.15 per share, and 1,246,519 Class B units, priced at a public offering price of $1.15 per unit, with each unit consisting of one share of Series A convertible preferred stock and a five-year warrant to purchase one share of common stock with and exercise price of $1.15 per share. A total of 8,353,480 shares of common stock, 1,246,519 shares of Series A convertible preferred stock, and warrants to purchase up to 9,599,999 shares of common stock were issued in the offering, including the full exercise of the over-allotment option. The exercise price of the warrants are fixed and do not contain any variable pricing features or any price based anti-dilutive features.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discussed above, in connection with the February 2020 Offering, the Company issued five-year warrants to purchase one share of common stock at an exercise price of $1.15 per share (each a "warrant"). On December 11, 2020, the Company entered into warrant exercise inducement offer letters (“Inducement Letters”) with certain holders of 3,964,065 Warrants (collectively, the “Exercising Holders”) pursuant to which such holders agreed to exercise on December 11, 2020 for cash, their Warrants to purchase 3,964,065 shares of Common Stock in exchange for the Company’s agreement to (i) lower the exercise price of the Warrants held by the Exercising Holders to $0.90 and</w:t>
      </w:r>
    </w:p>
    <w:p>
      <w:pPr>
        <w:spacing w:after="0" w:line="2" w:lineRule="exact"/>
        <w:rPr>
          <w:sz w:val="20"/>
          <w:szCs w:val="20"/>
          <w:color w:val="auto"/>
        </w:rPr>
      </w:pPr>
    </w:p>
    <w:p>
      <w:pPr>
        <w:ind w:firstLine="8"/>
        <w:spacing w:after="0" w:line="261" w:lineRule="auto"/>
        <w:tabs>
          <w:tab w:leader="none" w:pos="271"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new warrants (the “Inducement Warrants”) to purchase up to 3,964,065 shares of Common Stock. Each Inducement Warrant is exercisable at a price per share of $1.182 and expires on June 11, 2026.</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 2020, the Company completed a public offering of 5,130,390 shares of its common stock at a price to the public of $1.20 per share. Total gross proceeds from the offering were approximately $6.2 million, prior to deducting underwriting discounts and commissions and offering expenses payable by Salarius.</w:t>
      </w: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5, 2021, the Company entered into an At the Market Offering Agreement with Ladenburg Thalmann &amp; Co. Inc. Under this agreement the Company is able to issue and sell, from time to time, shares of its common stock. On February 5, 2021 and July 2, 2021, the Company filed prospectus supplements with the SEC to register the offering and sale of Common Stock having an aggregate offering price of up to $6.3 million and $25.0 million, respectively. During the six months ended June 30, 2021, the Company issued 2,820,493 shares under the Sales Agreement for gross proceeds of $6.3 million.</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8, 2021, the Company completed a public offering of 16,806,722 shares of its common stock at a price to the public of $1.3685 per share. Total gross proceeds from the offering were approximately $23.0 million prior to deducting underwriting discounts and commissions and offering expenses payable by Salarius.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18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During the six months ended June 30, 2021, the Company issued 1,298,567 common shares as a result of warrant exercises, and received cash proceeds of approximately $1.5 million. As of June 30, 2021, 7,747,587 of warrants were still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Flex Pharma distributed one right per share of common stock to stockholders of record as of the close of business on July 18, 2019. Each right entitles such stockholders to receive a warrant to purchase the Company's common shares on January 20, 2020. These warrants were issued on July 1, 2021 and are exercisable in the aggregate, into 142,711 shares of the Company's common stock with a 5-year term from January 20, 2020, at an exercise price of $ 15.17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using a Black-Scholes valuation model. Using this method, unobservable inputs included the Company’s equity value, expected timing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possible outcomes, risk free interest rates and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volatility.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gridSpan w:val="2"/>
          </w:tcPr>
          <w:p>
            <w:pPr>
              <w:spacing w:after="0"/>
              <w:rPr>
                <w:sz w:val="20"/>
                <w:szCs w:val="20"/>
                <w:color w:val="auto"/>
              </w:rPr>
            </w:pPr>
            <w:r>
              <w:rPr>
                <w:rFonts w:ascii="Arial" w:cs="Arial" w:eastAsia="Arial" w:hAnsi="Arial"/>
                <w:sz w:val="18"/>
                <w:szCs w:val="18"/>
                <w:color w:val="auto"/>
              </w:rPr>
              <w:t>Variables used in the Black-Scholes model are as follows: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56"/>
        </w:trPr>
        <w:tc>
          <w:tcPr>
            <w:tcW w:w="14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June 30, 2021</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 2020</w:t>
            </w:r>
          </w:p>
        </w:tc>
      </w:tr>
      <w:tr>
        <w:trPr>
          <w:trHeight w:val="223"/>
        </w:trPr>
        <w:tc>
          <w:tcPr>
            <w:tcW w:w="1420" w:type="dxa"/>
            <w:vAlign w:val="bottom"/>
          </w:tcPr>
          <w:p>
            <w:pPr>
              <w:spacing w:after="0"/>
              <w:rPr>
                <w:sz w:val="19"/>
                <w:szCs w:val="19"/>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0.56%</w:t>
            </w:r>
          </w:p>
        </w:tc>
        <w:tc>
          <w:tcPr>
            <w:tcW w:w="16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0.27%</w:t>
            </w:r>
          </w:p>
        </w:tc>
      </w:tr>
      <w:tr>
        <w:trPr>
          <w:trHeight w:val="229"/>
        </w:trPr>
        <w:tc>
          <w:tcPr>
            <w:tcW w:w="1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life (years)</w:t>
            </w: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3.56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4.06 years</w:t>
            </w:r>
          </w:p>
        </w:tc>
      </w:tr>
      <w:tr>
        <w:trPr>
          <w:trHeight w:val="230"/>
        </w:trPr>
        <w:tc>
          <w:tcPr>
            <w:tcW w:w="14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130.87%</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130.56%</w:t>
            </w:r>
          </w:p>
        </w:tc>
      </w:tr>
      <w:tr>
        <w:trPr>
          <w:trHeight w:val="230"/>
        </w:trPr>
        <w:tc>
          <w:tcPr>
            <w:tcW w:w="1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dividend</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5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Wedbush Warrant</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$ 0.5 million of the $1.0 million success fee payable to Wedbush at the closing of the merger. The remaining $0.5 million success fee was paid in cash. These warrants have an exercise price of $18.90 and a 5-year term. As of June 30, 2021, all warrants issued to Wedbush were outstanding.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On July 19, 2019, the Company completed a merger with Flex Pharma and Flex Pharma had fully vested options to purchase 90,279 common shares outstanding as of the date of the merger and 34,385 of these options continue to be exercisable as of June 30, 2021.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June 30, 2021, there were 1,037,190 shares remaining available for the grant of stock awards under the 2015 Plan.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six-month periods ended June 30, 2021 and 2020, the Company awarded 68,500 and 182,000, respectively, stock options to its employees and directors, pursuant to the plan described above. Stock options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each of the six month periods ended June 30, 2021 and 2020 was $0.1 million, which has been estimated with the following assumptions on the grant date.</w:t>
      </w:r>
    </w:p>
    <w:p>
      <w:pPr>
        <w:spacing w:after="0" w:line="167" w:lineRule="exact"/>
        <w:rPr>
          <w:sz w:val="20"/>
          <w:szCs w:val="20"/>
          <w:color w:val="auto"/>
        </w:rPr>
      </w:pPr>
    </w:p>
    <w:tbl>
      <w:tblPr>
        <w:tblLayout w:type="fixed"/>
        <w:tblInd w:w="1660" w:type="dxa"/>
        <w:tblCellMar>
          <w:top w:w="0" w:type="dxa"/>
          <w:left w:w="0" w:type="dxa"/>
          <w:bottom w:w="0" w:type="dxa"/>
          <w:right w:w="0" w:type="dxa"/>
        </w:tblCellMar>
      </w:tblPr>
      <w:tr>
        <w:trPr>
          <w:trHeight w:val="229"/>
        </w:trPr>
        <w:tc>
          <w:tcPr>
            <w:tcW w:w="266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3/10/2021</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6/16/2021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3/23/2020</w:t>
            </w:r>
          </w:p>
        </w:tc>
        <w:tc>
          <w:tcPr>
            <w:tcW w:w="100" w:type="dxa"/>
            <w:vAlign w:val="bottom"/>
            <w:shd w:val="clear" w:color="auto" w:fill="CCEEFF"/>
          </w:tcPr>
          <w:p>
            <w:pPr>
              <w:spacing w:after="0"/>
              <w:rPr>
                <w:sz w:val="19"/>
                <w:szCs w:val="19"/>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1.00 %</w:t>
            </w:r>
          </w:p>
        </w:tc>
        <w:tc>
          <w:tcPr>
            <w:tcW w:w="150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0.48 %</w:t>
            </w:r>
          </w:p>
        </w:tc>
        <w:tc>
          <w:tcPr>
            <w:tcW w:w="100" w:type="dxa"/>
            <w:vAlign w:val="bottom"/>
          </w:tcPr>
          <w:p>
            <w:pPr>
              <w:spacing w:after="0"/>
              <w:rPr>
                <w:sz w:val="19"/>
                <w:szCs w:val="19"/>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133.35 %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113.17 %</w:t>
            </w:r>
          </w:p>
        </w:tc>
        <w:tc>
          <w:tcPr>
            <w:tcW w:w="100" w:type="dxa"/>
            <w:vAlign w:val="bottom"/>
            <w:shd w:val="clear" w:color="auto" w:fill="CCEEFF"/>
          </w:tcPr>
          <w:p>
            <w:pPr>
              <w:spacing w:after="0"/>
              <w:rPr>
                <w:sz w:val="19"/>
                <w:szCs w:val="19"/>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six months ended June 30, 2021 and 2020: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Remaining</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4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Exercise Price</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 (in years)</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166,233</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$34.42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6.53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rPr>
              <w:t>182,000</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0.61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(26,000)</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1420" w:type="dxa"/>
            <w:vAlign w:val="bottom"/>
          </w:tcPr>
          <w:p>
            <w:pPr>
              <w:jc w:val="center"/>
              <w:spacing w:after="0"/>
              <w:rPr>
                <w:sz w:val="20"/>
                <w:szCs w:val="20"/>
                <w:color w:val="auto"/>
              </w:rPr>
            </w:pPr>
            <w:r>
              <w:rPr>
                <w:rFonts w:ascii="Arial" w:cs="Arial" w:eastAsia="Arial" w:hAnsi="Arial"/>
                <w:sz w:val="18"/>
                <w:szCs w:val="18"/>
                <w:color w:val="auto"/>
              </w:rPr>
              <w:t>322,233</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$17.59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7.85</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 2020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84,711</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$59.61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1,563,972</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9.47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$175,770</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68,500</w:t>
            </w:r>
          </w:p>
        </w:tc>
        <w:tc>
          <w:tcPr>
            <w:tcW w:w="15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$1.13-$1.49</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(45,000)</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June 30,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1,587,472</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8.99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$307,100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156,519</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$17.64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2021 and 2020, there was approximately $1.1 million and $0.4 million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2.7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6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On July 12, 2021, the Small Business Administration (SBA) has authorized full Forgiveness of $0.2 million for the Company's Paycheck Protection Program (PPP) Loan. The Company had previously recognized this as government grants and other income during the six months ended June 30, 2020.</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2020, filed with the SEC on March 18, 2021.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2020,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clinical-stage biopharmaceutical company focused on developing effective treatments for cancers with high, unmet medical need. Specifically, we are developing treatments for cancers caused by dysregulated gene expression, i.e., genes that are incorrectly turned on or off. The field concerned with gene expression regulation is called ‘epigenetics’. As cancers are often diseases driven by gene dysregulation, epigenetics is an area of interest for cancer treatment. Our lead epigenetic based technology, seclidemstat ("SP-2577"), may treat cancers by restoring correct gene expression.</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2011, Salarius licensed SP-2577 and related compounds from the University of Utah Research Foundation. SP-2577 is a small molecule that inhibits the epigenetic enzyme lysine specific demethylase 1 (“LSD1”). LSD1’s enzymatic activity can cause genes to turn on or off and thereby affect the cell’s gene expression and overall activity. In addition, LSD1 can act via its scaffolding properties (protein-protein interactions), independently of its enzymatic function, to alter gene expression and modulate cell fate. In healthy cells, LSD1 is necessary for stem cell maintenance and normal cell development processes. However, in several cancers LSD1 is highly expressed and acts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 To effectively develop SP-2577, we are pursuing a speed-to-market and market expansion strategy.</w:t>
      </w:r>
    </w:p>
    <w:p>
      <w:pPr>
        <w:spacing w:after="0" w:line="2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part of our speed-to-market strategy, we are initially focused on developing SP-2577 for the treatment of sarcomas with high unmet needs. We are investigating SP-2577 for the treatment of several advanced sarcoma subtypes, including Ewing sarcoma, myxoid liposarcoma, and other sarcomas that share similar biology, i.e. FET-rearranged sarcomas. The described sarcomas are all driven by a chromosomal translocation involving a FET-gene family member (EWS, FUS, or TAF15). The translocation results in an FET-rearranged fusion oncoprotein. SP-2577’s target, LSD1, has been shown to associate with FET-rearranged fusion oncoproteins to help promote tumor growth.</w:t>
      </w:r>
    </w:p>
    <w:p>
      <w:pPr>
        <w:spacing w:after="0" w:line="21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believe SP-2577 disrupts LSD1 from associating with FET-rearranged fusion oncoprotein and therefore leads to inhibition of the fusion oncoprotein’s cancer promoting activity. As a result, SP-2577 has the potential to treat FET-rearranged sarcomas by reversing cancer promoting gene expression and thereby possibly preventing tumor growth and causing cancer cell death. Preclinical studies of SP-2577 in several FET-rearranged sarcoma cell lines including Ewing sarcoma, myxoid liposarcoma, clear cell sarcoma, and desmoplastic small round cell tumors demonstrated that SP-2577 was effective in inhibiting cell proliferation and viability. Additionally, in certain Ewing sarcoma animal models, SP-2577 showed a significant tumor reduction as well as a significant survival benefit compared to untreated animals. Our ongoing Phase 1/2 clinical trial was designed as a single agent dose escalation followed by a dose expansion study in Ewing sarcoma. However, given the described preclinical data in other FET-rearranged sarcomas and clinical data in FET-rearranged sarcoma patients from our Advanced Solid Tumor (AST) trial, we expanded the trial to study SP-2577 in non-Ewing FET-rearranged sarcomas. The amended ongoing dose expansion portion of the trial is studying SP-2577 in combination with a common chemotherapeutic regimen, topotecan and cyclophosphamide ("TC") in Ewing sarcoma patients and single agent SP-2577 in myxoid liposarcoma and other FET-rearranged sarcoma patients. The dose expansion portion can enroll up to 30 relapsed or refractory Ewing sarcoma patients and up to 30 relapsed or refractory FET-rearranged patients (of which up to 15 will be myxoid liposarcoma). In Ewing sarcoma patients, the trial will assess the safety and tolerability of SP-2577 and TC and study preliminary efficacy of the regimen. In myxoid liposarcoma and other FET-rearranged sarcoma patients, the trial is studying single-agent SP-2577 safety, tolerability, and preliminary efficacy.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LSD1 can interact with over 60 regulatory proteins other than FET-fusion oncoproteins, we believe that LSD1 may also play a critical role in progression of various other cancer types. Preliminary efficacy data from our Phase 1/2 AST trial supports this notion and work is ongoing to identify large market solid tumor indications with the highest potential for SP-2577 success. Continued progress in this area will support the market expansion portion of our strategy.</w:t>
      </w: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addition to solid tumors, SP-2577 has shown promising preclinical activity in hematologic cancers. We recently announced the initiation of an Investigator Initiated Trial studying SP-2577 in combination with azacitidine for the treatment of patients with myelodysplastic syndromes (MDS) or chronic myelomonocytic leukemia (CMML). MDS and CMML can both progress into Acute Myeloid Leukemia (AML) and data from our ongoing trial will inform development of SP-2577 in hematologic cancers (also referred to as “liquid tumors" or "blood cancers”), including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AML. The American Cancer Society estimates there were almost 20,000 new cases of AML in the US alone in 2020.</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works have sparked interest in combining LSD1 inhibitors with checkpoint inhibitors. We are conducting preclinical work with SP-2577 in this area.</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$24.4 million as of June 30, 2021. Substantially all of our operating losses resulted from expenses incurred in connection with our research and development programs and from general and administrative costs associated with our operations.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June 30, 2021, the Cancer Prevention and Research Institution of Texas ("CPRIT") fund matching requirements had been fully met and we have expended all allowable funds under the grant. Our June 30, 2021 balance sheet reflects a receivable due from CPRIT of approximately $4.8 million.</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our current operating plan, we believe that our $33.1 million in cash and cash equivalents on hand as of June 30, 2021, and the collection of the CPRIT receivable are sufficient to fund our anticipated operating and capital requirements through the completion of our current clinical trials in 2022 and beyond, however, we will continue to require substantial additional capital to continue our clinical development activities. Accordingly, we will need to raise substantial additional capital to continue to fund our operations as a whole. The amount and timing of our future funding requirements will depend on many factors, including the pace and results of our development, regulatory and commercialization efforts. Failure to raise capital as and when needed, on favorable terms or at all, would have a negative impact on our financial condition and our ability to develop and commercialize our product candidates and to fund our operations.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or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July 2, 2021, the Company filed a prospectus supplement with the SEC to register the offering and sale of our common stock pursuant to the terms of that certain At the Market Offering Agreement (the “Sales Agreement”) between the Company and Ladenburg Thalmann &amp; Co. Inc. (“Ladenburg”), dated as of on February 5, 2021, having an aggregate offering price of up to $25.0 million (the “Additional Shares”). We had previously filed a prospectus supplement with the SEC registering the offering and sale of our common stock under the Sales Agreement having an aggregate offering price of up to $6.3 million (together with the Additional Shares, the “ATM Shares”). Under the Sales Agreement the Company is able to issue and sell, from time to time, shares of its common stock with Ladenburg acting as an agent for such sales. Sales of the ATM Shares may be made by any method permitted by law deemed to be an “at the market offering” as defined in Rule 415(a)(4) of the Securities Act of 1933, as amended, including, without limitation, sales made directly on or through the NASDAQ Capital Market. During the six months ended June 30, 2021, we issued 2,820,493 shares under the Sales Agreement for net proceeds of $6.0 million.</w:t>
      </w:r>
    </w:p>
    <w:p>
      <w:pPr>
        <w:spacing w:after="0" w:line="3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June 15, 2021, we announced the initiation of a clinical trial to investigate seclidemstat in combination with azacitidine for the treatment of Myelodysplastic Syndromes (MDS) and Chronic Myelomonocytic Leukemia (CMML). The investigator-initiated Phase 1/2 trial is being led by the Department of Leukemia at The University of Texas MD Anderson Cancer Center. We expect preliminary data from the trial by mid - 2022.</w:t>
      </w:r>
    </w:p>
    <w:p>
      <w:pPr>
        <w:spacing w:after="0" w:line="19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June 2021, we completed the dose-escalation stage of our Advanced Solid Tumor trial. The trial provided safety and pharmacokinetic data across several advanced tumor types. In addition, encouraging preliminary seclidemstat efficacy data in treated FET-rearranged sarcoma patients supported the expansion of the Phase 2 portion of our Ewing sarcoma trial to enroll additional select sarcoma patients, including myxoid liposarcoma patient and patients with other FET-rearranged sarcomas, thereby increasing seclidemstat’s addressable patient population. Upon completing dose escalation, the AST trial was closed to enrollment and work is ongoing to identify large market solid tumor indications with the highest potential for SP-2577 success.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Effective June 17, 2021, we terminated that certain Exclusive Pharmaceutical Sublicense Agreement between the Company and HLB Life Sciences (“HLBLS”), a South Korean company, dated November 25, 2016 (the “HLBLS Agreement”). Pursuant to the original terms of the HLBLS Agreement, HLBLS had sublicensed the patent and technology rights related to SP-2577 mesylate salt in South Korea, and for the right to develop, produce, manufacture, use and sell the drug in South Korea. As of the termination date, HLB no longer has rights to develop, produce, manufacture, use and sell our product.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Coronavirus (COVID-19)</w:t>
      </w:r>
    </w:p>
    <w:p>
      <w:pPr>
        <w:spacing w:after="0" w:line="2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At this time we are experiencing minimal disruption to our clinical trials. However, our ongoing Phase 1/2 Ewing sarcoma clinical trial and Phase 1/2 AST clinical trial may encounter delays in enrolling new patients due to concerns or healthcare resource constraints because of the COVID-19 pandemic. 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we have worked to adapt to the unexpected and challenging circumstances resulting from the COVID-19 pandemic. However, we may experience disruptions in the future that have and could further adversely impact our business operations as well as our preclinical studies and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the Three Months Ended June 30, 2020</w:t>
      </w:r>
    </w:p>
    <w:p>
      <w:pPr>
        <w:spacing w:after="0" w:line="16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June 30, 2021 compared to the three months ended June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Effect on Net Loss</w:t>
            </w:r>
            <w:r>
              <w:rPr>
                <w:rFonts w:ascii="Arial" w:cs="Arial" w:eastAsia="Arial" w:hAnsi="Arial"/>
                <w:sz w:val="12"/>
                <w:szCs w:val="12"/>
                <w:b w:val="1"/>
                <w:bCs w:val="1"/>
                <w:color w:val="auto"/>
              </w:rPr>
              <w:t>(a)</w:t>
            </w:r>
          </w:p>
        </w:tc>
      </w:tr>
      <w:tr>
        <w:trPr>
          <w:trHeight w:val="270"/>
        </w:trPr>
        <w:tc>
          <w:tcPr>
            <w:tcW w:w="37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69"/>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571,387</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1,243,310</w:t>
            </w:r>
          </w:p>
        </w:tc>
        <w:tc>
          <w:tcPr>
            <w:tcW w:w="1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(671,923)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(2,096,302)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(1,443,322)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(652,980)</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(1,591,905)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(1,700,942)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109,037</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42,186</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(62,635)</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104,821</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179,027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(179,027)</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(3,074,369)</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(1,784,258)</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(1,290,111)</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Note a - Positive numbers reduce net loss, negative numbers increase 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revenue, which was derived solely from the CPRIT grant, decreased in the current period resulting from the completion of CPRIT available funding under the grant. Partial expenses incurred during the three months ended June 30, 2021 were not recognized as revenue and grants receivable since we reached the maximum amount of the eligible spending that can be reimbursed from CPRIT.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expenses increased during the current period compared to the same period in 2020 resulting from significantly higher personnel and, clinical trial costs related to the increase in patient enrollment and higher laboratory costs resulting from increased non clinical efforts which more than offset lower professional fee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decreased slightly during the current period compared to the same period a year ago resulting from lower legal and overall personnel cost (severance costs in 2020 that did not repeat in the current period) and more than offset an increase in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six months ended June 30, 2021 compared to the six months ended June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38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Effect on Net Loss</w:t>
            </w:r>
            <w:r>
              <w:rPr>
                <w:rFonts w:ascii="Arial" w:cs="Arial" w:eastAsia="Arial" w:hAnsi="Arial"/>
                <w:sz w:val="12"/>
                <w:szCs w:val="12"/>
                <w:b w:val="1"/>
                <w:bCs w:val="1"/>
                <w:color w:val="auto"/>
              </w:rPr>
              <w:t>(a)</w:t>
            </w:r>
          </w:p>
        </w:tc>
      </w:tr>
      <w:tr>
        <w:trPr>
          <w:trHeight w:val="270"/>
        </w:trPr>
        <w:tc>
          <w:tcPr>
            <w:tcW w:w="37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69"/>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1,840,216</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2,376,140</w:t>
            </w:r>
          </w:p>
        </w:tc>
        <w:tc>
          <w:tcPr>
            <w:tcW w:w="1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(535,924)</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(3,836,957)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(3,086,693)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(750,264)</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(2,924,674)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(3,559,959)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635,285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(3,868)</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220,435</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(224,303)</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179,027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(179,027)</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(4,926,265)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(3,868,074)</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(1,058,191)</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Note a - Positive numbers reduce net loss, negative numbers increase 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revenue, which was derived solely from the CPRIT grant, decreased in the current period resulting from the completion of CPRIT available funding under the grant. Partial expenses incurred during the six months ended June 30, 2021 were not recognized as revenue and grants receivable since we reached the maximum amount of the eligible spending that can be reimbursed from CPRIT.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Research and development expenses increased during the current period compared to the same period in 2020 resulting from significantly higher personnel related expenses, higher clinical trial costs related to the increase in patient enrollment, and higher laboratory costs resulting from increased non clinical efforts which more than offset lower professional fee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General and administrative expenses decreased significantly during the current period compared to the same period a year ago resulting from lower legal and personnel related costs (severance costs incurred in 2020 that did not recur in the current year) and lower travel costs which more than offset a slight increase in insurance related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secured capital from the sale of equity and grant revenue.</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expect to generate any revenue from product sales unless and until we obtain regulatory approval for and commercializes any of our product candidates. At the same time, we expect our expenses to increase in connection with our ongoing research and development and manufacturing activities.</w:t>
      </w:r>
    </w:p>
    <w:p>
      <w:pPr>
        <w:spacing w:after="0" w:line="3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w:t>
      </w:r>
    </w:p>
    <w:p>
      <w:pPr>
        <w:spacing w:after="0" w:line="23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believe that, based on our current operating plan, our current unrestricted cash and cash and cash equivalent balances will be sufficient to fund our operations through the completion of our current clinical trials in 2022 and beyond.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2021, we had $36.8 million of working capital and our cash and cash equivalents totaled $33.1 million, which were held in bank deposit accounts and a money market account. Our cash and cash equivalents balance increased during the six months ended June 30, 2021, primarily due to sales of our common stock in our public offering which closed on March 8,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4"/>
          </w:tcPr>
          <w:p>
            <w:pPr>
              <w:jc w:val="right"/>
              <w:ind w:right="11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2020</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(5,897,570)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9"/>
              </w:rPr>
              <w:t>(6,184,809)</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27,858,345</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9"/>
              </w:rPr>
              <w:t>9,668,707</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21,960,775</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9"/>
              </w:rPr>
              <w:t>3,483,898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operating activities was $5.9 million in the current period, a decrease of approximately $0.29 million from the same period a year ago.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provided by financing activities for the six months ended June 30, 2021 was $27.9 million, compared to $ 9.7 million for the same period of the year 2020. The increase resulted from the Company's completion of common stock sales in February and a public offering in March 2021 with total net proceeds of approximately $27.0 million, and the receipt of approximately $1.5 million from the exercise of warrants during the six months ended June 30,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18, 2021.</w:t>
      </w:r>
    </w:p>
    <w:p>
      <w:pPr>
        <w:spacing w:after="0" w:line="22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Readers should refer to our Annual Report on Form10-K filed with SEC on March 18, 2021, Note 2, Basis of Presentation and Significant Accounting Policies to the accompanying financial statements for descriptions of these policies and estimates.</w:t>
      </w:r>
    </w:p>
    <w:p>
      <w:pPr>
        <w:spacing w:after="0" w:line="1"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(our principal executive officer) and our Chief Financial Officer (our principal financial officer and principal accounting officer), as appropriate, to allow timely decisions regarding required disclosure.</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effective at the reasonable assurance level as of the end of the period covered by this Quarterly Report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six months ended June 30, 2021, there was no significant change in our internal control over financial reporting that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5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6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2020, filed with the SEC on March 18, 2021, as well as the risk factors set forth below. The risk factors below are in addition to and supplement (and with respect to certain matters, update) the risk factors discussed in our Annual Report on Form 10-K and in our Current Report on From 8-K filed on July 29, 2020. Other than as set forth below, there have been no material changes to the risk factors included in our Annual Report on Form 10-K filed with the SEC on March 18, 2021 and in our Current Report on Form 8-K filed on July 29,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23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To date, the COVID-19 pandemic has negatively impacted the global economy and the magnitude, severity, and duration of this impact is unclear and difficult to assess. In addition, certain areas, including Texas where we are headquartered, have recently experienced a resurgence of COVID-19 cases. We have worked to adapt to the unexpected and challenging circumstances resulting from the COVID-19 pandemic and we have experienced minimal COVID-19 disruptions to our clinical programs and our manufacturing capabilities during the six</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2021. Both our Ewing sarcoma clinical study and our Advanced Solid Tumor clinical study are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active. We plan to release clinical data from both studies, as previously disclosed, during 2021 and 2022. However, the situation with respect to the COVID-19 pandemic and its impact changes daily and is difficult to predict.</w:t>
      </w:r>
    </w:p>
    <w:p>
      <w:pPr>
        <w:spacing w:after="0" w:line="19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To combat the spread of COVID-19, the United States and other locations in which we operate have imposed measures such as quarantines and “shelter-in-place” orders that are restricting business operations and travel and requiring individuals to work from home (“WFH”), which</w:t>
      </w:r>
    </w:p>
    <w:p>
      <w:pPr>
        <w:spacing w:after="0" w:line="219" w:lineRule="auto"/>
        <w:rPr>
          <w:sz w:val="20"/>
          <w:szCs w:val="20"/>
          <w:color w:val="auto"/>
        </w:rPr>
      </w:pPr>
      <w:r>
        <w:rPr>
          <w:rFonts w:ascii="Arial" w:cs="Arial" w:eastAsia="Arial" w:hAnsi="Arial"/>
          <w:sz w:val="18"/>
          <w:szCs w:val="18"/>
          <w:color w:val="auto"/>
        </w:rPr>
        <w:t>has impacted all aspects of our business as well as those of the third-parties we rely upon for certain supplies and services. The continuation</w:t>
      </w:r>
    </w:p>
    <w:p>
      <w:pPr>
        <w:spacing w:after="0" w:line="227" w:lineRule="auto"/>
        <w:rPr>
          <w:sz w:val="20"/>
          <w:szCs w:val="20"/>
          <w:color w:val="auto"/>
        </w:rPr>
      </w:pPr>
      <w:r>
        <w:rPr>
          <w:rFonts w:ascii="Arial" w:cs="Arial" w:eastAsia="Arial" w:hAnsi="Arial"/>
          <w:sz w:val="18"/>
          <w:szCs w:val="18"/>
          <w:color w:val="auto"/>
        </w:rPr>
        <w:t>of WFH and other restrictions for an extended period of time may negatively impact our productivity, research and development, operations, preclinical studies and clinical trials, business and financial results. Among other things, the COVID-19 pandemic may result in:</w:t>
      </w:r>
    </w:p>
    <w:p>
      <w:pPr>
        <w:spacing w:after="0" w:line="216" w:lineRule="exact"/>
        <w:rPr>
          <w:sz w:val="20"/>
          <w:szCs w:val="20"/>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and negatively impact our business or those of third parties upon which we rely for services and supplies;</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constraints on our ability to conduct our operations and our preclinical studies and clinical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our ability to extend the term of the CPRIT grant;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productivity in our business operations, research and development, marketing, and other activities;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third-party manufacturers and suppliers;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COVID-19;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w:t>
      </w:r>
    </w:p>
    <w:p>
      <w:pPr>
        <w:spacing w:after="0" w:line="2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We continue to monitor the situation and the continued disruption of the COVID-19 pandemic and its effects on the worldwide economy could negatively and materially impact our operating and financial operating results. The resumption of normal business operations may be delayed and a resurgence of COVID-19 could occur resulting in continued disruption to us or to the third parties with which we do business. As a result, the effects of the COVID-19 pandemic could have a material adverse impact on our business, results of operations, and financial condition for the remainder of 2021 and beyond.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Financial Condition and Capital Requirements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will continue to require substantial additional capital to fund our clinical activities and operations and the impact of the COVID-19 pandemic on the financial markets will likely negatively impact our ability to raise additional financing.</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$7.4 million for the year ended December 31, 2020, and we have incurred a net loss of $3.1 and $4.9 million for the three and six months ended June 30, 2021, respectively.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development of our product candidates and funding our operations have been funded through sales of equity and funds received from CPRIT. The amount and timing of our future funding requirements will depend on many factors, including but not limited to the pace and results of our clinical development efforts, as well as our ability to access the funding remaining available under the CPRIT grant. Further, the global economic downturn may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impair our ability to obtain additional financing through other means, such as debt financing. There can be no assurance we will be able to</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secure additional financing on favorable terms to us, or at all. Further any debt financing may contain restrictive covenants which limit our operating flexibility and any equity financing will likely result in additional and possibly significant dilution to existing stockholders. Failure to raise sufficient capital, as and when needed or on commercially reasonable terms, would have a significant and negative impact on our financial condition and our ability to develop our product candidates.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funding from CPRIT and failure to receive additional funds may harm our business.</w:t>
      </w:r>
    </w:p>
    <w:p>
      <w:pPr>
        <w:spacing w:after="0" w:line="23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During the course of the development of our product candidates, we have been funded through the sale of equity and the funding we received from the CPRIT grant. The CPRIT agreement was awarded in June 2016 and originally provided for a three-year grant award of up to $18.7 million, further modified to $16.1 million, to fund the development of the LSD-1 inhibitor. We have received $11.3 million since inception of the grant. The term of the CPRIT agreement was extended through November 30, 2021. We currently have a $4.8 million receivable due from CPRIT on our June 30, 2021 balance sheet. If CPRIT terminates our agreement prior to the expiration due to an event of default or if we terminate the agreement, CPRIT may require us to repay some or all of the disbursed grant. Although we may apply for government contracts and grants in the future, we may not be successful in obtaining additional grants for any product candidates or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unable to maintain listing of our securities on the Nasdaq Capital Market or another reputable stock exchange, it may be more difficult for our stockholders to sell their securities.</w:t>
      </w:r>
    </w:p>
    <w:p>
      <w:pPr>
        <w:spacing w:after="0" w:line="17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19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For example, if at any time the bid price of our common stock closes at below $1.00 per share for more than 30 consecutive trading days, we may be subject to delisting from the Nasdaq Capital Market. If we receive a delisting notice, we would have 180 calendar days to regain compliance (subject to any additional 180-day compliance period which may be available to us), which would mean having a bid price above the minimum of $1.00 for at least 10 consecutive days in the 180-day period. During this 180-day period, we would anticipate reviewing our options to regain compliance with the minimum bid requirements, including conducting a reverse stock split. To the extent that we are unable to resolve any listing deficiency, there is a risk that our common stock may be delisted from Nasdaq, which would adversely impact liquidity of our common stock and potentially result in even lower bid prices for our common stock. On July 29, 2021, the closing price of our common stock was $0.85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8"/>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180" w:type="dxa"/>
            <w:vAlign w:val="bottom"/>
            <w:gridSpan w:val="4"/>
            <w:vMerge w:val="restart"/>
          </w:tcPr>
          <w:p>
            <w:pPr>
              <w:ind w:left="28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29"/>
        </w:trPr>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right"/>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the Principal Executive Officer pursuant to Rule 13a-14(a) or 15d-14(a) of the Securities Exchange Act of</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28">
              <w:r>
                <w:rPr>
                  <w:rFonts w:ascii="Arial" w:cs="Arial" w:eastAsia="Arial" w:hAnsi="Arial"/>
                  <w:sz w:val="18"/>
                  <w:szCs w:val="18"/>
                  <w:color w:val="0000FF"/>
                  <w:w w:val="93"/>
                </w:rPr>
                <w:t>1934.</w:t>
              </w:r>
            </w:hyperlink>
          </w:p>
        </w:tc>
        <w:tc>
          <w:tcPr>
            <w:tcW w:w="3000" w:type="dxa"/>
            <w:vAlign w:val="bottom"/>
            <w:tcBorders>
              <w:top w:val="single" w:sz="8" w:color="0000FF"/>
            </w:tcBorders>
          </w:tcPr>
          <w:p>
            <w:pPr>
              <w:spacing w:after="0"/>
              <w:rPr>
                <w:sz w:val="13"/>
                <w:szCs w:val="13"/>
                <w:color w:val="auto"/>
              </w:rPr>
            </w:pPr>
          </w:p>
        </w:tc>
        <w:tc>
          <w:tcPr>
            <w:tcW w:w="6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40" w:type="dxa"/>
            <w:vAlign w:val="bottom"/>
          </w:tcPr>
          <w:p>
            <w:pPr>
              <w:jc w:val="right"/>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 of the Principal Financial Officer pursuant to Rule 13a-14(a) or 15d-14(a) of the Securities Exchange Act of</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29">
              <w:r>
                <w:rPr>
                  <w:rFonts w:ascii="Arial" w:cs="Arial" w:eastAsia="Arial" w:hAnsi="Arial"/>
                  <w:sz w:val="18"/>
                  <w:szCs w:val="18"/>
                  <w:color w:val="0000FF"/>
                  <w:w w:val="93"/>
                </w:rPr>
                <w:t>1934.</w:t>
              </w:r>
            </w:hyperlink>
          </w:p>
        </w:tc>
        <w:tc>
          <w:tcPr>
            <w:tcW w:w="3000" w:type="dxa"/>
            <w:vAlign w:val="bottom"/>
            <w:tcBorders>
              <w:top w:val="single" w:sz="8" w:color="0000FF"/>
            </w:tcBorders>
          </w:tcPr>
          <w:p>
            <w:pPr>
              <w:spacing w:after="0"/>
              <w:rPr>
                <w:sz w:val="13"/>
                <w:szCs w:val="13"/>
                <w:color w:val="auto"/>
              </w:rPr>
            </w:pPr>
          </w:p>
        </w:tc>
        <w:tc>
          <w:tcPr>
            <w:tcW w:w="6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Principal Executive Officer and Principal Financial Officer pursuant to Rule 13a-14(b) or 15d-14(b) of the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30">
              <w:r>
                <w:rPr>
                  <w:rFonts w:ascii="Arial" w:cs="Arial" w:eastAsia="Arial" w:hAnsi="Arial"/>
                  <w:sz w:val="18"/>
                  <w:szCs w:val="18"/>
                  <w:color w:val="0000FF"/>
                  <w:w w:val="99"/>
                </w:rPr>
                <w:t>Exchange Act and 18 U.S.C. Section 1350.</w:t>
              </w:r>
            </w:hyperlink>
          </w:p>
        </w:tc>
        <w:tc>
          <w:tcPr>
            <w:tcW w:w="6020" w:type="dxa"/>
            <w:vAlign w:val="bottom"/>
            <w:tcBorders>
              <w:top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 w:type="dxa"/>
            <w:vAlign w:val="bottom"/>
          </w:tcPr>
          <w:p>
            <w:pPr>
              <w:jc w:val="right"/>
              <w:spacing w:after="0"/>
              <w:rPr>
                <w:sz w:val="20"/>
                <w:szCs w:val="20"/>
                <w:color w:val="auto"/>
              </w:rPr>
            </w:pPr>
            <w:r>
              <w:rPr>
                <w:rFonts w:ascii="Arial" w:cs="Arial" w:eastAsia="Arial" w:hAnsi="Arial"/>
                <w:sz w:val="18"/>
                <w:szCs w:val="18"/>
                <w:color w:val="auto"/>
              </w:rPr>
              <w:t>101.0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The following materials from Salarius Pharmaceuticals, Inc.'s Quarterly Report on Form 10-Q for the quarter ended June</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6"/>
          </w:tcPr>
          <w:p>
            <w:pPr>
              <w:spacing w:after="0" w:line="176" w:lineRule="exact"/>
              <w:rPr>
                <w:sz w:val="20"/>
                <w:szCs w:val="20"/>
                <w:color w:val="auto"/>
              </w:rPr>
            </w:pPr>
            <w:r>
              <w:rPr>
                <w:rFonts w:ascii="Arial" w:cs="Arial" w:eastAsia="Arial" w:hAnsi="Arial"/>
                <w:sz w:val="18"/>
                <w:szCs w:val="18"/>
                <w:color w:val="auto"/>
              </w:rPr>
              <w:t>30, 2021, formatted in XBRL (eXtensible Business Reporting Language):(i) Unaudited Condensed Consolidated Balance</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6"/>
          </w:tcPr>
          <w:p>
            <w:pPr>
              <w:spacing w:after="0" w:line="176" w:lineRule="exact"/>
              <w:rPr>
                <w:sz w:val="20"/>
                <w:szCs w:val="20"/>
                <w:color w:val="auto"/>
              </w:rPr>
            </w:pPr>
            <w:r>
              <w:rPr>
                <w:rFonts w:ascii="Arial" w:cs="Arial" w:eastAsia="Arial" w:hAnsi="Arial"/>
                <w:sz w:val="18"/>
                <w:szCs w:val="18"/>
                <w:color w:val="auto"/>
              </w:rPr>
              <w:t>Sheets, (ii) Unaudited Condensed Consolidated Statements of Operations (iii) Unaudited Condensed Consolidated</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6"/>
          </w:tcPr>
          <w:p>
            <w:pPr>
              <w:spacing w:after="0" w:line="176" w:lineRule="exact"/>
              <w:rPr>
                <w:sz w:val="20"/>
                <w:szCs w:val="20"/>
                <w:color w:val="auto"/>
              </w:rPr>
            </w:pPr>
            <w:r>
              <w:rPr>
                <w:rFonts w:ascii="Arial" w:cs="Arial" w:eastAsia="Arial" w:hAnsi="Arial"/>
                <w:sz w:val="18"/>
                <w:szCs w:val="18"/>
                <w:color w:val="auto"/>
              </w:rPr>
              <w:t>Statements of Stockholders' Equity (Deficit), (iv) Unaudited Condensed Consolidated Statements of Cash Flows, and (v)</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Notes to Condensed Unaudited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2734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right="60" w:hanging="172"/>
        <w:spacing w:after="0" w:line="249" w:lineRule="auto"/>
        <w:tabs>
          <w:tab w:leader="none" w:pos="114"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8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99"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31"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Mark J. Rosenblum</w:t>
      </w:r>
    </w:p>
    <w:p>
      <w:pPr>
        <w:ind w:left="5940"/>
        <w:spacing w:after="0" w:line="234" w:lineRule="auto"/>
        <w:rPr>
          <w:sz w:val="20"/>
          <w:szCs w:val="20"/>
          <w:color w:val="auto"/>
        </w:rPr>
      </w:pPr>
      <w:r>
        <w:rPr>
          <w:rFonts w:ascii="Arial" w:cs="Arial" w:eastAsia="Arial" w:hAnsi="Arial"/>
          <w:sz w:val="18"/>
          <w:szCs w:val="18"/>
          <w:i w:val="1"/>
          <w:iCs w:val="1"/>
          <w:color w:val="auto"/>
        </w:rPr>
        <w:t>Chief Financial Officer and Executive Vice President of Finance</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4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August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290" w:right="4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3"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210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40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188"/>
        </w:trPr>
        <w:tc>
          <w:tcPr>
            <w:tcW w:w="4020" w:type="dxa"/>
            <w:vAlign w:val="bottom"/>
          </w:tcPr>
          <w:p>
            <w:pPr>
              <w:spacing w:after="0"/>
              <w:rPr>
                <w:sz w:val="16"/>
                <w:szCs w:val="16"/>
                <w:color w:val="auto"/>
              </w:rPr>
            </w:pP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August 5, 2021</w:t>
            </w: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520" w:hanging="216"/>
        <w:spacing w:after="0"/>
        <w:tabs>
          <w:tab w:leader="none" w:pos="1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9"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1300" w:right="540" w:firstLine="4"/>
        <w:spacing w:after="0" w:line="278" w:lineRule="auto"/>
        <w:tabs>
          <w:tab w:leader="none" w:pos="151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60" w:firstLine="4"/>
        <w:spacing w:after="0" w:line="256"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0" w:firstLine="4"/>
        <w:spacing w:after="0" w:line="256" w:lineRule="auto"/>
        <w:tabs>
          <w:tab w:leader="none" w:pos="151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
        <w:spacing w:after="0" w:line="256"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1300" w:right="220" w:firstLine="4"/>
        <w:spacing w:after="0" w:line="256" w:lineRule="auto"/>
        <w:tabs>
          <w:tab w:leader="none" w:pos="151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210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40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188"/>
        </w:trPr>
        <w:tc>
          <w:tcPr>
            <w:tcW w:w="4020" w:type="dxa"/>
            <w:vAlign w:val="bottom"/>
          </w:tcPr>
          <w:p>
            <w:pPr>
              <w:spacing w:after="0"/>
              <w:rPr>
                <w:sz w:val="16"/>
                <w:szCs w:val="16"/>
                <w:color w:val="auto"/>
              </w:rPr>
            </w:pP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August 5, 2021</w:t>
            </w: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June 30, 2021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29" w:lineRule="exact"/>
        <w:rPr>
          <w:sz w:val="20"/>
          <w:szCs w:val="20"/>
          <w:color w:val="auto"/>
        </w:rPr>
      </w:pPr>
    </w:p>
    <w:p>
      <w:pPr>
        <w:ind w:left="660" w:right="220" w:hanging="4"/>
        <w:spacing w:after="0" w:line="261" w:lineRule="auto"/>
        <w:tabs>
          <w:tab w:leader="none" w:pos="9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660" w:right="40" w:hanging="4"/>
        <w:spacing w:after="0" w:line="261" w:lineRule="auto"/>
        <w:tabs>
          <w:tab w:leader="none" w:pos="9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96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45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August 5, 2021</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338"/>
        </w:trPr>
        <w:tc>
          <w:tcPr>
            <w:tcW w:w="450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45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188"/>
        </w:trPr>
        <w:tc>
          <w:tcPr>
            <w:tcW w:w="4500" w:type="dxa"/>
            <w:vAlign w:val="bottom"/>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500" w:type="dxa"/>
            <w:vAlign w:val="bottom"/>
          </w:tcPr>
          <w:p>
            <w:pPr>
              <w:spacing w:after="0"/>
              <w:rPr>
                <w:sz w:val="20"/>
                <w:szCs w:val="20"/>
                <w:color w:val="auto"/>
              </w:rPr>
            </w:pPr>
            <w:r>
              <w:rPr>
                <w:rFonts w:ascii="Arial" w:cs="Arial" w:eastAsia="Arial" w:hAnsi="Arial"/>
                <w:sz w:val="18"/>
                <w:szCs w:val="18"/>
                <w:color w:val="auto"/>
              </w:rPr>
              <w:t>August 5, 2021</w:t>
            </w: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2021-08-05T06:29:40Z</dcterms:created>
  <dcterms:modified xsi:type="dcterms:W3CDTF">2021-08-05T06:29:40Z</dcterms:modified>
</cp:coreProperties>
</file>