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22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222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674370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4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2"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8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5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26, 2026</w:t>
      </w:r>
    </w:p>
    <w:p>
      <w:pPr>
        <w:spacing w:after="0" w:line="200" w:lineRule="exact"/>
        <w:rPr>
          <w:sz w:val="24"/>
          <w:szCs w:val="24"/>
          <w:color w:val="auto"/>
        </w:rPr>
      </w:pPr>
    </w:p>
    <w:p>
      <w:pPr>
        <w:spacing w:after="0" w:line="275"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25"/>
          <w:szCs w:val="25"/>
          <w:b w:val="1"/>
          <w:bCs w:val="1"/>
          <w:color w:val="auto"/>
        </w:rPr>
        <w:t>DECOY THERAPEUTICS INC.</w:t>
      </w:r>
    </w:p>
    <w:p>
      <w:pPr>
        <w:spacing w:after="0" w:line="43" w:lineRule="exact"/>
        <w:rPr>
          <w:sz w:val="24"/>
          <w:szCs w:val="24"/>
          <w:color w:val="auto"/>
        </w:rPr>
      </w:pPr>
    </w:p>
    <w:p>
      <w:pPr>
        <w:jc w:val="center"/>
        <w:ind w:right="-2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398" w:lineRule="exact"/>
        <w:rPr>
          <w:sz w:val="24"/>
          <w:szCs w:val="24"/>
          <w:color w:val="auto"/>
        </w:rPr>
      </w:pPr>
    </w:p>
    <w:tbl>
      <w:tblPr>
        <w:tblLayout w:type="fixed"/>
        <w:tblInd w:w="745" w:type="dxa"/>
        <w:tblCellMar>
          <w:top w:w="0" w:type="dxa"/>
          <w:left w:w="0" w:type="dxa"/>
          <w:bottom w:w="0" w:type="dxa"/>
          <w:right w:w="0" w:type="dxa"/>
        </w:tblCellMar>
      </w:tblPr>
      <w:tr>
        <w:trPr>
          <w:trHeight w:val="195"/>
        </w:trPr>
        <w:tc>
          <w:tcPr>
            <w:tcW w:w="2700" w:type="dxa"/>
            <w:vAlign w:val="bottom"/>
          </w:tcPr>
          <w:p>
            <w:pPr>
              <w:jc w:val="center"/>
              <w:ind w:right="40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680" w:type="dxa"/>
            <w:vAlign w:val="bottom"/>
          </w:tcPr>
          <w:p>
            <w:pPr>
              <w:jc w:val="right"/>
              <w:ind w:right="2087"/>
              <w:spacing w:after="0"/>
              <w:rPr>
                <w:sz w:val="20"/>
                <w:szCs w:val="20"/>
                <w:color w:val="auto"/>
              </w:rPr>
            </w:pPr>
            <w:r>
              <w:rPr>
                <w:rFonts w:ascii="Times New Roman" w:cs="Times New Roman" w:eastAsia="Times New Roman" w:hAnsi="Times New Roman"/>
                <w:sz w:val="16"/>
                <w:szCs w:val="16"/>
                <w:b w:val="1"/>
                <w:bCs w:val="1"/>
                <w:color w:val="auto"/>
              </w:rPr>
              <w:t>001-36812</w:t>
            </w:r>
          </w:p>
        </w:tc>
        <w:tc>
          <w:tcPr>
            <w:tcW w:w="180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47-5087339</w:t>
            </w:r>
          </w:p>
        </w:tc>
        <w:tc>
          <w:tcPr>
            <w:tcW w:w="0" w:type="dxa"/>
            <w:vAlign w:val="bottom"/>
          </w:tcPr>
          <w:p>
            <w:pPr>
              <w:spacing w:after="0"/>
              <w:rPr>
                <w:sz w:val="1"/>
                <w:szCs w:val="1"/>
                <w:color w:val="auto"/>
              </w:rPr>
            </w:pPr>
          </w:p>
        </w:tc>
      </w:tr>
      <w:tr>
        <w:trPr>
          <w:trHeight w:val="177"/>
        </w:trPr>
        <w:tc>
          <w:tcPr>
            <w:tcW w:w="2700" w:type="dxa"/>
            <w:vAlign w:val="bottom"/>
          </w:tcPr>
          <w:p>
            <w:pPr>
              <w:jc w:val="center"/>
              <w:ind w:right="389"/>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4680" w:type="dxa"/>
            <w:vAlign w:val="bottom"/>
          </w:tcPr>
          <w:p>
            <w:pPr>
              <w:jc w:val="center"/>
              <w:ind w:right="247"/>
              <w:spacing w:after="0"/>
              <w:rPr>
                <w:sz w:val="20"/>
                <w:szCs w:val="20"/>
                <w:color w:val="auto"/>
              </w:rPr>
            </w:pPr>
            <w:r>
              <w:rPr>
                <w:rFonts w:ascii="Times New Roman" w:cs="Times New Roman" w:eastAsia="Times New Roman" w:hAnsi="Times New Roman"/>
                <w:sz w:val="14"/>
                <w:szCs w:val="14"/>
                <w:color w:val="auto"/>
              </w:rPr>
              <w:t>(Commission</w:t>
            </w:r>
          </w:p>
        </w:tc>
        <w:tc>
          <w:tcPr>
            <w:tcW w:w="1800" w:type="dxa"/>
            <w:vAlign w:val="bottom"/>
          </w:tcPr>
          <w:p>
            <w:pPr>
              <w:jc w:val="center"/>
              <w:ind w:left="669"/>
              <w:spacing w:after="0"/>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4"/>
        </w:trPr>
        <w:tc>
          <w:tcPr>
            <w:tcW w:w="2700" w:type="dxa"/>
            <w:vAlign w:val="bottom"/>
          </w:tcPr>
          <w:p>
            <w:pPr>
              <w:jc w:val="center"/>
              <w:ind w:right="389"/>
              <w:spacing w:after="0"/>
              <w:rPr>
                <w:sz w:val="20"/>
                <w:szCs w:val="20"/>
                <w:color w:val="auto"/>
              </w:rPr>
            </w:pPr>
            <w:r>
              <w:rPr>
                <w:rFonts w:ascii="Times New Roman" w:cs="Times New Roman" w:eastAsia="Times New Roman" w:hAnsi="Times New Roman"/>
                <w:sz w:val="14"/>
                <w:szCs w:val="14"/>
                <w:color w:val="auto"/>
              </w:rPr>
              <w:t>of incorporation)</w:t>
            </w:r>
          </w:p>
        </w:tc>
        <w:tc>
          <w:tcPr>
            <w:tcW w:w="4680" w:type="dxa"/>
            <w:vAlign w:val="bottom"/>
          </w:tcPr>
          <w:p>
            <w:pPr>
              <w:jc w:val="center"/>
              <w:ind w:right="247"/>
              <w:spacing w:after="0"/>
              <w:rPr>
                <w:sz w:val="20"/>
                <w:szCs w:val="20"/>
                <w:color w:val="auto"/>
              </w:rPr>
            </w:pPr>
            <w:r>
              <w:rPr>
                <w:rFonts w:ascii="Times New Roman" w:cs="Times New Roman" w:eastAsia="Times New Roman" w:hAnsi="Times New Roman"/>
                <w:sz w:val="14"/>
                <w:szCs w:val="14"/>
                <w:color w:val="auto"/>
              </w:rPr>
              <w:t>File Number)</w:t>
            </w:r>
          </w:p>
        </w:tc>
        <w:tc>
          <w:tcPr>
            <w:tcW w:w="1800" w:type="dxa"/>
            <w:vAlign w:val="bottom"/>
          </w:tcPr>
          <w:p>
            <w:pPr>
              <w:jc w:val="center"/>
              <w:ind w:left="669"/>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16"/>
        </w:trPr>
        <w:tc>
          <w:tcPr>
            <w:tcW w:w="2700" w:type="dxa"/>
            <w:vAlign w:val="bottom"/>
          </w:tcPr>
          <w:p>
            <w:pPr>
              <w:jc w:val="center"/>
              <w:ind w:right="389"/>
              <w:spacing w:after="0"/>
              <w:rPr>
                <w:sz w:val="20"/>
                <w:szCs w:val="20"/>
                <w:color w:val="auto"/>
              </w:rPr>
            </w:pPr>
            <w:r>
              <w:rPr>
                <w:rFonts w:ascii="Times New Roman" w:cs="Times New Roman" w:eastAsia="Times New Roman" w:hAnsi="Times New Roman"/>
                <w:sz w:val="14"/>
                <w:szCs w:val="14"/>
                <w:b w:val="1"/>
                <w:bCs w:val="1"/>
                <w:color w:val="auto"/>
              </w:rPr>
              <w:t>2450 Holcombe Blvd.</w:t>
            </w:r>
          </w:p>
        </w:tc>
        <w:tc>
          <w:tcPr>
            <w:tcW w:w="4680" w:type="dxa"/>
            <w:vAlign w:val="bottom"/>
          </w:tcPr>
          <w:p>
            <w:pPr>
              <w:spacing w:after="0"/>
              <w:rPr>
                <w:sz w:val="18"/>
                <w:szCs w:val="18"/>
                <w:color w:val="auto"/>
              </w:rPr>
            </w:pPr>
          </w:p>
        </w:tc>
        <w:tc>
          <w:tcPr>
            <w:tcW w:w="180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77021</w:t>
            </w:r>
          </w:p>
        </w:tc>
        <w:tc>
          <w:tcPr>
            <w:tcW w:w="0" w:type="dxa"/>
            <w:vAlign w:val="bottom"/>
          </w:tcPr>
          <w:p>
            <w:pPr>
              <w:spacing w:after="0"/>
              <w:rPr>
                <w:sz w:val="1"/>
                <w:szCs w:val="1"/>
                <w:color w:val="auto"/>
              </w:rPr>
            </w:pPr>
          </w:p>
        </w:tc>
      </w:tr>
      <w:tr>
        <w:trPr>
          <w:trHeight w:val="177"/>
        </w:trPr>
        <w:tc>
          <w:tcPr>
            <w:tcW w:w="2700" w:type="dxa"/>
            <w:vAlign w:val="bottom"/>
          </w:tcPr>
          <w:p>
            <w:pPr>
              <w:jc w:val="center"/>
              <w:ind w:right="389"/>
              <w:spacing w:after="0"/>
              <w:rPr>
                <w:sz w:val="20"/>
                <w:szCs w:val="20"/>
                <w:color w:val="auto"/>
              </w:rPr>
            </w:pPr>
            <w:r>
              <w:rPr>
                <w:rFonts w:ascii="Times New Roman" w:cs="Times New Roman" w:eastAsia="Times New Roman" w:hAnsi="Times New Roman"/>
                <w:sz w:val="14"/>
                <w:szCs w:val="14"/>
                <w:b w:val="1"/>
                <w:bCs w:val="1"/>
                <w:color w:val="auto"/>
              </w:rPr>
              <w:t>Suite X</w:t>
            </w:r>
          </w:p>
        </w:tc>
        <w:tc>
          <w:tcPr>
            <w:tcW w:w="4680" w:type="dxa"/>
            <w:vAlign w:val="bottom"/>
          </w:tcPr>
          <w:p>
            <w:pPr>
              <w:spacing w:after="0"/>
              <w:rPr>
                <w:sz w:val="15"/>
                <w:szCs w:val="15"/>
                <w:color w:val="auto"/>
              </w:rPr>
            </w:pPr>
          </w:p>
        </w:tc>
        <w:tc>
          <w:tcPr>
            <w:tcW w:w="1800" w:type="dxa"/>
            <w:vAlign w:val="bottom"/>
          </w:tcPr>
          <w:p>
            <w:pPr>
              <w:jc w:val="center"/>
              <w:ind w:left="669"/>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79"/>
        </w:trPr>
        <w:tc>
          <w:tcPr>
            <w:tcW w:w="2700" w:type="dxa"/>
            <w:vAlign w:val="bottom"/>
          </w:tcPr>
          <w:p>
            <w:pPr>
              <w:jc w:val="center"/>
              <w:ind w:right="429"/>
              <w:spacing w:after="0"/>
              <w:rPr>
                <w:sz w:val="20"/>
                <w:szCs w:val="20"/>
                <w:color w:val="auto"/>
              </w:rPr>
            </w:pPr>
            <w:r>
              <w:rPr>
                <w:rFonts w:ascii="Times New Roman" w:cs="Times New Roman" w:eastAsia="Times New Roman" w:hAnsi="Times New Roman"/>
                <w:sz w:val="14"/>
                <w:szCs w:val="14"/>
                <w:b w:val="1"/>
                <w:bCs w:val="1"/>
                <w:color w:val="auto"/>
              </w:rPr>
              <w:t>Houston, TX</w:t>
            </w:r>
          </w:p>
        </w:tc>
        <w:tc>
          <w:tcPr>
            <w:tcW w:w="46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700" w:type="dxa"/>
            <w:vAlign w:val="bottom"/>
          </w:tcPr>
          <w:p>
            <w:pPr>
              <w:jc w:val="center"/>
              <w:ind w:right="38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680" w:type="dxa"/>
            <w:vAlign w:val="bottom"/>
            <w:vMerge w:val="restart"/>
          </w:tcPr>
          <w:p>
            <w:pPr>
              <w:jc w:val="right"/>
              <w:ind w:right="1927"/>
              <w:spacing w:after="0"/>
              <w:rPr>
                <w:sz w:val="20"/>
                <w:szCs w:val="20"/>
                <w:color w:val="auto"/>
              </w:rPr>
            </w:pPr>
            <w:r>
              <w:rPr>
                <w:rFonts w:ascii="Times New Roman" w:cs="Times New Roman" w:eastAsia="Times New Roman" w:hAnsi="Times New Roman"/>
                <w:sz w:val="16"/>
                <w:szCs w:val="16"/>
                <w:b w:val="1"/>
                <w:bCs w:val="1"/>
                <w:color w:val="auto"/>
              </w:rPr>
              <w:t>(713) 913-5608</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700" w:type="dxa"/>
            <w:vAlign w:val="bottom"/>
          </w:tcPr>
          <w:p>
            <w:pPr>
              <w:spacing w:after="0"/>
              <w:rPr>
                <w:sz w:val="15"/>
                <w:szCs w:val="15"/>
                <w:color w:val="auto"/>
              </w:rPr>
            </w:pPr>
          </w:p>
        </w:tc>
        <w:tc>
          <w:tcPr>
            <w:tcW w:w="468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700" w:type="dxa"/>
            <w:vAlign w:val="bottom"/>
          </w:tcPr>
          <w:p>
            <w:pPr>
              <w:spacing w:after="0"/>
              <w:rPr>
                <w:sz w:val="16"/>
                <w:szCs w:val="16"/>
                <w:color w:val="auto"/>
              </w:rPr>
            </w:pPr>
          </w:p>
        </w:tc>
        <w:tc>
          <w:tcPr>
            <w:tcW w:w="4680" w:type="dxa"/>
            <w:vAlign w:val="bottom"/>
          </w:tcPr>
          <w:p>
            <w:pPr>
              <w:jc w:val="center"/>
              <w:ind w:right="227"/>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2700" w:type="dxa"/>
            <w:vAlign w:val="bottom"/>
          </w:tcPr>
          <w:p>
            <w:pPr>
              <w:spacing w:after="0"/>
              <w:rPr>
                <w:sz w:val="24"/>
                <w:szCs w:val="24"/>
                <w:color w:val="auto"/>
              </w:rPr>
            </w:pPr>
          </w:p>
        </w:tc>
        <w:tc>
          <w:tcPr>
            <w:tcW w:w="4680" w:type="dxa"/>
            <w:vAlign w:val="bottom"/>
          </w:tcPr>
          <w:p>
            <w:pPr>
              <w:jc w:val="center"/>
              <w:ind w:right="247"/>
              <w:spacing w:after="0"/>
              <w:rPr>
                <w:sz w:val="20"/>
                <w:szCs w:val="20"/>
                <w:color w:val="auto"/>
              </w:rPr>
            </w:pPr>
            <w:r>
              <w:rPr>
                <w:rFonts w:ascii="Times New Roman" w:cs="Times New Roman" w:eastAsia="Times New Roman" w:hAnsi="Times New Roman"/>
                <w:sz w:val="14"/>
                <w:szCs w:val="14"/>
                <w:color w:val="auto"/>
                <w:w w:val="99"/>
              </w:rPr>
              <w:t>N/A</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700" w:type="dxa"/>
            <w:vAlign w:val="bottom"/>
          </w:tcPr>
          <w:p>
            <w:pPr>
              <w:spacing w:after="0"/>
              <w:rPr>
                <w:sz w:val="16"/>
                <w:szCs w:val="16"/>
                <w:color w:val="auto"/>
              </w:rPr>
            </w:pPr>
          </w:p>
        </w:tc>
        <w:tc>
          <w:tcPr>
            <w:tcW w:w="4680" w:type="dxa"/>
            <w:vAlign w:val="bottom"/>
          </w:tcPr>
          <w:p>
            <w:pPr>
              <w:jc w:val="center"/>
              <w:ind w:right="227"/>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8"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65" w:hanging="465"/>
        <w:spacing w:after="0"/>
        <w:tabs>
          <w:tab w:leader="none" w:pos="4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3" w:lineRule="exact"/>
        <w:rPr>
          <w:rFonts w:ascii="MS PGothic" w:cs="MS PGothic" w:eastAsia="MS PGothic" w:hAnsi="MS PGothic"/>
          <w:sz w:val="16"/>
          <w:szCs w:val="16"/>
          <w:color w:val="auto"/>
        </w:rPr>
      </w:pPr>
    </w:p>
    <w:p>
      <w:pPr>
        <w:ind w:left="465" w:hanging="465"/>
        <w:spacing w:after="0"/>
        <w:tabs>
          <w:tab w:leader="none" w:pos="4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465" w:hanging="465"/>
        <w:spacing w:after="0"/>
        <w:tabs>
          <w:tab w:leader="none" w:pos="4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 w:lineRule="exact"/>
        <w:rPr>
          <w:rFonts w:ascii="MS PGothic" w:cs="MS PGothic" w:eastAsia="MS PGothic" w:hAnsi="MS PGothic"/>
          <w:sz w:val="16"/>
          <w:szCs w:val="16"/>
          <w:color w:val="auto"/>
        </w:rPr>
      </w:pPr>
    </w:p>
    <w:p>
      <w:pPr>
        <w:ind w:left="465" w:hanging="465"/>
        <w:spacing w:after="0"/>
        <w:tabs>
          <w:tab w:leader="none" w:pos="4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76"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0" w:lineRule="exact"/>
        <w:rPr>
          <w:sz w:val="24"/>
          <w:szCs w:val="24"/>
          <w:color w:val="auto"/>
        </w:rPr>
      </w:pPr>
    </w:p>
    <w:tbl>
      <w:tblPr>
        <w:tblLayout w:type="fixed"/>
        <w:tblInd w:w="5" w:type="dxa"/>
        <w:tblCellMar>
          <w:top w:w="0" w:type="dxa"/>
          <w:left w:w="0" w:type="dxa"/>
          <w:bottom w:w="0" w:type="dxa"/>
          <w:right w:w="0" w:type="dxa"/>
        </w:tblCellMar>
      </w:tblPr>
      <w:tr>
        <w:trPr>
          <w:trHeight w:val="149"/>
        </w:trPr>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220" w:type="dxa"/>
            <w:vAlign w:val="bottom"/>
          </w:tcPr>
          <w:p>
            <w:pPr>
              <w:spacing w:after="0"/>
              <w:rPr>
                <w:sz w:val="12"/>
                <w:szCs w:val="1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220" w:type="dxa"/>
            <w:vAlign w:val="bottom"/>
          </w:tcPr>
          <w:p>
            <w:pPr>
              <w:spacing w:after="0"/>
              <w:rPr>
                <w:sz w:val="12"/>
                <w:szCs w:val="12"/>
                <w:color w:val="auto"/>
              </w:rPr>
            </w:pPr>
          </w:p>
        </w:tc>
        <w:tc>
          <w:tcPr>
            <w:tcW w:w="4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52"/>
        </w:trPr>
        <w:tc>
          <w:tcPr>
            <w:tcW w:w="448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220" w:type="dxa"/>
            <w:vAlign w:val="bottom"/>
          </w:tcPr>
          <w:p>
            <w:pPr>
              <w:spacing w:after="0"/>
              <w:rPr>
                <w:sz w:val="13"/>
                <w:szCs w:val="13"/>
                <w:color w:val="auto"/>
              </w:rPr>
            </w:pPr>
          </w:p>
        </w:tc>
        <w:tc>
          <w:tcPr>
            <w:tcW w:w="46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Common Stock, </w:t>
            </w:r>
            <w:r>
              <w:rPr>
                <w:rFonts w:ascii="Times New Roman" w:cs="Times New Roman" w:eastAsia="Times New Roman" w:hAnsi="Times New Roman"/>
                <w:sz w:val="14"/>
                <w:szCs w:val="14"/>
                <w:b w:val="1"/>
                <w:bCs w:val="1"/>
                <w:color w:val="auto"/>
              </w:rPr>
              <w:t>par value $0.0001 per share</w:t>
            </w:r>
          </w:p>
        </w:tc>
        <w:tc>
          <w:tcPr>
            <w:tcW w:w="2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DCOY</w:t>
            </w:r>
          </w:p>
        </w:tc>
        <w:tc>
          <w:tcPr>
            <w:tcW w:w="220" w:type="dxa"/>
            <w:vAlign w:val="bottom"/>
          </w:tcPr>
          <w:p>
            <w:pPr>
              <w:spacing w:after="0"/>
              <w:rPr>
                <w:sz w:val="17"/>
                <w:szCs w:val="17"/>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The Nasdaq Capital Market</w:t>
            </w:r>
          </w:p>
        </w:tc>
        <w:tc>
          <w:tcPr>
            <w:tcW w:w="0" w:type="dxa"/>
            <w:vAlign w:val="bottom"/>
          </w:tcPr>
          <w:p>
            <w:pPr>
              <w:spacing w:after="0"/>
              <w:rPr>
                <w:sz w:val="1"/>
                <w:szCs w:val="1"/>
                <w:color w:val="auto"/>
              </w:rPr>
            </w:pPr>
          </w:p>
        </w:tc>
      </w:tr>
    </w:tbl>
    <w:p>
      <w:pPr>
        <w:spacing w:after="0" w:line="153" w:lineRule="exact"/>
        <w:rPr>
          <w:sz w:val="24"/>
          <w:szCs w:val="24"/>
          <w:color w:val="auto"/>
        </w:rPr>
      </w:pPr>
    </w:p>
    <w:p>
      <w:pPr>
        <w:ind w:left="5" w:right="20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1"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28"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941070</wp:posOffset>
            </wp:positionV>
            <wp:extent cx="717486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247650</wp:posOffset>
            </wp:positionV>
            <wp:extent cx="7149465" cy="2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22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285115</wp:posOffset>
            </wp:positionV>
            <wp:extent cx="71494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220"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1.01. Entry into a Material Definitive Agreement.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Securities Purchase Agreement</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On June 26, 2026, Decoy Therapeutics Inc., a Delaware corporation (the “Company”), entered into a Securities Purchase Agreement (the “Securities Purchase Agreement”) with an institutional and accredited investor (the “Purchaser”) for a private placement of the Company’s securities (the “Private Placement”). The closing of the Private Placement is expected to occur on or about June 29, 2026 (the “Closing” and such date, the “Closing Date”), subject to the satisfaction of customary closing conditions.</w:t>
      </w:r>
    </w:p>
    <w:p>
      <w:pPr>
        <w:spacing w:after="0" w:line="1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Pursuant to the Securities Purchase Agreement, the Company agreed to issue and sell to the Purchaser, at a purchase price of $5.91 per share (the “Per Share Purchase Price”), (i) an aggregate of 592,217 shares (the “Shares”) of the Company’s common stock, par value $0.0001 per share (the “Common Stock”), or, at the election of the Purchaser whose purchase would otherwise cause it to exceed the Beneficial Ownership Limitation (as defined below), pre-funded warrants in lieu thereof (the “Pre-Funded Warrants”), and (ii) accompanying milestone-based Series A common warrants (the “Series A Warrants”), Series B common warrants (the “Series B Warrants”) and Series C common warrants (the “Series C Warrants” and, together with the Series A Warrants and the Series B Warrants, the “Milestone Warrants”). The purchase price of each Pre-Funded Warrant equals the Per Share Purchase Price minus $0.0001. The Purchaser will receive Series A Warrants, Series B Warrants and Series C Warrants to purchase up to a number of shares of Common Stock equal to 100%, 200% and 200%, respectively, of the number of Shares (and shares underlying any Pre-Funded Warrants) purchased by the Purchaser, in each case at an exercise price of $5.91 per share, subject to adjustment.</w:t>
      </w:r>
    </w:p>
    <w:p>
      <w:pPr>
        <w:spacing w:after="0" w:line="12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aggregate gross proceeds to the Company from the Private Placement are expected to be approximately $3.5 million, before deducting placement agent fees and other offering expenses payable by the Company and excluding the proceeds, if any, from the future exercise of the Milestone Warrants. If the Milestone Warrants are exercised in full for cash following satisfaction of the applicable milestones and receipt of Stockholder Approval (as defined below), the Company would receive up to approximately $17.5 million in additional gross proceeds. The Company intends to use the net proceeds from the Private Placement for general corporate purposes, including to advance its lead asset into clinical trials.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Securities Purchase Agreement contains customary representations, warranties, covenants, conditions to closing and indemnification obligations of the Company and the Purchaser. The representations, warranties and covenants contained in the Securities Purchase Agreement were made only for purposes of such agreement and as of specific dates, were solely for the benefit of the parties to such agreement and may be subject to limitations agreed upon by the contracting parties.</w:t>
      </w:r>
    </w:p>
    <w:p>
      <w:pPr>
        <w:spacing w:after="0" w:line="1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Under the Securities Purchase Agreement, the Milestone Warrants are not exercisable, and the shares of Common Stock issuable upon exercise thereof are not issuable, until the Company obtains approval of its stockholders for the exercise of the Milestone Warrants and the issuance of the underlying shares of Common Stock as required under the applicable rules and regulations of The Nasdaq Stock Market LLC (“Stockholder Approval” and the date on which Stockholder Approval is obtained, the “Stockholder Approval Date”). The Company has agreed to hold a special meeting of stockholders no later than 90 days after the Closing Date to seek Stockholder Approval and, if Stockholder Approval is not then obtained, to seek such approval at least every 90 days thereafter until the earlier of the date Stockholder Approval is obtained and the date on which the Milestone Warrants are no longer outstanding.</w:t>
      </w:r>
    </w:p>
    <w:p>
      <w:pPr>
        <w:spacing w:after="0" w:line="1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“Beneficial Ownership Limitation” under the Securities Purchase Agreement is 4.99% (or, at the election of a Purchaser at the Closing, 9.99%) of the number of shares of Common Stock outstanding immediately after giving effect to the issuance of the securities on the Closing Date. In addition, subject to certain exceptions, the Company agreed that from the date of the Securities Purchase Agreement until 180 days after the Effectiveness Date (as defined below), the Company will not effect or enter into an agreement to effect any issuance of Common Stock or Common Stock Equivalents (as defined in the Securities Purchase Agreement) involving a Variable Rate Transaction (as defined in the Securities Purchase Agreement), subject to certain exceptions, including issuances under the Company’s existing equity line of credit and, from and after the Effectiveness Date, an “at-the-market” offering facility with the Placement Agent (as defined below).</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Pre-Funded Warrants</w:t>
      </w:r>
    </w:p>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Each Pre-Funded Warrant has an exercise price of $0.0001 per share, is exercisable at any time on or after its date of issuance and will not expire until exercised in full. A holder of Pre-Funded Warrants may not exercise any portion of its Pre-Funded Warrants to the extent that, after giving effect to such exercise, the holder (together with its affiliates and certain related parties) would beneficially own more than 9.99% of the number of shares of Common Stock outstanding immediately after giving effect to such exercise, which percentage may be adjusted at the holder’s election (but not in excess of 9.99%) upon 61 days’ prior notice to the Company. The exercise price and the number of shares of Common Stock issuable upon exercise of the Pre-Funded Warrants are subject to adjustment in the event of certain stock dividends, stock splits, stock combinations, reclassifications and similar events affecting the Common Stock.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Series A, Series B and Series C Milestone Warrants</w:t>
      </w:r>
    </w:p>
    <w:p>
      <w:pPr>
        <w:spacing w:after="0" w:line="1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Each of the Series A Warrants, Series B Warrants and Series C Warrants has an exercise price of $5.91 per share, subject to adjustment. Each Milestone Warrant will expire on the earlier of (i) the 90th day following the date of the applicable Milestone Event (as defined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495300</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32" w:right="319" w:bottom="1440" w:gutter="0" w:footer="0" w:header="0"/>
        </w:sectPr>
      </w:pPr>
    </w:p>
    <w:bookmarkStart w:id="2" w:name="page3"/>
    <w:bookmarkEnd w:id="2"/>
    <w:p>
      <w:pPr>
        <w:jc w:val="both"/>
        <w:spacing w:after="0" w:line="254" w:lineRule="auto"/>
        <w:rPr>
          <w:sz w:val="20"/>
          <w:szCs w:val="20"/>
          <w:color w:val="auto"/>
        </w:rPr>
      </w:pPr>
      <w:r>
        <w:rPr>
          <w:rFonts w:ascii="Times New Roman" w:cs="Times New Roman" w:eastAsia="Times New Roman" w:hAnsi="Times New Roman"/>
          <w:sz w:val="16"/>
          <w:szCs w:val="16"/>
          <w:color w:val="auto"/>
        </w:rPr>
        <w:t>below) and (ii) June 26, 2031. Notwithstanding the foregoing, the Milestone Warrants are not exercisable, and the shares of Common Stock issuable upon exercise thereof are not issuable, prior to the Stockholder Approval Date. A holder of Milestone Warrants may not exercise any portion of its Milestone Warrants to the extent that, after giving effect to such exercise, the holder (together with its affiliates and certain related parties) would beneficially own more than 4.99% (or, at the election of the holder, 9.99%) of the number of shares of Common Stock outstanding immediately after giving effect to such exercise. A holder of Milestone Warrants may also elect to receive Pre-Funded Warrants in lieu of shares of Common Stock upon exercise.</w:t>
      </w:r>
    </w:p>
    <w:p>
      <w:pPr>
        <w:spacing w:after="0" w:line="12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With respect to the Series A Warrants, the “Milestone Event” means the later of (a) the date of the filing by the Company of a Clinical Trial Application with the applicable competent regulatory authority in the European Economic Area to commence a Phase 1 clinical trial and (b) the Stockholder Approval Date.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With respect to the Series B Warrants, the “Milestone Event” means the later of (a) the date on which the Company provides notice to the holder of the Company’s receipt of formal written approval from the Medicines and Healthcare products Regulatory Agency to conduct a Phase 2a human challenge trial in the United Kingdom and (b) the Stockholder Approval Date.</w:t>
      </w:r>
    </w:p>
    <w:p>
      <w:pPr>
        <w:spacing w:after="0" w:line="12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With respect to the Series C Warrants, the “Milestone Event” means the later of (a) the Company’s public announcement that the Phase 2a human challenge trial conducted in the United Kingdom met its primary endpoint and (b) the Stockholder Approval Date.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Registration Rights Agreement</w:t>
      </w:r>
    </w:p>
    <w:p>
      <w:pPr>
        <w:spacing w:after="0" w:line="1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In connection with the Securities Purchase Agreement, the Company entered into a Registration Rights Agreement (the “Registration Rights Agreement”) with the Purchaser, pursuant to which the Company agreed to prepare and file with the U.S. Securities and Exchange Commission (the “SEC”) a registration statement covering the resale of the Shares and the shares of Common Stock issuable upon exercise of the Pre-Funded Warrants and the Milestone Warrants (the “Registrable Securities”). The Company is required to file the initial registration statement covering the Registrable Securities as soon as practicable, and in any event no later than the 15th calendar day following the date of the Registration Rights Agreement, and to use commercially reasonable efforts to have such registration statement declared effective as promptly as practicable thereafter, but in any event no later than the 45th calendar day following the date of the Registration Rights Agreement (or the 60th calendar day in the event of a “limited review” by the SEC, or the 90th calendar day in the event of a “full review” by the SEC) (such applicable date, the “Effectiveness Date”).</w:t>
      </w:r>
    </w:p>
    <w:p>
      <w:pPr>
        <w:spacing w:after="0" w:line="1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Registration Rights Agreement provides that, upon the occurrence of certain events described therein, the Company will be obligated to pay to each holder, as partial liquidated damages and not as a penalty, an amount in cash equal to 1.5% of the aggregate subscription amount paid by such holder on the applicable event date and on each monthly anniversary thereof until the applicable event is cured, subject to a maximum aggregate amount of 10.5% of such holder’s aggregate subscription amount and excluding, for purposes of such calculation, any amount attributable to shares underlying Milestone Warrants for which the applicable Milestone Event or Stockholder Approval has not then occurred.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Lock-Up Agreements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In connection with the Private Placement, each of the Company’s executive officers and directors entered into a lock-up agreement in favor of the Placement Agent (each, a “Lock-Up Agreement”), pursuant to which each such person agreed, subject to certain limited exceptions, not to, without the prior written consent of the Placement Agent, directly or indirectly, offer, sell, pledge, transfer or otherwise dispose of, or enter into certain hedging transactions with respect to, any shares of Common Stock or securities convertible into or exercisable or exchangeable for Common Stock, or publicly disclose an intention to do any of the foregoing, for a period of 90 days following the Closing Date.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Placement Agency Agreement</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On June 26, 2026, the Company entered into a Placement Agency Agreement (the “Placement Agency Agreement”) with Curvature Securities, LLC, as placement agent (the “Placement Agent”), pursuant to which the Placement Agent agreed to act as the Company’s sole placement agent on a “reasonable best efforts” basis, in connection with the Private Placement. As compensation for its services, the Company agreed to pay the Placement Agent a cash fee equal to 9.0% of the aggregate gross proceeds received by the Company from the sale of the securities in the Private Placement (a portion of which may be allocated to other registered broker-dealers) and to reimburse the Placement Agent for certain of its accountable expenses (including legal fees) up to $75,000 and non-accountable expenses up to $25,000. The Company also agreed to issue to the Placement Agent or its designees a warrant (the “Placement Agent Warrant”) to purchase a number of shares of Common Stock equal to 6.0% of the aggregate number of Shares (and shares underlying Pre-Funded Warrants) sold in the Private Placement, at an exercise price equal to 125% of the Per Share Purchase Price. The Placement Agent Warrant will be exercisable six months following the issuance date and will expire five years after the commencement of sales in the Private Placement.</w:t>
      </w:r>
    </w:p>
    <w:p>
      <w:pPr>
        <w:spacing w:after="0" w:line="14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The foregoing descriptions of the Securities Purchase Agreement, the Pre-Funded Warrants, the Series A Warrants, the Series B Warrants, the Series C Warrants, the Registration Rights Agreement, the Lock-Up Agreements, the Placement Agency Agreement and the Placement Agent Warrant do not purport to be complete and are qualified in their entirety by reference to the full text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495300</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91" w:right="319" w:bottom="1440" w:gutter="0" w:footer="0" w:header="0"/>
        </w:sectPr>
      </w:pPr>
    </w:p>
    <w:bookmarkStart w:id="3" w:name="page4"/>
    <w:bookmarkEnd w:id="3"/>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agreements or forms of agreements, copies of which are filed as Exhibits 4.1, 4.2, 4.3, 4.4, 4.5, 10.1, 10.2, 10.3 and 10.4, respectively, to this Current Report on Form 8-K and are incorporated herein by reference.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3.02. Unregistered Sales of Equity Securities.</w:t>
      </w:r>
    </w:p>
    <w:p>
      <w:pPr>
        <w:spacing w:after="0" w:line="13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The information set forth in Item 1.01 of this Current Report on Form 8-K is incorporated by reference into this Item 3.02. The Shares, the Pre-Funded Warrants, the Milestone Warrants and the Placement Agent Warrant, and the shares of Common Stock issuable upon exercise thereof, are being offered and sold, or will be issued, without registration under the Securities Act of 1933, as amended (the “Securities Act”), in reliance on the exemption from registration provided by Section 4(a)(2) of the Securities Act as a transaction not involving a public offering and/or Rule 506(b) of Regulation D promulgated thereunder, and in reliance on similar exemptions under applicable state securities laws. Each Purchaser represented that it is an “accredited investor” as defined in Rule 501(a) of Regulation D and that it is acquiring the securities for investment purposes only and not with a view to, or for resale in connection with, any distribution thereof in violation of the Securities Act. The securities have not been registered under the Securities Act or applicable state securities laws and may not be offered or sold in the United States absent registration or an applicable exemption from such registration requirements.</w:t>
      </w:r>
    </w:p>
    <w:p>
      <w:pPr>
        <w:spacing w:after="0" w:line="115"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This Current Report on Form 8-K does not constitute an offer to sell, or the solicitation of an offer to buy, any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26"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On June 26, 2026, the Company issued a press release announcing the Private Placement. A copy of the press release is furnished as Exhibit 99.1 to this Current Report on Form 8-K.</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The information in this Item 7.01, including Exhibit 99.1, shall not be deemed “filed” for purposes of Section 18 of the Securities Exchange Act of 1934, as amended (the “Exchange Act”), or otherwise subject to the liabilities of that section, nor shall it be deemed incorporated by reference into any filing under the Securities Act or the Exchange Act, except as expressly set forth by specific reference in such a filing.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This Current Report on Form 8-K contains “forward-looking statements” within the meaning of the Private Securities Litigation Reform Act of 1995, including statements regarding the expected closing of the Private Placement, the anticipated gross proceeds therefrom and the potential additional proceeds from the exercise of the Milestone Warrants, the anticipated use of proceeds, the timing of the filing and effectiveness of the resale registration statement, the Company’s ability to obtain Stockholder Approval, and the Company’s development plans and milestones. These statements are based on current beliefs and assumptions and are subject to risks and uncertainties that could cause actual results to differ materially, including the risk that the closing conditions to the Private Placement are not satisfied, that the Company does not obtain Stockholder Approval, that the applicable milestones are not achieved, and the other risks and uncertainties described in the Company’s filings with the SEC, including its Annual Report on Form 10-K for the fiscal year ended December 31, 2025, and its subsequent Quarterly Reports on Form 10-Q and Current Reports on Form 8-K. The Company undertakes no obligation to update any forward-looking statements except as required by law.</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 Exhibits.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120" w:type="dxa"/>
            <w:vAlign w:val="bottom"/>
            <w:tcBorders>
              <w:bottom w:val="single" w:sz="8" w:color="CCEEFF"/>
            </w:tcBorders>
          </w:tcPr>
          <w:p>
            <w:pPr>
              <w:spacing w:after="0"/>
              <w:rPr>
                <w:sz w:val="24"/>
                <w:szCs w:val="24"/>
                <w:color w:val="auto"/>
              </w:rPr>
            </w:pPr>
          </w:p>
        </w:tc>
        <w:tc>
          <w:tcPr>
            <w:tcW w:w="996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60" w:type="dxa"/>
            <w:vAlign w:val="bottom"/>
            <w:shd w:val="clear" w:color="auto" w:fill="CCEEFF"/>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4.1</w:t>
            </w:r>
          </w:p>
        </w:tc>
        <w:tc>
          <w:tcPr>
            <w:tcW w:w="120" w:type="dxa"/>
            <w:vAlign w:val="bottom"/>
            <w:shd w:val="clear" w:color="auto" w:fill="CCEEFF"/>
          </w:tcPr>
          <w:p>
            <w:pPr>
              <w:spacing w:after="0"/>
              <w:rPr>
                <w:sz w:val="14"/>
                <w:szCs w:val="14"/>
                <w:color w:val="auto"/>
              </w:rPr>
            </w:pPr>
          </w:p>
        </w:tc>
        <w:tc>
          <w:tcPr>
            <w:tcW w:w="9960" w:type="dxa"/>
            <w:vAlign w:val="bottom"/>
            <w:gridSpan w:val="9"/>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0000FF"/>
              </w:rPr>
              <w:t>Form of Pre-Funded Warrant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1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4.2</w:t>
            </w:r>
          </w:p>
        </w:tc>
        <w:tc>
          <w:tcPr>
            <w:tcW w:w="120" w:type="dxa"/>
            <w:vAlign w:val="bottom"/>
          </w:tcPr>
          <w:p>
            <w:pPr>
              <w:spacing w:after="0"/>
              <w:rPr>
                <w:sz w:val="14"/>
                <w:szCs w:val="14"/>
                <w:color w:val="auto"/>
              </w:rPr>
            </w:pPr>
          </w:p>
        </w:tc>
        <w:tc>
          <w:tcPr>
            <w:tcW w:w="9960" w:type="dxa"/>
            <w:vAlign w:val="bottom"/>
            <w:gridSpan w:val="9"/>
          </w:tcPr>
          <w:p>
            <w:pPr>
              <w:ind w:left="20"/>
              <w:spacing w:after="0" w:line="165" w:lineRule="exact"/>
              <w:rPr>
                <w:sz w:val="20"/>
                <w:szCs w:val="20"/>
                <w:color w:val="auto"/>
              </w:rPr>
            </w:pPr>
            <w:r>
              <w:rPr>
                <w:rFonts w:ascii="Times New Roman" w:cs="Times New Roman" w:eastAsia="Times New Roman" w:hAnsi="Times New Roman"/>
                <w:sz w:val="16"/>
                <w:szCs w:val="16"/>
                <w:color w:val="0000FF"/>
              </w:rPr>
              <w:t>Form of Series A Common Warrant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16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4.3</w:t>
            </w:r>
          </w:p>
        </w:tc>
        <w:tc>
          <w:tcPr>
            <w:tcW w:w="120" w:type="dxa"/>
            <w:vAlign w:val="bottom"/>
            <w:shd w:val="clear" w:color="auto" w:fill="CCEEFF"/>
          </w:tcPr>
          <w:p>
            <w:pPr>
              <w:spacing w:after="0"/>
              <w:rPr>
                <w:sz w:val="14"/>
                <w:szCs w:val="14"/>
                <w:color w:val="auto"/>
              </w:rPr>
            </w:pPr>
          </w:p>
        </w:tc>
        <w:tc>
          <w:tcPr>
            <w:tcW w:w="9960" w:type="dxa"/>
            <w:vAlign w:val="bottom"/>
            <w:gridSpan w:val="9"/>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0000FF"/>
              </w:rPr>
              <w:t>Form of Series B Common Warrant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1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4.4</w:t>
            </w:r>
          </w:p>
        </w:tc>
        <w:tc>
          <w:tcPr>
            <w:tcW w:w="120" w:type="dxa"/>
            <w:vAlign w:val="bottom"/>
          </w:tcPr>
          <w:p>
            <w:pPr>
              <w:spacing w:after="0"/>
              <w:rPr>
                <w:sz w:val="14"/>
                <w:szCs w:val="14"/>
                <w:color w:val="auto"/>
              </w:rPr>
            </w:pPr>
          </w:p>
        </w:tc>
        <w:tc>
          <w:tcPr>
            <w:tcW w:w="9960" w:type="dxa"/>
            <w:vAlign w:val="bottom"/>
            <w:gridSpan w:val="9"/>
          </w:tcPr>
          <w:p>
            <w:pPr>
              <w:ind w:left="20"/>
              <w:spacing w:after="0" w:line="165" w:lineRule="exact"/>
              <w:rPr>
                <w:sz w:val="20"/>
                <w:szCs w:val="20"/>
                <w:color w:val="auto"/>
              </w:rPr>
            </w:pPr>
            <w:r>
              <w:rPr>
                <w:rFonts w:ascii="Times New Roman" w:cs="Times New Roman" w:eastAsia="Times New Roman" w:hAnsi="Times New Roman"/>
                <w:sz w:val="16"/>
                <w:szCs w:val="16"/>
                <w:color w:val="0000FF"/>
              </w:rPr>
              <w:t>Form of Series C Common Warrant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16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4.5</w:t>
            </w:r>
          </w:p>
        </w:tc>
        <w:tc>
          <w:tcPr>
            <w:tcW w:w="120" w:type="dxa"/>
            <w:vAlign w:val="bottom"/>
            <w:shd w:val="clear" w:color="auto" w:fill="CCEEFF"/>
          </w:tcPr>
          <w:p>
            <w:pPr>
              <w:spacing w:after="0"/>
              <w:rPr>
                <w:sz w:val="14"/>
                <w:szCs w:val="14"/>
                <w:color w:val="auto"/>
              </w:rPr>
            </w:pPr>
          </w:p>
        </w:tc>
        <w:tc>
          <w:tcPr>
            <w:tcW w:w="9960" w:type="dxa"/>
            <w:vAlign w:val="bottom"/>
            <w:gridSpan w:val="9"/>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0000FF"/>
              </w:rPr>
              <w:t>Form of Placement Agent Warrant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1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10.1</w:t>
            </w:r>
          </w:p>
        </w:tc>
        <w:tc>
          <w:tcPr>
            <w:tcW w:w="120" w:type="dxa"/>
            <w:vAlign w:val="bottom"/>
          </w:tcPr>
          <w:p>
            <w:pPr>
              <w:spacing w:after="0"/>
              <w:rPr>
                <w:sz w:val="14"/>
                <w:szCs w:val="14"/>
                <w:color w:val="auto"/>
              </w:rPr>
            </w:pPr>
          </w:p>
        </w:tc>
        <w:tc>
          <w:tcPr>
            <w:tcW w:w="9960" w:type="dxa"/>
            <w:vAlign w:val="bottom"/>
            <w:gridSpan w:val="9"/>
          </w:tcPr>
          <w:p>
            <w:pPr>
              <w:ind w:left="20"/>
              <w:spacing w:after="0" w:line="165" w:lineRule="exact"/>
              <w:rPr>
                <w:sz w:val="20"/>
                <w:szCs w:val="20"/>
                <w:color w:val="auto"/>
              </w:rPr>
            </w:pPr>
            <w:r>
              <w:rPr>
                <w:rFonts w:ascii="Times New Roman" w:cs="Times New Roman" w:eastAsia="Times New Roman" w:hAnsi="Times New Roman"/>
                <w:sz w:val="16"/>
                <w:szCs w:val="16"/>
                <w:color w:val="0000FF"/>
              </w:rPr>
              <w:t>Securities Purchase Agreement, dated June 26, 2026, by and between the Company and the Purchase</w:t>
            </w:r>
            <w:r>
              <w:rPr>
                <w:rFonts w:ascii="Times New Roman" w:cs="Times New Roman" w:eastAsia="Times New Roman" w:hAnsi="Times New Roman"/>
                <w:sz w:val="16"/>
                <w:szCs w:val="16"/>
                <w:color w:val="000000"/>
              </w:rPr>
              <w:t>r</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80" w:type="dxa"/>
            <w:vAlign w:val="bottom"/>
            <w:tcBorders>
              <w:top w:val="single" w:sz="8" w:color="0000FF"/>
            </w:tcBorders>
          </w:tcPr>
          <w:p>
            <w:pPr>
              <w:spacing w:after="0"/>
              <w:rPr>
                <w:sz w:val="2"/>
                <w:szCs w:val="2"/>
                <w:color w:val="auto"/>
              </w:rPr>
            </w:pPr>
          </w:p>
        </w:tc>
        <w:tc>
          <w:tcPr>
            <w:tcW w:w="8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16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10.2</w:t>
            </w:r>
          </w:p>
        </w:tc>
        <w:tc>
          <w:tcPr>
            <w:tcW w:w="120" w:type="dxa"/>
            <w:vAlign w:val="bottom"/>
            <w:shd w:val="clear" w:color="auto" w:fill="CCEEFF"/>
          </w:tcPr>
          <w:p>
            <w:pPr>
              <w:spacing w:after="0"/>
              <w:rPr>
                <w:sz w:val="14"/>
                <w:szCs w:val="14"/>
                <w:color w:val="auto"/>
              </w:rPr>
            </w:pPr>
          </w:p>
        </w:tc>
        <w:tc>
          <w:tcPr>
            <w:tcW w:w="9960" w:type="dxa"/>
            <w:vAlign w:val="bottom"/>
            <w:gridSpan w:val="9"/>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0000FF"/>
              </w:rPr>
              <w:t>Registration Rights Agreement, dated June 26, 2026, by and between the Company and the Purchase</w:t>
            </w:r>
            <w:r>
              <w:rPr>
                <w:rFonts w:ascii="Times New Roman" w:cs="Times New Roman" w:eastAsia="Times New Roman" w:hAnsi="Times New Roman"/>
                <w:sz w:val="16"/>
                <w:szCs w:val="16"/>
                <w:color w:val="000000"/>
              </w:rPr>
              <w:t>r</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8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1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10.3</w:t>
            </w:r>
          </w:p>
        </w:tc>
        <w:tc>
          <w:tcPr>
            <w:tcW w:w="120" w:type="dxa"/>
            <w:vAlign w:val="bottom"/>
          </w:tcPr>
          <w:p>
            <w:pPr>
              <w:spacing w:after="0"/>
              <w:rPr>
                <w:sz w:val="14"/>
                <w:szCs w:val="14"/>
                <w:color w:val="auto"/>
              </w:rPr>
            </w:pPr>
          </w:p>
        </w:tc>
        <w:tc>
          <w:tcPr>
            <w:tcW w:w="9960" w:type="dxa"/>
            <w:vAlign w:val="bottom"/>
            <w:gridSpan w:val="9"/>
          </w:tcPr>
          <w:p>
            <w:pPr>
              <w:ind w:left="20"/>
              <w:spacing w:after="0" w:line="165" w:lineRule="exact"/>
              <w:rPr>
                <w:sz w:val="20"/>
                <w:szCs w:val="20"/>
                <w:color w:val="auto"/>
              </w:rPr>
            </w:pPr>
            <w:r>
              <w:rPr>
                <w:rFonts w:ascii="Times New Roman" w:cs="Times New Roman" w:eastAsia="Times New Roman" w:hAnsi="Times New Roman"/>
                <w:sz w:val="16"/>
                <w:szCs w:val="16"/>
                <w:color w:val="0000FF"/>
              </w:rPr>
              <w:t>Form of Lock-Up Agreement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116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10.4</w:t>
            </w:r>
          </w:p>
        </w:tc>
        <w:tc>
          <w:tcPr>
            <w:tcW w:w="120" w:type="dxa"/>
            <w:vAlign w:val="bottom"/>
            <w:shd w:val="clear" w:color="auto" w:fill="CCEEFF"/>
          </w:tcPr>
          <w:p>
            <w:pPr>
              <w:spacing w:after="0"/>
              <w:rPr>
                <w:sz w:val="16"/>
                <w:szCs w:val="16"/>
                <w:color w:val="auto"/>
              </w:rPr>
            </w:pPr>
          </w:p>
        </w:tc>
        <w:tc>
          <w:tcPr>
            <w:tcW w:w="9960" w:type="dxa"/>
            <w:vAlign w:val="bottom"/>
            <w:gridSpan w:val="9"/>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0000FF"/>
              </w:rPr>
              <w:t>Placement Agency Agreement, dated June 26 2026, by and between the Company and Curvature Securities, LLC</w:t>
            </w:r>
          </w:p>
        </w:tc>
        <w:tc>
          <w:tcPr>
            <w:tcW w:w="0" w:type="dxa"/>
            <w:vAlign w:val="bottom"/>
          </w:tcPr>
          <w:p>
            <w:pPr>
              <w:spacing w:after="0"/>
              <w:rPr>
                <w:sz w:val="1"/>
                <w:szCs w:val="1"/>
                <w:color w:val="auto"/>
              </w:rPr>
            </w:pPr>
          </w:p>
        </w:tc>
      </w:tr>
      <w:tr>
        <w:trPr>
          <w:trHeight w:val="666"/>
        </w:trPr>
        <w:tc>
          <w:tcPr>
            <w:tcW w:w="20" w:type="dxa"/>
            <w:vAlign w:val="bottom"/>
          </w:tcPr>
          <w:p>
            <w:pPr>
              <w:spacing w:after="0"/>
              <w:rPr>
                <w:sz w:val="24"/>
                <w:szCs w:val="24"/>
                <w:color w:val="auto"/>
              </w:rPr>
            </w:pPr>
          </w:p>
        </w:tc>
        <w:tc>
          <w:tcPr>
            <w:tcW w:w="116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8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80" w:type="dxa"/>
            <w:vAlign w:val="bottom"/>
            <w:tcBorders>
              <w:top w:val="single" w:sz="8" w:color="0000FF"/>
              <w:bottom w:val="single" w:sz="8" w:color="9A9A9A"/>
            </w:tcBorders>
          </w:tcPr>
          <w:p>
            <w:pPr>
              <w:spacing w:after="0"/>
              <w:rPr>
                <w:sz w:val="24"/>
                <w:szCs w:val="24"/>
                <w:color w:val="auto"/>
              </w:rPr>
            </w:pPr>
          </w:p>
        </w:tc>
        <w:tc>
          <w:tcPr>
            <w:tcW w:w="800" w:type="dxa"/>
            <w:vAlign w:val="bottom"/>
            <w:tcBorders>
              <w:top w:val="single" w:sz="8" w:color="0000FF"/>
              <w:bottom w:val="single" w:sz="8" w:color="9A9A9A"/>
            </w:tcBorders>
          </w:tcPr>
          <w:p>
            <w:pPr>
              <w:spacing w:after="0"/>
              <w:rPr>
                <w:sz w:val="24"/>
                <w:szCs w:val="24"/>
                <w:color w:val="auto"/>
              </w:rPr>
            </w:pPr>
          </w:p>
        </w:tc>
        <w:tc>
          <w:tcPr>
            <w:tcW w:w="2780" w:type="dxa"/>
            <w:vAlign w:val="bottom"/>
            <w:tcBorders>
              <w:top w:val="single" w:sz="8" w:color="CCEEFF"/>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747395</wp:posOffset>
            </wp:positionH>
            <wp:positionV relativeFrom="paragraph">
              <wp:posOffset>-1659255</wp:posOffset>
            </wp:positionV>
            <wp:extent cx="74930" cy="10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4930" cy="10160"/>
                    </a:xfrm>
                    <a:prstGeom prst="rect">
                      <a:avLst/>
                    </a:prstGeom>
                    <a:noFill/>
                  </pic:spPr>
                </pic:pic>
              </a:graphicData>
            </a:graphic>
          </wp:anchor>
        </w:drawing>
      </w:r>
    </w:p>
    <w:p>
      <w:pPr>
        <w:sectPr>
          <w:pgSz w:w="11900" w:h="16838" w:orient="portrait"/>
          <w:cols w:equalWidth="0" w:num="1">
            <w:col w:w="11260"/>
          </w:cols>
          <w:pgMar w:left="320" w:top="691"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1340" w:type="dxa"/>
            <w:vAlign w:val="bottom"/>
          </w:tcPr>
          <w:p>
            <w:pPr>
              <w:jc w:val="center"/>
              <w:ind w:right="101"/>
              <w:spacing w:after="0"/>
              <w:rPr>
                <w:sz w:val="20"/>
                <w:szCs w:val="20"/>
                <w:color w:val="auto"/>
              </w:rPr>
            </w:pPr>
            <w:r>
              <w:rPr>
                <w:rFonts w:ascii="Times New Roman" w:cs="Times New Roman" w:eastAsia="Times New Roman" w:hAnsi="Times New Roman"/>
                <w:sz w:val="16"/>
                <w:szCs w:val="16"/>
                <w:color w:val="auto"/>
                <w:w w:val="99"/>
              </w:rPr>
              <w:t>99.1</w:t>
            </w:r>
          </w:p>
        </w:tc>
        <w:tc>
          <w:tcPr>
            <w:tcW w:w="99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Press Release, dated June 26, 2026</w:t>
            </w: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r>
        <w:trPr>
          <w:trHeight w:val="193"/>
        </w:trPr>
        <w:tc>
          <w:tcPr>
            <w:tcW w:w="1340" w:type="dxa"/>
            <w:vAlign w:val="bottom"/>
          </w:tcPr>
          <w:p>
            <w:pPr>
              <w:jc w:val="center"/>
              <w:ind w:right="101"/>
              <w:spacing w:after="0"/>
              <w:rPr>
                <w:sz w:val="20"/>
                <w:szCs w:val="20"/>
                <w:color w:val="auto"/>
              </w:rPr>
            </w:pPr>
            <w:r>
              <w:rPr>
                <w:rFonts w:ascii="Times New Roman" w:cs="Times New Roman" w:eastAsia="Times New Roman" w:hAnsi="Times New Roman"/>
                <w:sz w:val="16"/>
                <w:szCs w:val="16"/>
                <w:color w:val="auto"/>
                <w:w w:val="99"/>
              </w:rPr>
              <w:t>99.2</w:t>
            </w:r>
          </w:p>
        </w:tc>
        <w:tc>
          <w:tcPr>
            <w:tcW w:w="99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Investor Presentation</w:t>
            </w:r>
          </w:p>
        </w:tc>
      </w:tr>
      <w:tr>
        <w:trPr>
          <w:trHeight w:val="27"/>
        </w:trPr>
        <w:tc>
          <w:tcPr>
            <w:tcW w:w="1340" w:type="dxa"/>
            <w:vAlign w:val="bottom"/>
          </w:tcPr>
          <w:p>
            <w:pPr>
              <w:spacing w:after="0"/>
              <w:rPr>
                <w:sz w:val="2"/>
                <w:szCs w:val="2"/>
                <w:color w:val="auto"/>
              </w:rPr>
            </w:pPr>
          </w:p>
        </w:tc>
        <w:tc>
          <w:tcPr>
            <w:tcW w:w="1320" w:type="dxa"/>
            <w:vAlign w:val="bottom"/>
            <w:tcBorders>
              <w:top w:val="single" w:sz="8" w:color="0000FF"/>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7740" w:type="dxa"/>
            <w:vAlign w:val="bottom"/>
          </w:tcPr>
          <w:p>
            <w:pPr>
              <w:spacing w:after="0"/>
              <w:rPr>
                <w:sz w:val="2"/>
                <w:szCs w:val="2"/>
                <w:color w:val="auto"/>
              </w:rPr>
            </w:pPr>
          </w:p>
        </w:tc>
      </w:tr>
      <w:tr>
        <w:trPr>
          <w:trHeight w:val="213"/>
        </w:trPr>
        <w:tc>
          <w:tcPr>
            <w:tcW w:w="1340" w:type="dxa"/>
            <w:vAlign w:val="bottom"/>
            <w:tcBorders>
              <w:right w:val="single" w:sz="8" w:color="CCEEFF"/>
            </w:tcBorders>
            <w:shd w:val="clear" w:color="auto" w:fill="CCEEFF"/>
          </w:tcPr>
          <w:p>
            <w:pPr>
              <w:jc w:val="center"/>
              <w:ind w:right="101"/>
              <w:spacing w:after="0"/>
              <w:rPr>
                <w:sz w:val="20"/>
                <w:szCs w:val="20"/>
                <w:color w:val="auto"/>
              </w:rPr>
            </w:pPr>
            <w:r>
              <w:rPr>
                <w:rFonts w:ascii="Times New Roman" w:cs="Times New Roman" w:eastAsia="Times New Roman" w:hAnsi="Times New Roman"/>
                <w:sz w:val="16"/>
                <w:szCs w:val="16"/>
                <w:color w:val="auto"/>
                <w:w w:val="99"/>
              </w:rPr>
              <w:t>104</w:t>
            </w:r>
          </w:p>
        </w:tc>
        <w:tc>
          <w:tcPr>
            <w:tcW w:w="9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40" w:type="dxa"/>
            <w:vAlign w:val="bottom"/>
          </w:tcPr>
          <w:p>
            <w:pPr>
              <w:spacing w:after="0"/>
              <w:rPr>
                <w:sz w:val="17"/>
                <w:szCs w:val="17"/>
                <w:color w:val="auto"/>
              </w:rPr>
            </w:pPr>
          </w:p>
        </w:tc>
        <w:tc>
          <w:tcPr>
            <w:tcW w:w="8120" w:type="dxa"/>
            <w:vAlign w:val="bottom"/>
            <w:gridSpan w:val="2"/>
          </w:tcPr>
          <w:p>
            <w:pPr>
              <w:ind w:left="1880"/>
              <w:spacing w:after="0"/>
              <w:rPr>
                <w:sz w:val="20"/>
                <w:szCs w:val="20"/>
                <w:color w:val="auto"/>
              </w:rPr>
            </w:pPr>
            <w:r>
              <w:rPr>
                <w:rFonts w:ascii="Times New Roman" w:cs="Times New Roman" w:eastAsia="Times New Roman" w:hAnsi="Times New Roman"/>
                <w:sz w:val="16"/>
                <w:szCs w:val="16"/>
                <w:color w:val="auto"/>
              </w:rPr>
              <w:t>D</w:t>
            </w:r>
            <w:r>
              <w:rPr>
                <w:rFonts w:ascii="Times New Roman" w:cs="Times New Roman" w:eastAsia="Times New Roman" w:hAnsi="Times New Roman"/>
                <w:sz w:val="10"/>
                <w:szCs w:val="10"/>
                <w:color w:val="auto"/>
              </w:rPr>
              <w:t>ecoy</w:t>
            </w:r>
            <w:r>
              <w:rPr>
                <w:rFonts w:ascii="Times New Roman" w:cs="Times New Roman" w:eastAsia="Times New Roman" w:hAnsi="Times New Roman"/>
                <w:sz w:val="16"/>
                <w:szCs w:val="16"/>
                <w:color w:val="auto"/>
              </w:rPr>
              <w:t xml:space="preserve"> T</w:t>
            </w:r>
            <w:r>
              <w:rPr>
                <w:rFonts w:ascii="Times New Roman" w:cs="Times New Roman" w:eastAsia="Times New Roman" w:hAnsi="Times New Roman"/>
                <w:sz w:val="10"/>
                <w:szCs w:val="10"/>
                <w:color w:val="auto"/>
              </w:rPr>
              <w:t>herapeutics inc</w:t>
            </w:r>
            <w:r>
              <w:rPr>
                <w:rFonts w:ascii="Times New Roman" w:cs="Times New Roman" w:eastAsia="Times New Roman" w:hAnsi="Times New Roman"/>
                <w:sz w:val="16"/>
                <w:szCs w:val="16"/>
                <w:color w:val="auto"/>
              </w:rPr>
              <w:t>.</w:t>
            </w:r>
          </w:p>
        </w:tc>
      </w:tr>
      <w:tr>
        <w:trPr>
          <w:trHeight w:val="567"/>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Date: June 29, 2026</w:t>
            </w:r>
          </w:p>
        </w:tc>
        <w:tc>
          <w:tcPr>
            <w:tcW w:w="8120" w:type="dxa"/>
            <w:vAlign w:val="bottom"/>
            <w:gridSpan w:val="2"/>
          </w:tcPr>
          <w:p>
            <w:pPr>
              <w:ind w:left="188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i w:val="1"/>
                <w:iCs w:val="1"/>
                <w:color w:val="auto"/>
              </w:rPr>
              <w:t>/s/ Mark J. Rosenblum</w:t>
            </w:r>
          </w:p>
        </w:tc>
      </w:tr>
      <w:tr>
        <w:trPr>
          <w:trHeight w:val="165"/>
        </w:trPr>
        <w:tc>
          <w:tcPr>
            <w:tcW w:w="31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82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6"/>
                <w:szCs w:val="16"/>
                <w:color w:val="auto"/>
              </w:rPr>
              <w:t>Mark J. Rosenblum</w:t>
            </w:r>
          </w:p>
        </w:tc>
      </w:tr>
      <w:tr>
        <w:trPr>
          <w:trHeight w:val="206"/>
        </w:trPr>
        <w:tc>
          <w:tcPr>
            <w:tcW w:w="31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r>
      <w:tr>
        <w:trPr>
          <w:trHeight w:val="1044"/>
        </w:trPr>
        <w:tc>
          <w:tcPr>
            <w:tcW w:w="31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5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b w:val="1"/>
          <w:bCs w:val="1"/>
          <w:color w:val="auto"/>
        </w:rPr>
        <w:t>NEITHER THIS SECURITY NOR THE SECURITIES FOR WHICH THIS SECURITY IS EXERCISABLE HAVE BEEN REGISTERED WITH THE U.S.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PRE-FUNDED COMMON STOCK PURCHASE WARRANT</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DECOY THERAPEUTICS INC.</w:t>
      </w:r>
    </w:p>
    <w:p>
      <w:pPr>
        <w:spacing w:after="0" w:line="194" w:lineRule="exact"/>
        <w:rPr>
          <w:sz w:val="20"/>
          <w:szCs w:val="20"/>
          <w:color w:val="auto"/>
        </w:rPr>
      </w:pPr>
    </w:p>
    <w:p>
      <w:pPr>
        <w:spacing w:after="0"/>
        <w:tabs>
          <w:tab w:leader="none" w:pos="9860" w:val="left"/>
        </w:tabs>
        <w:rPr>
          <w:sz w:val="20"/>
          <w:szCs w:val="20"/>
          <w:color w:val="auto"/>
        </w:rPr>
      </w:pPr>
      <w:r>
        <w:rPr>
          <w:rFonts w:ascii="Times New Roman" w:cs="Times New Roman" w:eastAsia="Times New Roman" w:hAnsi="Times New Roman"/>
          <w:sz w:val="16"/>
          <w:szCs w:val="16"/>
          <w:b w:val="1"/>
          <w:bCs w:val="1"/>
          <w:color w:val="auto"/>
        </w:rPr>
        <w:t xml:space="preserve">Warrant Shares: </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5"/>
          <w:szCs w:val="15"/>
          <w:b w:val="1"/>
          <w:bCs w:val="1"/>
          <w:color w:val="auto"/>
        </w:rPr>
        <w:t xml:space="preserve">Issue Date: </w:t>
      </w:r>
      <w:r>
        <w:rPr>
          <w:rFonts w:ascii="Times New Roman" w:cs="Times New Roman" w:eastAsia="Times New Roman" w:hAnsi="Times New Roman"/>
          <w:sz w:val="15"/>
          <w:szCs w:val="15"/>
          <w:color w:val="auto"/>
        </w:rPr>
        <w:t>[·], 2026</w:t>
      </w:r>
    </w:p>
    <w:p>
      <w:pPr>
        <w:spacing w:after="0" w:line="196" w:lineRule="exact"/>
        <w:rPr>
          <w:sz w:val="20"/>
          <w:szCs w:val="20"/>
          <w:color w:val="auto"/>
        </w:rPr>
      </w:pPr>
    </w:p>
    <w:p>
      <w:pPr>
        <w:jc w:val="both"/>
        <w:ind w:right="20" w:firstLine="1501"/>
        <w:spacing w:after="0" w:line="254" w:lineRule="auto"/>
        <w:rPr>
          <w:sz w:val="20"/>
          <w:szCs w:val="20"/>
          <w:color w:val="auto"/>
        </w:rPr>
      </w:pPr>
      <w:r>
        <w:rPr>
          <w:rFonts w:ascii="Times New Roman" w:cs="Times New Roman" w:eastAsia="Times New Roman" w:hAnsi="Times New Roman"/>
          <w:sz w:val="16"/>
          <w:szCs w:val="16"/>
          <w:color w:val="auto"/>
        </w:rPr>
        <w:t>THIS PRE-FUNDED COMMON STOCK PURCHASE WARRANT (the “</w:t>
      </w:r>
      <w:r>
        <w:rPr>
          <w:rFonts w:ascii="Times New Roman" w:cs="Times New Roman" w:eastAsia="Times New Roman" w:hAnsi="Times New Roman"/>
          <w:sz w:val="16"/>
          <w:szCs w:val="16"/>
          <w:u w:val="single" w:color="auto"/>
          <w:color w:val="auto"/>
        </w:rPr>
        <w:t>Warrant</w:t>
      </w:r>
      <w:r>
        <w:rPr>
          <w:rFonts w:ascii="Times New Roman" w:cs="Times New Roman" w:eastAsia="Times New Roman" w:hAnsi="Times New Roman"/>
          <w:sz w:val="16"/>
          <w:szCs w:val="16"/>
          <w:color w:val="auto"/>
        </w:rPr>
        <w:t>”) certifies that, for value received, or its assigns (the “</w:t>
      </w:r>
      <w:r>
        <w:rPr>
          <w:rFonts w:ascii="Times New Roman" w:cs="Times New Roman" w:eastAsia="Times New Roman" w:hAnsi="Times New Roman"/>
          <w:sz w:val="16"/>
          <w:szCs w:val="16"/>
          <w:u w:val="single" w:color="auto"/>
          <w:color w:val="auto"/>
        </w:rPr>
        <w:t>Holder</w:t>
      </w:r>
      <w:r>
        <w:rPr>
          <w:rFonts w:ascii="Times New Roman" w:cs="Times New Roman" w:eastAsia="Times New Roman" w:hAnsi="Times New Roman"/>
          <w:sz w:val="16"/>
          <w:szCs w:val="16"/>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6"/>
          <w:szCs w:val="16"/>
          <w:u w:val="single" w:color="auto"/>
          <w:color w:val="auto"/>
        </w:rPr>
        <w:t>Initial Exercise Date</w:t>
      </w:r>
      <w:r>
        <w:rPr>
          <w:rFonts w:ascii="Times New Roman" w:cs="Times New Roman" w:eastAsia="Times New Roman" w:hAnsi="Times New Roman"/>
          <w:sz w:val="16"/>
          <w:szCs w:val="16"/>
          <w:color w:val="auto"/>
        </w:rPr>
        <w:t>”) and until this Warrant is exercised in full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xml:space="preserve">”) but not thereafter, to subscribe for and purchase from </w:t>
      </w:r>
      <w:r>
        <w:rPr>
          <w:rFonts w:ascii="Times New Roman" w:cs="Times New Roman" w:eastAsia="Times New Roman" w:hAnsi="Times New Roman"/>
          <w:sz w:val="16"/>
          <w:szCs w:val="16"/>
          <w:b w:val="1"/>
          <w:bCs w:val="1"/>
          <w:color w:val="auto"/>
        </w:rPr>
        <w:t>DECOY THERAPEUTICS INC.,</w:t>
      </w:r>
      <w:r>
        <w:rPr>
          <w:rFonts w:ascii="Times New Roman" w:cs="Times New Roman" w:eastAsia="Times New Roman" w:hAnsi="Times New Roman"/>
          <w:sz w:val="16"/>
          <w:szCs w:val="16"/>
          <w:color w:val="auto"/>
        </w:rPr>
        <w:t xml:space="preserve">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up to [·] shares (as subject to adjustment hereunder, the “</w:t>
      </w:r>
      <w:r>
        <w:rPr>
          <w:rFonts w:ascii="Times New Roman" w:cs="Times New Roman" w:eastAsia="Times New Roman" w:hAnsi="Times New Roman"/>
          <w:sz w:val="16"/>
          <w:szCs w:val="16"/>
          <w:u w:val="single" w:color="auto"/>
          <w:color w:val="auto"/>
        </w:rPr>
        <w:t>Warrant Shares</w:t>
      </w:r>
      <w:r>
        <w:rPr>
          <w:rFonts w:ascii="Times New Roman" w:cs="Times New Roman" w:eastAsia="Times New Roman" w:hAnsi="Times New Roman"/>
          <w:sz w:val="16"/>
          <w:szCs w:val="16"/>
          <w:color w:val="auto"/>
        </w:rPr>
        <w:t>”) of the Company’s Common Stock. The purchase price of one share of Common Stock under this Warrant shall be equal to the Exercise Price, as defined in Section 2(b).</w:t>
      </w:r>
    </w:p>
    <w:p>
      <w:pPr>
        <w:spacing w:after="0" w:line="162" w:lineRule="exact"/>
        <w:rPr>
          <w:sz w:val="20"/>
          <w:szCs w:val="20"/>
          <w:color w:val="auto"/>
        </w:rPr>
      </w:pPr>
    </w:p>
    <w:p>
      <w:pPr>
        <w:jc w:val="both"/>
        <w:ind w:right="20" w:firstLine="751"/>
        <w:spacing w:after="0" w:line="276" w:lineRule="auto"/>
        <w:rPr>
          <w:sz w:val="20"/>
          <w:szCs w:val="20"/>
          <w:color w:val="auto"/>
        </w:rPr>
      </w:pP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6"/>
          <w:szCs w:val="16"/>
          <w:u w:val="single" w:color="auto"/>
          <w:color w:val="auto"/>
        </w:rPr>
        <w:t>Purchase Agreement</w:t>
      </w:r>
      <w:r>
        <w:rPr>
          <w:rFonts w:ascii="Times New Roman" w:cs="Times New Roman" w:eastAsia="Times New Roman" w:hAnsi="Times New Roman"/>
          <w:sz w:val="16"/>
          <w:szCs w:val="16"/>
          <w:color w:val="auto"/>
        </w:rPr>
        <w:t>”), dated June [·], 2026, among the Company and the purchaser signatory thereto.</w:t>
      </w:r>
    </w:p>
    <w:p>
      <w:pPr>
        <w:spacing w:after="0" w:line="1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Exercise</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right="3760" w:hanging="35"/>
        <w:spacing w:after="0" w:line="493"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4904-0996-4215, v.4 DOCPROPERTY "CUS_DocIDChunk0" 76095611.1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386080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386" w:lineRule="exact"/>
        <w:rPr>
          <w:sz w:val="20"/>
          <w:szCs w:val="20"/>
          <w:color w:val="auto"/>
        </w:rPr>
      </w:pPr>
    </w:p>
    <w:p>
      <w:pPr>
        <w:jc w:val="both"/>
        <w:ind w:left="260" w:hanging="187"/>
        <w:spacing w:after="0" w:line="248" w:lineRule="auto"/>
        <w:tabs>
          <w:tab w:leader="none" w:pos="2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of Warrant</w:t>
      </w:r>
      <w:r>
        <w:rPr>
          <w:rFonts w:ascii="Times New Roman" w:cs="Times New Roman" w:eastAsia="Times New Roman" w:hAnsi="Times New Roman"/>
          <w:sz w:val="16"/>
          <w:szCs w:val="16"/>
          <w:color w:val="auto"/>
        </w:rPr>
        <w:t xml:space="preserve">.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Notice of Exercise</w:t>
      </w:r>
      <w:r>
        <w:rPr>
          <w:rFonts w:ascii="Times New Roman" w:cs="Times New Roman" w:eastAsia="Times New Roman" w:hAnsi="Times New Roman"/>
          <w:sz w:val="16"/>
          <w:szCs w:val="16"/>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this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6"/>
          <w:szCs w:val="16"/>
          <w:b w:val="1"/>
          <w:bCs w:val="1"/>
          <w:color w:val="auto"/>
        </w:rPr>
        <w:t>The Holder and any assignee, by acceptance of this Warrant, acknowledge and agree that, by reason of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provisions of this paragraph, following the purchase of a portion of the Warrant Shares hereunder, the number of Warrant Shares available for purchase hereunder at any given time may be less than the amount stated on the face hereof.</w:t>
      </w:r>
    </w:p>
    <w:p>
      <w:pPr>
        <w:spacing w:after="0" w:line="175" w:lineRule="exact"/>
        <w:rPr>
          <w:rFonts w:ascii="Times New Roman" w:cs="Times New Roman" w:eastAsia="Times New Roman" w:hAnsi="Times New Roman"/>
          <w:sz w:val="16"/>
          <w:szCs w:val="16"/>
          <w:color w:val="auto"/>
        </w:rPr>
      </w:pPr>
    </w:p>
    <w:p>
      <w:pPr>
        <w:jc w:val="both"/>
        <w:ind w:left="280" w:hanging="207"/>
        <w:spacing w:after="0" w:line="254" w:lineRule="auto"/>
        <w:tabs>
          <w:tab w:leader="none" w:pos="2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Price</w:t>
      </w:r>
      <w:r>
        <w:rPr>
          <w:rFonts w:ascii="Times New Roman" w:cs="Times New Roman" w:eastAsia="Times New Roman" w:hAnsi="Times New Roman"/>
          <w:sz w:val="16"/>
          <w:szCs w:val="16"/>
          <w:color w:val="auto"/>
        </w:rPr>
        <w:t>. The aggregate exercise price of this Warrant, except for a nominal exercise price of $0.0001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share of Common Stock under this Warrant shall be $0.0001, subject to adjustment hereunder (the “</w:t>
      </w:r>
      <w:r>
        <w:rPr>
          <w:rFonts w:ascii="Times New Roman" w:cs="Times New Roman" w:eastAsia="Times New Roman" w:hAnsi="Times New Roman"/>
          <w:sz w:val="16"/>
          <w:szCs w:val="16"/>
          <w:u w:val="single" w:color="auto"/>
          <w:color w:val="auto"/>
        </w:rPr>
        <w:t>Exercise Price</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color w:val="auto"/>
        </w:rPr>
      </w:pPr>
    </w:p>
    <w:p>
      <w:pPr>
        <w:jc w:val="both"/>
        <w:ind w:left="260" w:hanging="187"/>
        <w:spacing w:after="0" w:line="261" w:lineRule="auto"/>
        <w:tabs>
          <w:tab w:leader="none" w:pos="2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Cashless Exercise</w:t>
      </w:r>
      <w:r>
        <w:rPr>
          <w:rFonts w:ascii="Times New Roman" w:cs="Times New Roman" w:eastAsia="Times New Roman" w:hAnsi="Times New Roman"/>
          <w:sz w:val="16"/>
          <w:szCs w:val="16"/>
          <w:color w:val="auto"/>
        </w:rPr>
        <w:t>. If at the time of exercise hereof there is no effective registration statement registering, or the prospectus contained therein is not available for the issuance or resale of the Warrant Shares to or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57" w:lineRule="exact"/>
        <w:rPr>
          <w:sz w:val="20"/>
          <w:szCs w:val="20"/>
          <w:color w:val="auto"/>
        </w:rPr>
      </w:pPr>
    </w:p>
    <w:p>
      <w:pPr>
        <w:jc w:val="both"/>
        <w:ind w:left="540" w:hanging="459"/>
        <w:spacing w:after="0" w:line="250" w:lineRule="auto"/>
        <w:tabs>
          <w:tab w:leader="none" w:pos="520" w:val="left"/>
        </w:tabs>
        <w:rPr>
          <w:sz w:val="20"/>
          <w:szCs w:val="20"/>
          <w:color w:val="auto"/>
        </w:rPr>
      </w:pPr>
      <w:r>
        <w:rPr>
          <w:rFonts w:ascii="Times New Roman" w:cs="Times New Roman" w:eastAsia="Times New Roman" w:hAnsi="Times New Roman"/>
          <w:sz w:val="16"/>
          <w:szCs w:val="16"/>
          <w:color w:val="auto"/>
        </w:rPr>
        <w:t>(A)=</w:t>
        <w:tab/>
        <w:t>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right="3760" w:hanging="35"/>
        <w:spacing w:after="0" w:line="493"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4904-0996-4215, v.4 DOCPROPERTY "CUS_DocIDChunk0" 76095611.1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386080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689" w:right="319" w:bottom="1440" w:gutter="0" w:footer="0" w:header="0"/>
        </w:sectPr>
      </w:pPr>
    </w:p>
    <w:bookmarkStart w:id="7" w:name="page8"/>
    <w:bookmarkEnd w:id="7"/>
    <w:tbl>
      <w:tblPr>
        <w:tblLayout w:type="fixed"/>
        <w:tblInd w:w="120" w:type="dxa"/>
        <w:tblCellMar>
          <w:top w:w="0" w:type="dxa"/>
          <w:left w:w="0" w:type="dxa"/>
          <w:bottom w:w="0" w:type="dxa"/>
          <w:right w:w="0" w:type="dxa"/>
        </w:tblCellMar>
      </w:tblPr>
      <w:tr>
        <w:trPr>
          <w:trHeight w:val="208"/>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tc>
      </w:tr>
      <w:tr>
        <w:trPr>
          <w:trHeight w:val="757"/>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(B)=</w:t>
            </w:r>
          </w:p>
        </w:tc>
        <w:tc>
          <w:tcPr>
            <w:tcW w:w="107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the Exercise Price of this Warrant, as adjusted hereunder; and</w:t>
            </w:r>
          </w:p>
        </w:tc>
      </w:tr>
      <w:tr>
        <w:trPr>
          <w:trHeight w:val="361"/>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(X)=</w:t>
            </w:r>
          </w:p>
        </w:tc>
        <w:tc>
          <w:tcPr>
            <w:tcW w:w="10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the number of Warrant Shares that would be issuable upon exercise of this Warrant in accordance with the terms of this Warrant if such exercise were by means of a</w:t>
            </w:r>
          </w:p>
        </w:tc>
      </w:tr>
      <w:tr>
        <w:trPr>
          <w:trHeight w:val="206"/>
        </w:trPr>
        <w:tc>
          <w:tcPr>
            <w:tcW w:w="380" w:type="dxa"/>
            <w:vAlign w:val="bottom"/>
          </w:tcPr>
          <w:p>
            <w:pPr>
              <w:spacing w:after="0"/>
              <w:rPr>
                <w:sz w:val="17"/>
                <w:szCs w:val="17"/>
                <w:color w:val="auto"/>
              </w:rPr>
            </w:pPr>
          </w:p>
        </w:tc>
        <w:tc>
          <w:tcPr>
            <w:tcW w:w="107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cash exercise rather than a cashless exercise.</w:t>
            </w:r>
          </w:p>
        </w:tc>
      </w:tr>
      <w:tr>
        <w:trPr>
          <w:trHeight w:val="342"/>
        </w:trPr>
        <w:tc>
          <w:tcPr>
            <w:tcW w:w="380" w:type="dxa"/>
            <w:vAlign w:val="bottom"/>
          </w:tcPr>
          <w:p>
            <w:pPr>
              <w:spacing w:after="0"/>
              <w:rPr>
                <w:sz w:val="24"/>
                <w:szCs w:val="24"/>
                <w:color w:val="auto"/>
              </w:rPr>
            </w:pPr>
          </w:p>
        </w:tc>
        <w:tc>
          <w:tcPr>
            <w:tcW w:w="10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“Bid Price” means, for any date, the price determined by the first of the following clauses that applies: (a) if the Common Stock is then listed or quoted on</w:t>
            </w:r>
          </w:p>
        </w:tc>
      </w:tr>
      <w:tr>
        <w:trPr>
          <w:trHeight w:val="20"/>
        </w:trPr>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r>
      <w:tr>
        <w:trPr>
          <w:trHeight w:val="188"/>
        </w:trPr>
        <w:tc>
          <w:tcPr>
            <w:tcW w:w="380" w:type="dxa"/>
            <w:vAlign w:val="bottom"/>
          </w:tcPr>
          <w:p>
            <w:pPr>
              <w:spacing w:after="0"/>
              <w:rPr>
                <w:sz w:val="16"/>
                <w:szCs w:val="16"/>
                <w:color w:val="auto"/>
              </w:rPr>
            </w:pPr>
          </w:p>
        </w:tc>
        <w:tc>
          <w:tcPr>
            <w:tcW w:w="10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a Trading Market, the bid price of the Common Stock for the time in question (or the nearest preceding date) on the Trading Market on which the Common Stock is</w:t>
            </w:r>
          </w:p>
        </w:tc>
      </w:tr>
      <w:tr>
        <w:trPr>
          <w:trHeight w:val="189"/>
        </w:trPr>
        <w:tc>
          <w:tcPr>
            <w:tcW w:w="380" w:type="dxa"/>
            <w:vAlign w:val="bottom"/>
          </w:tcPr>
          <w:p>
            <w:pPr>
              <w:spacing w:after="0"/>
              <w:rPr>
                <w:sz w:val="16"/>
                <w:szCs w:val="16"/>
                <w:color w:val="auto"/>
              </w:rPr>
            </w:pPr>
          </w:p>
        </w:tc>
        <w:tc>
          <w:tcPr>
            <w:tcW w:w="10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then listed or quoted as reported by Bloomberg L.P. (based on a Trading Day from 9:30 a.m. (New York City time) to 4:02 p.m. (New York City time)), (b) if</w:t>
            </w:r>
          </w:p>
        </w:tc>
      </w:tr>
      <w:tr>
        <w:trPr>
          <w:trHeight w:val="189"/>
        </w:trPr>
        <w:tc>
          <w:tcPr>
            <w:tcW w:w="380" w:type="dxa"/>
            <w:vAlign w:val="bottom"/>
          </w:tcPr>
          <w:p>
            <w:pPr>
              <w:spacing w:after="0"/>
              <w:rPr>
                <w:sz w:val="16"/>
                <w:szCs w:val="16"/>
                <w:color w:val="auto"/>
              </w:rPr>
            </w:pPr>
          </w:p>
        </w:tc>
        <w:tc>
          <w:tcPr>
            <w:tcW w:w="10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OTCQB or OTCQX is not a Trading Market, the volume weighted average price of the Common Stock for such date (or the nearest preceding date) on OTCQB or</w:t>
            </w:r>
          </w:p>
        </w:tc>
      </w:tr>
      <w:tr>
        <w:trPr>
          <w:trHeight w:val="189"/>
        </w:trPr>
        <w:tc>
          <w:tcPr>
            <w:tcW w:w="380" w:type="dxa"/>
            <w:vAlign w:val="bottom"/>
          </w:tcPr>
          <w:p>
            <w:pPr>
              <w:spacing w:after="0"/>
              <w:rPr>
                <w:sz w:val="16"/>
                <w:szCs w:val="16"/>
                <w:color w:val="auto"/>
              </w:rPr>
            </w:pPr>
          </w:p>
        </w:tc>
        <w:tc>
          <w:tcPr>
            <w:tcW w:w="10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OTCQX as applicable, (c) if the Common Stock is not then listed or quoted for trading on OTCQB or OTCQX and if prices for the Common Stock are then reported</w:t>
            </w:r>
          </w:p>
        </w:tc>
      </w:tr>
      <w:tr>
        <w:trPr>
          <w:trHeight w:val="189"/>
        </w:trPr>
        <w:tc>
          <w:tcPr>
            <w:tcW w:w="380" w:type="dxa"/>
            <w:vAlign w:val="bottom"/>
          </w:tcPr>
          <w:p>
            <w:pPr>
              <w:spacing w:after="0"/>
              <w:rPr>
                <w:sz w:val="16"/>
                <w:szCs w:val="16"/>
                <w:color w:val="auto"/>
              </w:rPr>
            </w:pPr>
          </w:p>
        </w:tc>
        <w:tc>
          <w:tcPr>
            <w:tcW w:w="10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on The Pink Open Market (or a similar organization or agency succeeding to its functions of reporting prices), the most recent bid price per share of the Common</w:t>
            </w:r>
          </w:p>
        </w:tc>
      </w:tr>
      <w:tr>
        <w:trPr>
          <w:trHeight w:val="189"/>
        </w:trPr>
        <w:tc>
          <w:tcPr>
            <w:tcW w:w="380" w:type="dxa"/>
            <w:vAlign w:val="bottom"/>
          </w:tcPr>
          <w:p>
            <w:pPr>
              <w:spacing w:after="0"/>
              <w:rPr>
                <w:sz w:val="16"/>
                <w:szCs w:val="16"/>
                <w:color w:val="auto"/>
              </w:rPr>
            </w:pPr>
          </w:p>
        </w:tc>
        <w:tc>
          <w:tcPr>
            <w:tcW w:w="10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Stock so reported, or (d) in all other cases, the fair market value of a share of Common Stock as determined by an independent appraiser selected in good faith by the</w:t>
            </w:r>
          </w:p>
        </w:tc>
      </w:tr>
      <w:tr>
        <w:trPr>
          <w:trHeight w:val="189"/>
        </w:trPr>
        <w:tc>
          <w:tcPr>
            <w:tcW w:w="380" w:type="dxa"/>
            <w:vAlign w:val="bottom"/>
          </w:tcPr>
          <w:p>
            <w:pPr>
              <w:spacing w:after="0"/>
              <w:rPr>
                <w:sz w:val="16"/>
                <w:szCs w:val="16"/>
                <w:color w:val="auto"/>
              </w:rPr>
            </w:pPr>
          </w:p>
        </w:tc>
        <w:tc>
          <w:tcPr>
            <w:tcW w:w="10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Holders of a majority in interest of the Securities then outstanding and reasonably acceptable to the Company, the fees and expenses of which shall be paid by the</w:t>
            </w:r>
          </w:p>
        </w:tc>
      </w:tr>
      <w:tr>
        <w:trPr>
          <w:trHeight w:val="206"/>
        </w:trPr>
        <w:tc>
          <w:tcPr>
            <w:tcW w:w="380" w:type="dxa"/>
            <w:vAlign w:val="bottom"/>
          </w:tcPr>
          <w:p>
            <w:pPr>
              <w:spacing w:after="0"/>
              <w:rPr>
                <w:sz w:val="17"/>
                <w:szCs w:val="17"/>
                <w:color w:val="auto"/>
              </w:rPr>
            </w:pPr>
          </w:p>
        </w:tc>
        <w:tc>
          <w:tcPr>
            <w:tcW w:w="10760" w:type="dxa"/>
            <w:vAlign w:val="bottom"/>
            <w:gridSpan w:val="3"/>
          </w:tcPr>
          <w:p>
            <w:pPr>
              <w:jc w:val="right"/>
              <w:ind w:right="9781"/>
              <w:spacing w:after="0"/>
              <w:rPr>
                <w:sz w:val="20"/>
                <w:szCs w:val="20"/>
                <w:color w:val="auto"/>
              </w:rPr>
            </w:pPr>
            <w:r>
              <w:rPr>
                <w:rFonts w:ascii="Times New Roman" w:cs="Times New Roman" w:eastAsia="Times New Roman" w:hAnsi="Times New Roman"/>
                <w:sz w:val="16"/>
                <w:szCs w:val="16"/>
                <w:color w:val="auto"/>
              </w:rPr>
              <w:t>Company.</w:t>
            </w:r>
          </w:p>
        </w:tc>
      </w:tr>
    </w:tbl>
    <w:p>
      <w:pPr>
        <w:spacing w:after="0" w:line="172" w:lineRule="exact"/>
        <w:rPr>
          <w:sz w:val="20"/>
          <w:szCs w:val="20"/>
          <w:color w:val="auto"/>
        </w:rPr>
      </w:pPr>
    </w:p>
    <w:p>
      <w:pPr>
        <w:jc w:val="both"/>
        <w:ind w:firstLine="751"/>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VWAP</w:t>
      </w:r>
      <w:r>
        <w:rPr>
          <w:rFonts w:ascii="Times New Roman" w:cs="Times New Roman" w:eastAsia="Times New Roman" w:hAnsi="Times New Roman"/>
          <w:sz w:val="16"/>
          <w:szCs w:val="16"/>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64" w:lineRule="exact"/>
        <w:rPr>
          <w:sz w:val="20"/>
          <w:szCs w:val="20"/>
          <w:color w:val="auto"/>
        </w:rPr>
      </w:pPr>
    </w:p>
    <w:p>
      <w:pPr>
        <w:jc w:val="both"/>
        <w:ind w:firstLine="751"/>
        <w:spacing w:after="0" w:line="276" w:lineRule="auto"/>
        <w:rPr>
          <w:sz w:val="20"/>
          <w:szCs w:val="20"/>
          <w:color w:val="auto"/>
        </w:rPr>
      </w:pPr>
      <w:r>
        <w:rPr>
          <w:rFonts w:ascii="Times New Roman" w:cs="Times New Roman" w:eastAsia="Times New Roman" w:hAnsi="Times New Roman"/>
          <w:sz w:val="16"/>
          <w:szCs w:val="16"/>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45" w:lineRule="exact"/>
        <w:rPr>
          <w:sz w:val="20"/>
          <w:szCs w:val="20"/>
          <w:color w:val="auto"/>
        </w:rPr>
      </w:pPr>
    </w:p>
    <w:p>
      <w:pPr>
        <w:ind w:left="1040" w:hanging="927"/>
        <w:spacing w:after="0"/>
        <w:tabs>
          <w:tab w:leader="none" w:pos="10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Mechanics of Exercise</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ind w:left="1880" w:firstLine="750"/>
        <w:spacing w:after="0" w:line="251" w:lineRule="auto"/>
        <w:rPr>
          <w:sz w:val="20"/>
          <w:szCs w:val="20"/>
          <w:color w:val="auto"/>
        </w:rPr>
      </w:pPr>
      <w:r>
        <w:rPr>
          <w:rFonts w:ascii="Times New Roman" w:cs="Times New Roman" w:eastAsia="Times New Roman" w:hAnsi="Times New Roman"/>
          <w:sz w:val="16"/>
          <w:szCs w:val="16"/>
          <w:color w:val="auto"/>
        </w:rPr>
        <w:t xml:space="preserve">i. </w:t>
      </w:r>
      <w:r>
        <w:rPr>
          <w:rFonts w:ascii="Times New Roman" w:cs="Times New Roman" w:eastAsia="Times New Roman" w:hAnsi="Times New Roman"/>
          <w:sz w:val="16"/>
          <w:szCs w:val="16"/>
          <w:u w:val="single" w:color="auto"/>
          <w:color w:val="auto"/>
        </w:rPr>
        <w:t>Delivery of Warrant Shares Upon Exercise</w:t>
      </w:r>
      <w:r>
        <w:rPr>
          <w:rFonts w:ascii="Times New Roman" w:cs="Times New Roman" w:eastAsia="Times New Roman" w:hAnsi="Times New Roman"/>
          <w:sz w:val="16"/>
          <w:szCs w:val="16"/>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6"/>
          <w:szCs w:val="16"/>
          <w:u w:val="single" w:color="auto"/>
          <w:color w:val="auto"/>
        </w:rPr>
        <w:t>DWAC</w:t>
      </w:r>
      <w:r>
        <w:rPr>
          <w:rFonts w:ascii="Times New Roman" w:cs="Times New Roman" w:eastAsia="Times New Roman" w:hAnsi="Times New Roman"/>
          <w:sz w:val="16"/>
          <w:szCs w:val="16"/>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(A) the earlier of (i) one (1) Trading Day and (ii) the number of days comprising the Standard Settlement Period, in each case after the delivery to the Company of the Notice of</w:t>
      </w:r>
    </w:p>
    <w:p>
      <w:pPr>
        <w:spacing w:after="0" w:line="200" w:lineRule="exact"/>
        <w:rPr>
          <w:sz w:val="20"/>
          <w:szCs w:val="20"/>
          <w:color w:val="auto"/>
        </w:rPr>
      </w:pPr>
    </w:p>
    <w:p>
      <w:pPr>
        <w:spacing w:after="0" w:line="382" w:lineRule="exact"/>
        <w:rPr>
          <w:sz w:val="20"/>
          <w:szCs w:val="20"/>
          <w:color w:val="auto"/>
        </w:rPr>
      </w:pPr>
    </w:p>
    <w:p>
      <w:pPr>
        <w:ind w:left="60" w:right="3760" w:hanging="35"/>
        <w:spacing w:after="0" w:line="493"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4904-0996-4215, v.4 DOCPROPERTY "CUS_DocIDChunk0" 76095611.1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386080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386" w:lineRule="exact"/>
        <w:rPr>
          <w:sz w:val="20"/>
          <w:szCs w:val="20"/>
          <w:color w:val="auto"/>
        </w:rPr>
      </w:pPr>
    </w:p>
    <w:p>
      <w:pPr>
        <w:jc w:val="both"/>
        <w:ind w:left="1840"/>
        <w:spacing w:after="0" w:line="248" w:lineRule="auto"/>
        <w:rPr>
          <w:sz w:val="20"/>
          <w:szCs w:val="20"/>
          <w:color w:val="auto"/>
        </w:rPr>
      </w:pPr>
      <w:r>
        <w:rPr>
          <w:rFonts w:ascii="Times New Roman" w:cs="Times New Roman" w:eastAsia="Times New Roman" w:hAnsi="Times New Roman"/>
          <w:sz w:val="16"/>
          <w:szCs w:val="16"/>
          <w:color w:val="auto"/>
        </w:rPr>
        <w:t>Exercise and (B) one (1) Trading Day after delivery of the aggregate Exercise Price to the Company (such date, the “</w:t>
      </w:r>
      <w:r>
        <w:rPr>
          <w:rFonts w:ascii="Times New Roman" w:cs="Times New Roman" w:eastAsia="Times New Roman" w:hAnsi="Times New Roman"/>
          <w:sz w:val="16"/>
          <w:szCs w:val="16"/>
          <w:u w:val="single" w:color="auto"/>
          <w:color w:val="auto"/>
        </w:rPr>
        <w:t>Warrant Share Delivery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Date</w:t>
      </w:r>
      <w:r>
        <w:rPr>
          <w:rFonts w:ascii="Times New Roman" w:cs="Times New Roman" w:eastAsia="Times New Roman" w:hAnsi="Times New Roman"/>
          <w:sz w:val="16"/>
          <w:szCs w:val="16"/>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cause its transfer agent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provided that such liquidated damages shall not exceed, in the aggregate, the aggregate cash purchase price paid by the Holder in respect of the Warrant Shares subject to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6"/>
          <w:szCs w:val="16"/>
          <w:u w:val="single" w:color="auto"/>
          <w:color w:val="auto"/>
        </w:rPr>
        <w:t>Standard Settlement Period</w:t>
      </w:r>
      <w:r>
        <w:rPr>
          <w:rFonts w:ascii="Times New Roman" w:cs="Times New Roman" w:eastAsia="Times New Roman" w:hAnsi="Times New Roman"/>
          <w:sz w:val="16"/>
          <w:szCs w:val="16"/>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spacing w:after="0" w:line="173" w:lineRule="exact"/>
        <w:rPr>
          <w:sz w:val="20"/>
          <w:szCs w:val="20"/>
          <w:color w:val="auto"/>
        </w:rPr>
      </w:pPr>
    </w:p>
    <w:p>
      <w:pPr>
        <w:jc w:val="both"/>
        <w:ind w:left="1840" w:right="20" w:firstLine="741"/>
        <w:spacing w:after="0" w:line="256" w:lineRule="auto"/>
        <w:tabs>
          <w:tab w:leader="none" w:pos="275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Delivery of New Warrants Upon Exercise</w:t>
      </w:r>
      <w:r>
        <w:rPr>
          <w:rFonts w:ascii="Times New Roman" w:cs="Times New Roman" w:eastAsia="Times New Roman" w:hAnsi="Times New Roman"/>
          <w:sz w:val="16"/>
          <w:szCs w:val="16"/>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61" w:lineRule="exact"/>
        <w:rPr>
          <w:rFonts w:ascii="Times New Roman" w:cs="Times New Roman" w:eastAsia="Times New Roman" w:hAnsi="Times New Roman"/>
          <w:sz w:val="16"/>
          <w:szCs w:val="16"/>
          <w:color w:val="auto"/>
        </w:rPr>
      </w:pPr>
    </w:p>
    <w:p>
      <w:pPr>
        <w:ind w:left="1840" w:right="20" w:firstLine="741"/>
        <w:spacing w:after="0" w:line="276" w:lineRule="auto"/>
        <w:tabs>
          <w:tab w:leader="none" w:pos="28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Rescission Rights</w:t>
      </w:r>
      <w:r>
        <w:rPr>
          <w:rFonts w:ascii="Times New Roman" w:cs="Times New Roman" w:eastAsia="Times New Roman" w:hAnsi="Times New Roman"/>
          <w:sz w:val="16"/>
          <w:szCs w:val="16"/>
          <w:color w:val="auto"/>
        </w:rPr>
        <w:t>. If the Company fails to cause the Transfer Agent to transmit to the Holder the Warrant Shares pursuant to Section 2(d)(i) by the Warrant Share Delivery Date, then the Holder will have the right to rescind such exercise.</w:t>
      </w:r>
    </w:p>
    <w:p>
      <w:pPr>
        <w:spacing w:after="0" w:line="144" w:lineRule="exact"/>
        <w:rPr>
          <w:rFonts w:ascii="Times New Roman" w:cs="Times New Roman" w:eastAsia="Times New Roman" w:hAnsi="Times New Roman"/>
          <w:sz w:val="16"/>
          <w:szCs w:val="16"/>
          <w:color w:val="auto"/>
        </w:rPr>
      </w:pPr>
    </w:p>
    <w:p>
      <w:pPr>
        <w:jc w:val="both"/>
        <w:ind w:left="1840" w:firstLine="741"/>
        <w:spacing w:after="0" w:line="250" w:lineRule="auto"/>
        <w:tabs>
          <w:tab w:leader="none" w:pos="279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Compensation for Buy-In on Failure to Timely Deliver Warrant Shares Upon Exercise</w:t>
      </w:r>
      <w:r>
        <w:rPr>
          <w:rFonts w:ascii="Times New Roman" w:cs="Times New Roman" w:eastAsia="Times New Roman" w:hAnsi="Times New Roman"/>
          <w:sz w:val="16"/>
          <w:szCs w:val="16"/>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6"/>
          <w:szCs w:val="16"/>
          <w:u w:val="single" w:color="auto"/>
          <w:color w:val="auto"/>
        </w:rPr>
        <w:t>Buy-In</w:t>
      </w:r>
      <w:r>
        <w:rPr>
          <w:rFonts w:ascii="Times New Roman" w:cs="Times New Roman" w:eastAsia="Times New Roman" w:hAnsi="Times New Roman"/>
          <w:sz w:val="16"/>
          <w:szCs w:val="16"/>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w:t>
      </w:r>
    </w:p>
    <w:p>
      <w:pPr>
        <w:spacing w:after="0" w:line="200" w:lineRule="exact"/>
        <w:rPr>
          <w:sz w:val="20"/>
          <w:szCs w:val="20"/>
          <w:color w:val="auto"/>
        </w:rPr>
      </w:pPr>
    </w:p>
    <w:p>
      <w:pPr>
        <w:spacing w:after="0" w:line="385" w:lineRule="exact"/>
        <w:rPr>
          <w:sz w:val="20"/>
          <w:szCs w:val="20"/>
          <w:color w:val="auto"/>
        </w:rPr>
      </w:pPr>
    </w:p>
    <w:p>
      <w:pPr>
        <w:ind w:left="20" w:right="3760" w:hanging="35"/>
        <w:spacing w:after="0" w:line="493"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4904-0996-4215, v.4 DOCPROPERTY "CUS_DocIDChunk0" 76095611.1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386080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689" w:right="31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386" w:lineRule="exact"/>
        <w:rPr>
          <w:sz w:val="20"/>
          <w:szCs w:val="20"/>
          <w:color w:val="auto"/>
        </w:rPr>
      </w:pPr>
    </w:p>
    <w:p>
      <w:pPr>
        <w:jc w:val="both"/>
        <w:ind w:left="1880" w:hanging="9"/>
        <w:spacing w:after="0" w:line="250" w:lineRule="auto"/>
        <w:tabs>
          <w:tab w:leader="none" w:pos="2131"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64" w:lineRule="exact"/>
        <w:rPr>
          <w:rFonts w:ascii="Times New Roman" w:cs="Times New Roman" w:eastAsia="Times New Roman" w:hAnsi="Times New Roman"/>
          <w:sz w:val="16"/>
          <w:szCs w:val="16"/>
          <w:color w:val="auto"/>
        </w:rPr>
      </w:pPr>
    </w:p>
    <w:p>
      <w:pPr>
        <w:jc w:val="both"/>
        <w:ind w:left="1880" w:firstLine="741"/>
        <w:spacing w:after="0" w:line="256" w:lineRule="auto"/>
        <w:tabs>
          <w:tab w:leader="none" w:pos="2800" w:val="left"/>
        </w:tabs>
        <w:numPr>
          <w:ilvl w:val="2"/>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Fractional Shares or Scrip</w:t>
      </w:r>
      <w:r>
        <w:rPr>
          <w:rFonts w:ascii="Times New Roman" w:cs="Times New Roman" w:eastAsia="Times New Roman" w:hAnsi="Times New Roman"/>
          <w:sz w:val="16"/>
          <w:szCs w:val="16"/>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61" w:lineRule="exact"/>
        <w:rPr>
          <w:rFonts w:ascii="Times New Roman" w:cs="Times New Roman" w:eastAsia="Times New Roman" w:hAnsi="Times New Roman"/>
          <w:sz w:val="16"/>
          <w:szCs w:val="16"/>
          <w:color w:val="auto"/>
        </w:rPr>
      </w:pPr>
    </w:p>
    <w:p>
      <w:pPr>
        <w:jc w:val="both"/>
        <w:ind w:left="1880" w:firstLine="741"/>
        <w:spacing w:after="0" w:line="251" w:lineRule="auto"/>
        <w:tabs>
          <w:tab w:leader="none" w:pos="2832" w:val="left"/>
        </w:tabs>
        <w:numPr>
          <w:ilvl w:val="2"/>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Charges, Taxes and Expenses</w:t>
      </w:r>
      <w:r>
        <w:rPr>
          <w:rFonts w:ascii="Times New Roman" w:cs="Times New Roman" w:eastAsia="Times New Roman" w:hAnsi="Times New Roman"/>
          <w:sz w:val="16"/>
          <w:szCs w:val="16"/>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in the event that Warrant Shares are to be issued in a name other than the name of the Holder, this Warrant when surrendered for exercise shall be accompanied by the Assignment Form attached hereto as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63" w:lineRule="exact"/>
        <w:rPr>
          <w:rFonts w:ascii="Times New Roman" w:cs="Times New Roman" w:eastAsia="Times New Roman" w:hAnsi="Times New Roman"/>
          <w:sz w:val="16"/>
          <w:szCs w:val="16"/>
          <w:color w:val="auto"/>
        </w:rPr>
      </w:pPr>
    </w:p>
    <w:p>
      <w:pPr>
        <w:ind w:left="1880" w:firstLine="741"/>
        <w:spacing w:after="0" w:line="276" w:lineRule="auto"/>
        <w:tabs>
          <w:tab w:leader="none" w:pos="2875" w:val="left"/>
        </w:tabs>
        <w:numPr>
          <w:ilvl w:val="2"/>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Closing of Books</w:t>
      </w:r>
      <w:r>
        <w:rPr>
          <w:rFonts w:ascii="Times New Roman" w:cs="Times New Roman" w:eastAsia="Times New Roman" w:hAnsi="Times New Roman"/>
          <w:sz w:val="16"/>
          <w:szCs w:val="16"/>
          <w:color w:val="auto"/>
        </w:rPr>
        <w:t>. The Company will not close its stockholder books or records in any manner which prevents the timely exercise of this Warrant, pursuant to the terms hereof.</w:t>
      </w:r>
    </w:p>
    <w:p>
      <w:pPr>
        <w:spacing w:after="0" w:line="144" w:lineRule="exact"/>
        <w:rPr>
          <w:rFonts w:ascii="Times New Roman" w:cs="Times New Roman" w:eastAsia="Times New Roman" w:hAnsi="Times New Roman"/>
          <w:sz w:val="16"/>
          <w:szCs w:val="16"/>
          <w:color w:val="auto"/>
        </w:rPr>
      </w:pPr>
    </w:p>
    <w:p>
      <w:pPr>
        <w:jc w:val="both"/>
        <w:ind w:firstLine="745"/>
        <w:spacing w:after="0" w:line="250" w:lineRule="auto"/>
        <w:tabs>
          <w:tab w:leader="none" w:pos="92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Holder’s Exercise Limitations</w:t>
      </w:r>
      <w:r>
        <w:rPr>
          <w:rFonts w:ascii="Times New Roman" w:cs="Times New Roman" w:eastAsia="Times New Roman" w:hAnsi="Times New Roman"/>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“Attribution Parties”)),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w:t>
      </w:r>
    </w:p>
    <w:p>
      <w:pPr>
        <w:spacing w:after="0" w:line="200" w:lineRule="exact"/>
        <w:rPr>
          <w:sz w:val="20"/>
          <w:szCs w:val="20"/>
          <w:color w:val="auto"/>
        </w:rPr>
      </w:pPr>
    </w:p>
    <w:p>
      <w:pPr>
        <w:spacing w:after="0" w:line="383" w:lineRule="exact"/>
        <w:rPr>
          <w:sz w:val="20"/>
          <w:szCs w:val="20"/>
          <w:color w:val="auto"/>
        </w:rPr>
      </w:pPr>
    </w:p>
    <w:p>
      <w:pPr>
        <w:ind w:left="60" w:right="3760" w:hanging="35"/>
        <w:spacing w:after="0" w:line="493"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4904-0996-4215, v.4 DOCPROPERTY "CUS_DocIDChunk0" 76095611.1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386080</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386" w:lineRule="exact"/>
        <w:rPr>
          <w:sz w:val="20"/>
          <w:szCs w:val="20"/>
          <w:color w:val="auto"/>
        </w:rPr>
      </w:pPr>
    </w:p>
    <w:p>
      <w:pPr>
        <w:jc w:val="both"/>
        <w:ind w:left="5"/>
        <w:spacing w:after="0" w:line="248" w:lineRule="auto"/>
        <w:rPr>
          <w:sz w:val="20"/>
          <w:szCs w:val="20"/>
          <w:color w:val="auto"/>
        </w:rPr>
      </w:pPr>
      <w:r>
        <w:rPr>
          <w:rFonts w:ascii="Times New Roman" w:cs="Times New Roman" w:eastAsia="Times New Roman" w:hAnsi="Times New Roman"/>
          <w:sz w:val="16"/>
          <w:szCs w:val="16"/>
          <w:color w:val="auto"/>
        </w:rPr>
        <w:t>calculated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“Beneficial Ownership Limitation” shall be 9.99% of the number of shares of the Common Stock outstanding immediately after giving effect to the issuance of shares of Common Stock issuable upon exercise of this Warrant. The Holder, upon written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76"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Certain Adjustments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ind w:left="5" w:firstLine="1496"/>
        <w:spacing w:after="0" w:line="271" w:lineRule="auto"/>
        <w:tabs>
          <w:tab w:leader="none" w:pos="1668"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Stock Dividends and Splits</w:t>
      </w:r>
      <w:r>
        <w:rPr>
          <w:rFonts w:ascii="Times New Roman" w:cs="Times New Roman" w:eastAsia="Times New Roman" w:hAnsi="Times New Roman"/>
          <w:sz w:val="15"/>
          <w:szCs w:val="15"/>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w:t>
      </w:r>
    </w:p>
    <w:p>
      <w:pPr>
        <w:jc w:val="both"/>
        <w:ind w:left="5" w:hanging="5"/>
        <w:spacing w:after="0" w:line="247" w:lineRule="auto"/>
        <w:tabs>
          <w:tab w:leader="none" w:pos="29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71" w:lineRule="exact"/>
        <w:rPr>
          <w:rFonts w:ascii="Times New Roman" w:cs="Times New Roman" w:eastAsia="Times New Roman" w:hAnsi="Times New Roman"/>
          <w:sz w:val="16"/>
          <w:szCs w:val="16"/>
          <w:color w:val="auto"/>
        </w:rPr>
      </w:pPr>
    </w:p>
    <w:p>
      <w:pPr>
        <w:jc w:val="both"/>
        <w:ind w:left="5" w:firstLine="1496"/>
        <w:spacing w:after="0" w:line="251" w:lineRule="auto"/>
        <w:tabs>
          <w:tab w:leader="none" w:pos="1689"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Subsequent Rights Offerings</w:t>
      </w:r>
      <w:r>
        <w:rPr>
          <w:rFonts w:ascii="Times New Roman" w:cs="Times New Roman" w:eastAsia="Times New Roman" w:hAnsi="Times New Roman"/>
          <w:sz w:val="16"/>
          <w:szCs w:val="16"/>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6"/>
          <w:szCs w:val="16"/>
          <w:u w:val="single" w:color="auto"/>
          <w:color w:val="auto"/>
        </w:rPr>
        <w:t>Purchase Rights</w:t>
      </w:r>
      <w:r>
        <w:rPr>
          <w:rFonts w:ascii="Times New Roman" w:cs="Times New Roman" w:eastAsia="Times New Roman" w:hAnsi="Times New Roman"/>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to the extent that the Holder’s right to participate in any such Purchase Right would result in the Holder exceeding the Beneficial Ownership Limitation, then the Holder shall not be entitled to participate in such Purchase</w:t>
      </w:r>
    </w:p>
    <w:p>
      <w:pPr>
        <w:spacing w:after="0" w:line="200" w:lineRule="exact"/>
        <w:rPr>
          <w:sz w:val="20"/>
          <w:szCs w:val="20"/>
          <w:color w:val="auto"/>
        </w:rPr>
      </w:pPr>
    </w:p>
    <w:p>
      <w:pPr>
        <w:spacing w:after="0" w:line="382" w:lineRule="exact"/>
        <w:rPr>
          <w:sz w:val="20"/>
          <w:szCs w:val="20"/>
          <w:color w:val="auto"/>
        </w:rPr>
      </w:pPr>
    </w:p>
    <w:p>
      <w:pPr>
        <w:ind w:left="65" w:right="3760" w:hanging="35"/>
        <w:spacing w:after="0" w:line="493"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4904-0996-4215, v.4 DOCPROPERTY "CUS_DocIDChunk0" 76095611.1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386080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9" w:right="31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386"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45" w:lineRule="exact"/>
        <w:rPr>
          <w:sz w:val="20"/>
          <w:szCs w:val="20"/>
          <w:color w:val="auto"/>
        </w:rPr>
      </w:pPr>
    </w:p>
    <w:p>
      <w:pPr>
        <w:jc w:val="both"/>
        <w:ind w:firstLine="1496"/>
        <w:spacing w:after="0" w:line="249" w:lineRule="auto"/>
        <w:tabs>
          <w:tab w:leader="none" w:pos="1663"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 Rata Distributions</w:t>
      </w:r>
      <w:r>
        <w:rPr>
          <w:rFonts w:ascii="Times New Roman" w:cs="Times New Roman" w:eastAsia="Times New Roman" w:hAnsi="Times New Roman"/>
          <w:sz w:val="16"/>
          <w:szCs w:val="16"/>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6"/>
          <w:szCs w:val="16"/>
          <w:u w:val="single" w:color="auto"/>
          <w:color w:val="auto"/>
        </w:rPr>
        <w:t>Distribution</w:t>
      </w:r>
      <w:r>
        <w:rPr>
          <w:rFonts w:ascii="Times New Roman" w:cs="Times New Roman" w:eastAsia="Times New Roman" w:hAnsi="Times New Roman"/>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70" w:lineRule="exact"/>
        <w:rPr>
          <w:rFonts w:ascii="Times New Roman" w:cs="Times New Roman" w:eastAsia="Times New Roman" w:hAnsi="Times New Roman"/>
          <w:sz w:val="16"/>
          <w:szCs w:val="16"/>
          <w:color w:val="auto"/>
        </w:rPr>
      </w:pPr>
    </w:p>
    <w:p>
      <w:pPr>
        <w:jc w:val="both"/>
        <w:ind w:firstLine="1403"/>
        <w:spacing w:after="0" w:line="265" w:lineRule="auto"/>
        <w:tabs>
          <w:tab w:leader="none" w:pos="1579"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Fundamental Transaction</w:t>
      </w:r>
      <w:r>
        <w:rPr>
          <w:rFonts w:ascii="Times New Roman" w:cs="Times New Roman" w:eastAsia="Times New Roman" w:hAnsi="Times New Roman"/>
          <w:sz w:val="15"/>
          <w:szCs w:val="15"/>
          <w:color w:val="auto"/>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Common Stock or greater than 50% of the voting power of the common equity of the Company (each a “Fundamental Transaction”),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Common Stock of the successor or acquiring corporation or of the Company, if it is the surviving corporation, and any additional consideration (the “Alternate Consideration”)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0" w:right="3760" w:hanging="35"/>
        <w:spacing w:after="0" w:line="493"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4904-0996-4215, v.4 DOCPROPERTY "CUS_DocIDChunk0" 76095611.1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386080</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3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Company or any Successor Entity (as defined below) shall, at the Holder’s option, exercisable at any time concurrently with, or within 30 days after, the consummation of the Fundamental Transaction (or, if later, the date of the public announcement of the applicable contemplated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(i) the Fundamental Transaction is not within the Company's control, including not approved by the Company's Board of Directors or (ii) the consideration issuable in such Fundamental Transaction is all stock or other securities consideration, then, in each case, the Holder, in connection with the Holder’s option to cause the Company or any Successor Entity to purchase this Warrant from the Holder, which option shall be exercisable at any time concurrently with, or within 30 days after, the consummation of the Fundamental Transaction (or, if later, the date of the public announcement of the applicable contemplated Fundamental Transaction),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“Black Scholes Value” means the value of this Warrant based on the Black Scholes Option Pricing Model obtained from the “OV” function on Bloomberg, L.P. (“Bloomberg”) determined as of the day of consummation of the applicable Fundamental Transaction for pricing purposes and reflecting (i) a risk-free interest rate corresponding to the U.S. Treasury rate for a period equal to the remaining term of this Warrant as of such date of request, (ii) an expected volatility equal to the remaining term of this Warrant obtained from the HVT function on Bloomberg as of the Trading Day immediately prior to the public announcement of the applicable Fundamental Transaction or, if the Fundamental Transaction is not publicly announced, the date the Fundamental Transaction is consummated, (iii) the underlying price per share used in such calculation shall be the greater of (A) the sum of the price per share being offered in cash, if any, plus the per share value of any non-cash consideration, if any, being offered in such Fundamental Transaction and (B) the greater of (x) the last weighted average price of the Common Stock immediately prior to the public announcement of such Fundamental Transaction and (y) the last weighted average price of the Common Stock immediately prior to the consummation of such Fundamental Transaction, (iv) a zero cost of borrow and (v) a 360 day annualization factor. The payment of the Black Scholes Value will be made by wire transfer of immediately available funds (or such other consideration) within the later of (i) five Business Days of the Holder’s election and (ii) the effective date of the Fundamental Transaction. The Company shall cause any successor entity in a Fundamental Transaction in which the Company is not the survivor (the “Successor Entity”)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right="3760" w:hanging="35"/>
        <w:spacing w:after="0" w:line="493"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4904-0996-4215, v.4 DOCPROPERTY "CUS_DocIDChunk0" 76095611.1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386080</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3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w:t>
      </w:r>
    </w:p>
    <w:p>
      <w:pPr>
        <w:spacing w:after="0" w:line="157" w:lineRule="exact"/>
        <w:rPr>
          <w:sz w:val="20"/>
          <w:szCs w:val="20"/>
          <w:color w:val="auto"/>
        </w:rPr>
      </w:pPr>
    </w:p>
    <w:p>
      <w:pPr>
        <w:jc w:val="both"/>
        <w:ind w:right="20" w:firstLine="1496"/>
        <w:spacing w:after="0" w:line="261" w:lineRule="auto"/>
        <w:tabs>
          <w:tab w:leader="none" w:pos="1663"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Calculations</w:t>
      </w:r>
      <w:r>
        <w:rPr>
          <w:rFonts w:ascii="Times New Roman" w:cs="Times New Roman" w:eastAsia="Times New Roman" w:hAnsi="Times New Roman"/>
          <w:sz w:val="16"/>
          <w:szCs w:val="16"/>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56" w:lineRule="exact"/>
        <w:rPr>
          <w:rFonts w:ascii="Times New Roman" w:cs="Times New Roman" w:eastAsia="Times New Roman" w:hAnsi="Times New Roman"/>
          <w:sz w:val="16"/>
          <w:szCs w:val="16"/>
          <w:color w:val="auto"/>
        </w:rPr>
      </w:pPr>
    </w:p>
    <w:p>
      <w:pPr>
        <w:ind w:left="1080" w:hanging="967"/>
        <w:spacing w:after="0"/>
        <w:tabs>
          <w:tab w:leader="none" w:pos="10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 to Holder</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ind w:left="240" w:hanging="129"/>
        <w:spacing w:after="0" w:line="261" w:lineRule="auto"/>
        <w:rPr>
          <w:sz w:val="20"/>
          <w:szCs w:val="20"/>
          <w:color w:val="auto"/>
        </w:rPr>
      </w:pPr>
      <w:r>
        <w:rPr>
          <w:rFonts w:ascii="Times New Roman" w:cs="Times New Roman" w:eastAsia="Times New Roman" w:hAnsi="Times New Roman"/>
          <w:sz w:val="16"/>
          <w:szCs w:val="16"/>
          <w:color w:val="auto"/>
        </w:rPr>
        <w:t xml:space="preserve">i. </w:t>
      </w:r>
      <w:r>
        <w:rPr>
          <w:rFonts w:ascii="Times New Roman" w:cs="Times New Roman" w:eastAsia="Times New Roman" w:hAnsi="Times New Roman"/>
          <w:sz w:val="16"/>
          <w:szCs w:val="16"/>
          <w:u w:val="single" w:color="auto"/>
          <w:color w:val="auto"/>
        </w:rPr>
        <w:t>Adjustment to Exercise Price</w:t>
      </w:r>
      <w:r>
        <w:rPr>
          <w:rFonts w:ascii="Times New Roman" w:cs="Times New Roman" w:eastAsia="Times New Roman" w:hAnsi="Times New Roman"/>
          <w:sz w:val="16"/>
          <w:szCs w:val="16"/>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57" w:lineRule="exact"/>
        <w:rPr>
          <w:sz w:val="20"/>
          <w:szCs w:val="20"/>
          <w:color w:val="auto"/>
        </w:rPr>
      </w:pPr>
    </w:p>
    <w:p>
      <w:pPr>
        <w:jc w:val="both"/>
        <w:ind w:left="300" w:hanging="187"/>
        <w:spacing w:after="0" w:line="266" w:lineRule="auto"/>
        <w:tabs>
          <w:tab w:leader="none" w:pos="30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Notice to Allow Exercise by Holder</w:t>
      </w:r>
      <w:r>
        <w:rPr>
          <w:rFonts w:ascii="Times New Roman" w:cs="Times New Roman" w:eastAsia="Times New Roman" w:hAnsi="Times New Roman"/>
          <w:sz w:val="15"/>
          <w:szCs w:val="15"/>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Company’s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Transfer of Warrant</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ind w:right="20" w:firstLine="1496"/>
        <w:spacing w:after="0" w:line="279" w:lineRule="auto"/>
        <w:tabs>
          <w:tab w:leader="none" w:pos="1663"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Transferability</w:t>
      </w:r>
      <w:r>
        <w:rPr>
          <w:rFonts w:ascii="Times New Roman" w:cs="Times New Roman" w:eastAsia="Times New Roman" w:hAnsi="Times New Roman"/>
          <w:sz w:val="15"/>
          <w:szCs w:val="15"/>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w:t>
      </w:r>
    </w:p>
    <w:p>
      <w:pPr>
        <w:spacing w:after="0" w:line="200" w:lineRule="exact"/>
        <w:rPr>
          <w:sz w:val="20"/>
          <w:szCs w:val="20"/>
          <w:color w:val="auto"/>
        </w:rPr>
      </w:pPr>
    </w:p>
    <w:p>
      <w:pPr>
        <w:spacing w:after="0" w:line="362" w:lineRule="exact"/>
        <w:rPr>
          <w:sz w:val="20"/>
          <w:szCs w:val="20"/>
          <w:color w:val="auto"/>
        </w:rPr>
      </w:pPr>
    </w:p>
    <w:p>
      <w:pPr>
        <w:ind w:left="60" w:right="3760" w:hanging="35"/>
        <w:spacing w:after="0" w:line="493"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4904-0996-4215, v.4 DOCPROPERTY "CUS_DocIDChunk0" 76095611.1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386080</wp:posOffset>
            </wp:positionV>
            <wp:extent cx="717486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3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62" w:lineRule="exact"/>
        <w:rPr>
          <w:sz w:val="20"/>
          <w:szCs w:val="20"/>
          <w:color w:val="auto"/>
        </w:rPr>
      </w:pPr>
    </w:p>
    <w:p>
      <w:pPr>
        <w:jc w:val="both"/>
        <w:ind w:firstLine="1496"/>
        <w:spacing w:after="0" w:line="254" w:lineRule="auto"/>
        <w:tabs>
          <w:tab w:leader="none" w:pos="168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New Warrants</w:t>
      </w:r>
      <w:r>
        <w:rPr>
          <w:rFonts w:ascii="Times New Roman" w:cs="Times New Roman" w:eastAsia="Times New Roman" w:hAnsi="Times New Roman"/>
          <w:sz w:val="16"/>
          <w:szCs w:val="16"/>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spacing w:after="0" w:line="161" w:lineRule="exact"/>
        <w:rPr>
          <w:rFonts w:ascii="Times New Roman" w:cs="Times New Roman" w:eastAsia="Times New Roman" w:hAnsi="Times New Roman"/>
          <w:sz w:val="16"/>
          <w:szCs w:val="16"/>
          <w:color w:val="auto"/>
        </w:rPr>
      </w:pPr>
    </w:p>
    <w:p>
      <w:pPr>
        <w:jc w:val="both"/>
        <w:ind w:right="20" w:firstLine="1496"/>
        <w:spacing w:after="0" w:line="261" w:lineRule="auto"/>
        <w:tabs>
          <w:tab w:leader="none" w:pos="166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Warrant Register</w:t>
      </w:r>
      <w:r>
        <w:rPr>
          <w:rFonts w:ascii="Times New Roman" w:cs="Times New Roman" w:eastAsia="Times New Roman" w:hAnsi="Times New Roman"/>
          <w:sz w:val="16"/>
          <w:szCs w:val="16"/>
          <w:color w:val="auto"/>
        </w:rPr>
        <w:t>. The Company shall register this Warrant, upon records to be maintained by the Company for that purpose (the “</w:t>
      </w:r>
      <w:r>
        <w:rPr>
          <w:rFonts w:ascii="Times New Roman" w:cs="Times New Roman" w:eastAsia="Times New Roman" w:hAnsi="Times New Roman"/>
          <w:sz w:val="16"/>
          <w:szCs w:val="16"/>
          <w:u w:val="single" w:color="auto"/>
          <w:color w:val="auto"/>
        </w:rPr>
        <w:t>Warrant Register</w:t>
      </w:r>
      <w:r>
        <w:rPr>
          <w:rFonts w:ascii="Times New Roman" w:cs="Times New Roman" w:eastAsia="Times New Roman" w:hAnsi="Times New Roman"/>
          <w:sz w:val="16"/>
          <w:szCs w:val="16"/>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ind w:firstLine="1496"/>
        <w:spacing w:after="0" w:line="256" w:lineRule="auto"/>
        <w:tabs>
          <w:tab w:leader="none" w:pos="1663"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Rights as Stockholder Until Exercise; No Settlement in Cash</w:t>
      </w:r>
      <w:r>
        <w:rPr>
          <w:rFonts w:ascii="Times New Roman" w:cs="Times New Roman" w:eastAsia="Times New Roman" w:hAnsi="Times New Roman"/>
          <w:sz w:val="16"/>
          <w:szCs w:val="16"/>
          <w:color w:val="auto"/>
        </w:rPr>
        <w:t>. This Warrant does not entitle the Holder to any voting rights, dividends or other rights as a stockholder of the Company prior to the exercise hereof as set forth in Section 2(d)(i), except as expressly set forth in Section 3. Without limiting the rights of a Holder to receive Warrant Shares on a “cashless exercise,” and to receive the cash payments contemplated pursuant to Sections 2(d)(i) and 2(d)(iv), in no event will the Company be required to net cash settle an exercise of this Warrant.</w:t>
      </w:r>
    </w:p>
    <w:p>
      <w:pPr>
        <w:spacing w:after="0" w:line="161" w:lineRule="exact"/>
        <w:rPr>
          <w:rFonts w:ascii="Times New Roman" w:cs="Times New Roman" w:eastAsia="Times New Roman" w:hAnsi="Times New Roman"/>
          <w:sz w:val="16"/>
          <w:szCs w:val="16"/>
          <w:color w:val="auto"/>
        </w:rPr>
      </w:pPr>
    </w:p>
    <w:p>
      <w:pPr>
        <w:jc w:val="both"/>
        <w:ind w:right="20" w:firstLine="1496"/>
        <w:spacing w:after="0" w:line="251" w:lineRule="auto"/>
        <w:tabs>
          <w:tab w:leader="none" w:pos="1672"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Loss, Theft, Destruction or Mutilation of Warrant</w:t>
      </w:r>
      <w:r>
        <w:rPr>
          <w:rFonts w:ascii="Times New Roman" w:cs="Times New Roman" w:eastAsia="Times New Roman" w:hAnsi="Times New Roman"/>
          <w:sz w:val="16"/>
          <w:szCs w:val="16"/>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 w:lineRule="exact"/>
        <w:rPr>
          <w:rFonts w:ascii="Times New Roman" w:cs="Times New Roman" w:eastAsia="Times New Roman" w:hAnsi="Times New Roman"/>
          <w:sz w:val="16"/>
          <w:szCs w:val="16"/>
          <w:color w:val="auto"/>
        </w:rPr>
      </w:pPr>
    </w:p>
    <w:p>
      <w:pPr>
        <w:ind w:right="20" w:firstLine="1496"/>
        <w:spacing w:after="0" w:line="253" w:lineRule="auto"/>
        <w:tabs>
          <w:tab w:leader="none" w:pos="1663"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Saturdays, Sundays, Holidays, etc</w:t>
      </w:r>
      <w:r>
        <w:rPr>
          <w:rFonts w:ascii="Times New Roman" w:cs="Times New Roman" w:eastAsia="Times New Roman" w:hAnsi="Times New Roman"/>
          <w:sz w:val="16"/>
          <w:szCs w:val="16"/>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62" w:lineRule="exact"/>
        <w:rPr>
          <w:rFonts w:ascii="Times New Roman" w:cs="Times New Roman" w:eastAsia="Times New Roman" w:hAnsi="Times New Roman"/>
          <w:sz w:val="16"/>
          <w:szCs w:val="16"/>
          <w:color w:val="auto"/>
        </w:rPr>
      </w:pPr>
    </w:p>
    <w:p>
      <w:pPr>
        <w:jc w:val="both"/>
        <w:ind w:firstLine="1496"/>
        <w:spacing w:after="0" w:line="251" w:lineRule="auto"/>
        <w:tabs>
          <w:tab w:leader="none" w:pos="1683"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Authorized Shares</w:t>
      </w:r>
      <w:r>
        <w:rPr>
          <w:rFonts w:ascii="Times New Roman" w:cs="Times New Roman" w:eastAsia="Times New Roman" w:hAnsi="Times New Roman"/>
          <w:sz w:val="16"/>
          <w:szCs w:val="16"/>
          <w:color w:val="auto"/>
        </w:rPr>
        <w:t>. The Company covenants that, at all times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w:t>
      </w:r>
    </w:p>
    <w:p>
      <w:pPr>
        <w:spacing w:after="0" w:line="200" w:lineRule="exact"/>
        <w:rPr>
          <w:sz w:val="20"/>
          <w:szCs w:val="20"/>
          <w:color w:val="auto"/>
        </w:rPr>
      </w:pPr>
    </w:p>
    <w:p>
      <w:pPr>
        <w:spacing w:after="0" w:line="385" w:lineRule="exact"/>
        <w:rPr>
          <w:sz w:val="20"/>
          <w:szCs w:val="20"/>
          <w:color w:val="auto"/>
        </w:rPr>
      </w:pPr>
    </w:p>
    <w:p>
      <w:pPr>
        <w:ind w:left="60" w:right="3760" w:hanging="35"/>
        <w:spacing w:after="0" w:line="493"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4904-0996-4215, v.4 DOCPROPERTY "CUS_DocIDChunk0" 76095611.1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386080</wp:posOffset>
            </wp:positionV>
            <wp:extent cx="71748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38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issued, fully paid and nonassessable and free from all taxes, liens and charges created by the Company in respect of the issue thereof (other than taxes in respect of any transfer occurring contemporaneously with such issue).</w:t>
      </w:r>
    </w:p>
    <w:p>
      <w:pPr>
        <w:spacing w:after="0" w:line="145" w:lineRule="exact"/>
        <w:rPr>
          <w:sz w:val="20"/>
          <w:szCs w:val="20"/>
          <w:color w:val="auto"/>
        </w:rPr>
      </w:pPr>
    </w:p>
    <w:p>
      <w:pPr>
        <w:jc w:val="both"/>
        <w:ind w:firstLine="1501"/>
        <w:spacing w:after="0" w:line="251" w:lineRule="auto"/>
        <w:rPr>
          <w:sz w:val="20"/>
          <w:szCs w:val="20"/>
          <w:color w:val="auto"/>
        </w:rPr>
      </w:pPr>
      <w:r>
        <w:rPr>
          <w:rFonts w:ascii="Times New Roman" w:cs="Times New Roman" w:eastAsia="Times New Roman" w:hAnsi="Times New Roman"/>
          <w:sz w:val="16"/>
          <w:szCs w:val="16"/>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best efforts to obtain all such authorizations, exemptions or consents from any public regulatory body having jurisdiction thereof, as may be, necessary to enable the Company to perform its obligations under this Warrant.</w:t>
      </w:r>
    </w:p>
    <w:p>
      <w:pPr>
        <w:spacing w:after="0" w:line="164" w:lineRule="exact"/>
        <w:rPr>
          <w:sz w:val="20"/>
          <w:szCs w:val="20"/>
          <w:color w:val="auto"/>
        </w:rPr>
      </w:pPr>
    </w:p>
    <w:p>
      <w:pPr>
        <w:jc w:val="both"/>
        <w:ind w:firstLine="1501"/>
        <w:spacing w:after="0" w:line="261" w:lineRule="auto"/>
        <w:rPr>
          <w:sz w:val="20"/>
          <w:szCs w:val="20"/>
          <w:color w:val="auto"/>
        </w:rPr>
      </w:pPr>
      <w:r>
        <w:rPr>
          <w:rFonts w:ascii="Times New Roman" w:cs="Times New Roman" w:eastAsia="Times New Roman" w:hAnsi="Times New Roman"/>
          <w:sz w:val="16"/>
          <w:szCs w:val="16"/>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57" w:lineRule="exact"/>
        <w:rPr>
          <w:sz w:val="20"/>
          <w:szCs w:val="20"/>
          <w:color w:val="auto"/>
        </w:rPr>
      </w:pPr>
    </w:p>
    <w:p>
      <w:pPr>
        <w:ind w:right="20" w:firstLine="1496"/>
        <w:spacing w:after="0" w:line="276" w:lineRule="auto"/>
        <w:tabs>
          <w:tab w:leader="none" w:pos="166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Jurisdiction</w:t>
      </w:r>
      <w:r>
        <w:rPr>
          <w:rFonts w:ascii="Times New Roman" w:cs="Times New Roman" w:eastAsia="Times New Roman" w:hAnsi="Times New Roman"/>
          <w:sz w:val="16"/>
          <w:szCs w:val="16"/>
          <w:color w:val="auto"/>
        </w:rPr>
        <w:t>. All questions concerning the construction, validity, enforcement and interpretation of this Warrant shall be determined in accordance with the provisions of the Purchase Agreement.</w:t>
      </w:r>
    </w:p>
    <w:p>
      <w:pPr>
        <w:spacing w:after="0" w:line="144" w:lineRule="exact"/>
        <w:rPr>
          <w:rFonts w:ascii="Times New Roman" w:cs="Times New Roman" w:eastAsia="Times New Roman" w:hAnsi="Times New Roman"/>
          <w:sz w:val="16"/>
          <w:szCs w:val="16"/>
          <w:color w:val="auto"/>
        </w:rPr>
      </w:pPr>
    </w:p>
    <w:p>
      <w:pPr>
        <w:ind w:firstLine="1496"/>
        <w:spacing w:after="0" w:line="276" w:lineRule="auto"/>
        <w:tabs>
          <w:tab w:leader="none" w:pos="1645"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w:t>
      </w:r>
      <w:r>
        <w:rPr>
          <w:rFonts w:ascii="Times New Roman" w:cs="Times New Roman" w:eastAsia="Times New Roman" w:hAnsi="Times New Roman"/>
          <w:sz w:val="16"/>
          <w:szCs w:val="16"/>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44" w:lineRule="exact"/>
        <w:rPr>
          <w:rFonts w:ascii="Times New Roman" w:cs="Times New Roman" w:eastAsia="Times New Roman" w:hAnsi="Times New Roman"/>
          <w:sz w:val="16"/>
          <w:szCs w:val="16"/>
          <w:color w:val="auto"/>
        </w:rPr>
      </w:pPr>
    </w:p>
    <w:p>
      <w:pPr>
        <w:jc w:val="both"/>
        <w:ind w:firstLine="1496"/>
        <w:spacing w:after="0" w:line="252" w:lineRule="auto"/>
        <w:tabs>
          <w:tab w:leader="none" w:pos="1672"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Nonwaiver and Expenses</w:t>
      </w:r>
      <w:r>
        <w:rPr>
          <w:rFonts w:ascii="Times New Roman" w:cs="Times New Roman" w:eastAsia="Times New Roman" w:hAnsi="Times New Roman"/>
          <w:sz w:val="16"/>
          <w:szCs w:val="16"/>
          <w:color w:val="auto"/>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65" w:lineRule="exact"/>
        <w:rPr>
          <w:rFonts w:ascii="Times New Roman" w:cs="Times New Roman" w:eastAsia="Times New Roman" w:hAnsi="Times New Roman"/>
          <w:sz w:val="16"/>
          <w:szCs w:val="16"/>
          <w:color w:val="auto"/>
        </w:rPr>
      </w:pPr>
    </w:p>
    <w:p>
      <w:pPr>
        <w:ind w:right="20" w:firstLine="1496"/>
        <w:spacing w:after="0" w:line="276" w:lineRule="auto"/>
        <w:tabs>
          <w:tab w:leader="none" w:pos="168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request or other document required or permitted to be given or delivered to the Holder by the Company shall be delivered in accordance with the notice provisions of the Purchase Agreement.</w:t>
      </w:r>
    </w:p>
    <w:p>
      <w:pPr>
        <w:spacing w:after="0" w:line="144" w:lineRule="exact"/>
        <w:rPr>
          <w:rFonts w:ascii="Times New Roman" w:cs="Times New Roman" w:eastAsia="Times New Roman" w:hAnsi="Times New Roman"/>
          <w:sz w:val="16"/>
          <w:szCs w:val="16"/>
          <w:color w:val="auto"/>
        </w:rPr>
      </w:pPr>
    </w:p>
    <w:p>
      <w:pPr>
        <w:jc w:val="both"/>
        <w:ind w:firstLine="1496"/>
        <w:spacing w:after="0" w:line="261" w:lineRule="auto"/>
        <w:tabs>
          <w:tab w:leader="none" w:pos="163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Limitation of Liability</w:t>
      </w:r>
      <w:r>
        <w:rPr>
          <w:rFonts w:ascii="Times New Roman" w:cs="Times New Roman" w:eastAsia="Times New Roman" w:hAnsi="Times New Roman"/>
          <w:sz w:val="16"/>
          <w:szCs w:val="16"/>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56" w:lineRule="exact"/>
        <w:rPr>
          <w:rFonts w:ascii="Times New Roman" w:cs="Times New Roman" w:eastAsia="Times New Roman" w:hAnsi="Times New Roman"/>
          <w:sz w:val="16"/>
          <w:szCs w:val="16"/>
          <w:color w:val="auto"/>
        </w:rPr>
      </w:pPr>
    </w:p>
    <w:p>
      <w:pPr>
        <w:jc w:val="both"/>
        <w:ind w:right="20" w:firstLine="1496"/>
        <w:spacing w:after="0" w:line="261" w:lineRule="auto"/>
        <w:tabs>
          <w:tab w:leader="none" w:pos="164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Remedies</w:t>
      </w:r>
      <w:r>
        <w:rPr>
          <w:rFonts w:ascii="Times New Roman" w:cs="Times New Roman" w:eastAsia="Times New Roman" w:hAnsi="Times New Roman"/>
          <w:sz w:val="16"/>
          <w:szCs w:val="16"/>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0" w:right="3760" w:hanging="35"/>
        <w:spacing w:after="0" w:line="493"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4904-0996-4215, v.4 DOCPROPERTY "CUS_DocIDChunk0" 76095611.1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386080</wp:posOffset>
            </wp:positionV>
            <wp:extent cx="717486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386" w:lineRule="exact"/>
        <w:rPr>
          <w:sz w:val="20"/>
          <w:szCs w:val="20"/>
          <w:color w:val="auto"/>
        </w:rPr>
      </w:pPr>
    </w:p>
    <w:p>
      <w:pPr>
        <w:jc w:val="both"/>
        <w:ind w:firstLine="1496"/>
        <w:spacing w:after="0" w:line="261" w:lineRule="auto"/>
        <w:tabs>
          <w:tab w:leader="none" w:pos="167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56" w:lineRule="exact"/>
        <w:rPr>
          <w:rFonts w:ascii="Times New Roman" w:cs="Times New Roman" w:eastAsia="Times New Roman" w:hAnsi="Times New Roman"/>
          <w:sz w:val="16"/>
          <w:szCs w:val="16"/>
          <w:color w:val="auto"/>
        </w:rPr>
      </w:pPr>
    </w:p>
    <w:p>
      <w:pPr>
        <w:ind w:right="20" w:firstLine="1496"/>
        <w:spacing w:after="0" w:line="276" w:lineRule="auto"/>
        <w:tabs>
          <w:tab w:leader="none" w:pos="164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Other than Section 2(e) and this Section 5(l), which may not be amended, this Warrant may be modified or amended or the provisions hereof waived with the written consent of the Company, on the one hand, and the Holder of this Warrant, on the other hand.</w:t>
      </w:r>
    </w:p>
    <w:p>
      <w:pPr>
        <w:spacing w:after="0" w:line="144" w:lineRule="exact"/>
        <w:rPr>
          <w:rFonts w:ascii="Times New Roman" w:cs="Times New Roman" w:eastAsia="Times New Roman" w:hAnsi="Times New Roman"/>
          <w:sz w:val="16"/>
          <w:szCs w:val="16"/>
          <w:color w:val="auto"/>
        </w:rPr>
      </w:pPr>
    </w:p>
    <w:p>
      <w:pPr>
        <w:jc w:val="both"/>
        <w:ind w:firstLine="1496"/>
        <w:spacing w:after="0" w:line="261" w:lineRule="auto"/>
        <w:tabs>
          <w:tab w:leader="none" w:pos="1715"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56" w:lineRule="exact"/>
        <w:rPr>
          <w:rFonts w:ascii="Times New Roman" w:cs="Times New Roman" w:eastAsia="Times New Roman" w:hAnsi="Times New Roman"/>
          <w:sz w:val="16"/>
          <w:szCs w:val="16"/>
          <w:color w:val="auto"/>
        </w:rPr>
      </w:pPr>
    </w:p>
    <w:p>
      <w:pPr>
        <w:ind w:left="1660" w:hanging="164"/>
        <w:spacing w:after="0"/>
        <w:tabs>
          <w:tab w:leader="none" w:pos="16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Headings</w:t>
      </w:r>
      <w:r>
        <w:rPr>
          <w:rFonts w:ascii="Times New Roman" w:cs="Times New Roman" w:eastAsia="Times New Roman" w:hAnsi="Times New Roman"/>
          <w:sz w:val="15"/>
          <w:szCs w:val="15"/>
          <w:color w:val="auto"/>
        </w:rPr>
        <w:t>. The headings used in this Warrant are for the convenience of reference only and shall not, for any purpose, be deemed a part of this Warrant.</w:t>
      </w:r>
    </w:p>
    <w:p>
      <w:pPr>
        <w:spacing w:after="0" w:line="205" w:lineRule="exact"/>
        <w:rPr>
          <w:rFonts w:ascii="Times New Roman" w:cs="Times New Roman" w:eastAsia="Times New Roman" w:hAnsi="Times New Roman"/>
          <w:sz w:val="15"/>
          <w:szCs w:val="15"/>
          <w:color w:val="auto"/>
        </w:rPr>
      </w:pPr>
    </w:p>
    <w:p>
      <w:pPr>
        <w:ind w:left="48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w:t>
      </w:r>
    </w:p>
    <w:p>
      <w:pPr>
        <w:spacing w:after="0" w:line="192" w:lineRule="exact"/>
        <w:rPr>
          <w:rFonts w:ascii="Times New Roman" w:cs="Times New Roman" w:eastAsia="Times New Roman" w:hAnsi="Times New Roman"/>
          <w:sz w:val="15"/>
          <w:szCs w:val="15"/>
          <w:color w:val="auto"/>
        </w:rPr>
      </w:pPr>
    </w:p>
    <w:p>
      <w:pPr>
        <w:ind w:left="48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 w:right="3760" w:hanging="35"/>
        <w:spacing w:after="0" w:line="493"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4904-0996-4215, v.4 DOCPROPERTY "CUS_DocIDChunk0" 76095611.1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386080</wp:posOffset>
            </wp:positionV>
            <wp:extent cx="717486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38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IN WITNESS WHEREOF, the Company has caused this Warrant to be executed by its officer thereunto duly authorized as of the date first above indicated.</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DECOY THERAPEUTICS INC.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___________________________</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w:t>
      </w:r>
    </w:p>
    <w:p>
      <w:pPr>
        <w:spacing w:after="0" w:line="200" w:lineRule="exact"/>
        <w:rPr>
          <w:sz w:val="20"/>
          <w:szCs w:val="20"/>
          <w:color w:val="auto"/>
        </w:rPr>
      </w:pPr>
    </w:p>
    <w:p>
      <w:pPr>
        <w:spacing w:after="0" w:line="395" w:lineRule="exact"/>
        <w:rPr>
          <w:sz w:val="20"/>
          <w:szCs w:val="20"/>
          <w:color w:val="auto"/>
        </w:rPr>
      </w:pPr>
    </w:p>
    <w:p>
      <w:pPr>
        <w:ind w:left="60" w:right="3760" w:hanging="35"/>
        <w:spacing w:after="0" w:line="493"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4904-0996-4215, v.4 DOCPROPERTY "CUS_DocIDChunk0" 76095611.1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386080</wp:posOffset>
            </wp:positionV>
            <wp:extent cx="717486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NOTICE OF EXERCISE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TO: </w:t>
      </w:r>
      <w:r>
        <w:rPr>
          <w:rFonts w:ascii="Times New Roman" w:cs="Times New Roman" w:eastAsia="Times New Roman" w:hAnsi="Times New Roman"/>
          <w:sz w:val="16"/>
          <w:szCs w:val="16"/>
          <w:b w:val="1"/>
          <w:bCs w:val="1"/>
          <w:color w:val="auto"/>
        </w:rPr>
        <w:t>DECOY THERAPEUTICS INC.</w:t>
      </w:r>
    </w:p>
    <w:p>
      <w:pPr>
        <w:spacing w:after="0" w:line="196" w:lineRule="exact"/>
        <w:rPr>
          <w:sz w:val="20"/>
          <w:szCs w:val="20"/>
          <w:color w:val="auto"/>
        </w:rPr>
      </w:pPr>
    </w:p>
    <w:p>
      <w:pPr>
        <w:ind w:right="20" w:firstLine="1496"/>
        <w:spacing w:after="0" w:line="276" w:lineRule="auto"/>
        <w:tabs>
          <w:tab w:leader="none" w:pos="1727"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44" w:lineRule="exact"/>
        <w:rPr>
          <w:rFonts w:ascii="Times New Roman" w:cs="Times New Roman" w:eastAsia="Times New Roman" w:hAnsi="Times New Roman"/>
          <w:sz w:val="16"/>
          <w:szCs w:val="16"/>
          <w:color w:val="auto"/>
        </w:rPr>
      </w:pPr>
    </w:p>
    <w:p>
      <w:pPr>
        <w:ind w:left="1720" w:hanging="224"/>
        <w:spacing w:after="0"/>
        <w:tabs>
          <w:tab w:leader="none" w:pos="17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shall take the form of (check applicable box):</w:t>
      </w:r>
    </w:p>
    <w:p>
      <w:pPr>
        <w:spacing w:after="0" w:line="19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6"/>
          <w:szCs w:val="16"/>
          <w:color w:val="auto"/>
        </w:rPr>
        <w:t>[ ] in lawful money of the United States; or</w:t>
      </w:r>
    </w:p>
    <w:p>
      <w:pPr>
        <w:spacing w:after="0" w:line="194" w:lineRule="exact"/>
        <w:rPr>
          <w:sz w:val="20"/>
          <w:szCs w:val="20"/>
          <w:color w:val="auto"/>
        </w:rPr>
      </w:pPr>
    </w:p>
    <w:p>
      <w:pPr>
        <w:jc w:val="both"/>
        <w:ind w:left="1880" w:right="20" w:hanging="9"/>
        <w:spacing w:after="0" w:line="261" w:lineRule="auto"/>
        <w:tabs>
          <w:tab w:leader="none" w:pos="1983"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56" w:lineRule="exact"/>
        <w:rPr>
          <w:rFonts w:ascii="Times New Roman" w:cs="Times New Roman" w:eastAsia="Times New Roman" w:hAnsi="Times New Roman"/>
          <w:sz w:val="16"/>
          <w:szCs w:val="16"/>
          <w:color w:val="auto"/>
        </w:rPr>
      </w:pPr>
    </w:p>
    <w:p>
      <w:pPr>
        <w:ind w:left="1720" w:hanging="224"/>
        <w:spacing w:after="0"/>
        <w:tabs>
          <w:tab w:leader="none" w:pos="17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issue said Warrant Shares in the name of the undersigned or in such other name as is specified below:</w:t>
      </w:r>
    </w:p>
    <w:p>
      <w:pPr>
        <w:spacing w:after="0" w:line="19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6"/>
          <w:szCs w:val="16"/>
          <w:color w:val="auto"/>
        </w:rPr>
        <w:t>_______________________________</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Warrant Shares shall be delivered to the following DWAC Account Number:</w:t>
      </w:r>
    </w:p>
    <w:p>
      <w:pPr>
        <w:spacing w:after="0" w:line="19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6"/>
          <w:szCs w:val="16"/>
          <w:color w:val="auto"/>
        </w:rPr>
        <w:t>_______________________________</w:t>
      </w:r>
    </w:p>
    <w:p>
      <w:pPr>
        <w:spacing w:after="0" w:line="19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6"/>
          <w:szCs w:val="16"/>
          <w:color w:val="auto"/>
        </w:rPr>
        <w:t>_______________________________</w:t>
      </w:r>
    </w:p>
    <w:p>
      <w:pPr>
        <w:spacing w:after="0" w:line="19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6"/>
          <w:szCs w:val="16"/>
          <w:color w:val="auto"/>
        </w:rPr>
        <w:t>_______________________________</w:t>
      </w:r>
    </w:p>
    <w:p>
      <w:pPr>
        <w:spacing w:after="0" w:line="19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[SIGNATURE OF HOLDER]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Investing Entity: ______________________________________________________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Signature of Authorized Signatory of Investing Entity</w:t>
      </w:r>
      <w:r>
        <w:rPr>
          <w:rFonts w:ascii="Times New Roman" w:cs="Times New Roman" w:eastAsia="Times New Roman" w:hAnsi="Times New Roman"/>
          <w:sz w:val="16"/>
          <w:szCs w:val="16"/>
          <w:color w:val="auto"/>
        </w:rPr>
        <w:t>: _________________________________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Authorized Signatory: ___________________________________________________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of Authorized Signatory: ____________________________________________________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0" w:right="3760" w:hanging="35"/>
        <w:spacing w:after="0" w:line="493"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4904-0996-4215, v.4 DOCPROPERTY "CUS_DocIDChunk0" 76095611.1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386080</wp:posOffset>
            </wp:positionV>
            <wp:extent cx="717486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B</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ASSIGNMENT FORM</w:t>
      </w:r>
    </w:p>
    <w:p>
      <w:pPr>
        <w:spacing w:after="0" w:line="192" w:lineRule="exact"/>
        <w:rPr>
          <w:sz w:val="20"/>
          <w:szCs w:val="20"/>
          <w:color w:val="auto"/>
        </w:rPr>
      </w:pPr>
    </w:p>
    <w:p>
      <w:pPr>
        <w:ind w:left="360" w:right="1320"/>
        <w:spacing w:after="0" w:line="494" w:lineRule="auto"/>
        <w:rPr>
          <w:sz w:val="20"/>
          <w:szCs w:val="20"/>
          <w:color w:val="auto"/>
        </w:rPr>
      </w:pPr>
      <w:r>
        <w:rPr>
          <w:rFonts w:ascii="Times New Roman" w:cs="Times New Roman" w:eastAsia="Times New Roman" w:hAnsi="Times New Roman"/>
          <w:sz w:val="16"/>
          <w:szCs w:val="16"/>
          <w:i w:val="1"/>
          <w:iCs w:val="1"/>
          <w:color w:val="auto"/>
        </w:rPr>
        <w:t xml:space="preserve">(To assign the foregoing Warrant, execute this form and supply required information. Do not use this form to exercise the Warrant to purchase shares.) </w:t>
      </w:r>
      <w:r>
        <w:rPr>
          <w:rFonts w:ascii="Times New Roman" w:cs="Times New Roman" w:eastAsia="Times New Roman" w:hAnsi="Times New Roman"/>
          <w:sz w:val="16"/>
          <w:szCs w:val="16"/>
          <w:color w:val="auto"/>
        </w:rPr>
        <w:t>FOR VALUE RECEIVED, the foregoing Warrant and all rights evidenced thereby are hereby assigned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5223510</wp:posOffset>
            </wp:positionH>
            <wp:positionV relativeFrom="paragraph">
              <wp:posOffset>13970</wp:posOffset>
            </wp:positionV>
            <wp:extent cx="192278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22780" cy="7620"/>
                    </a:xfrm>
                    <a:prstGeom prst="rect">
                      <a:avLst/>
                    </a:prstGeom>
                    <a:noFill/>
                  </pic:spPr>
                </pic:pic>
              </a:graphicData>
            </a:graphic>
          </wp:anchor>
        </w:drawing>
      </w:r>
    </w:p>
    <w:p>
      <w:pPr>
        <w:spacing w:after="0" w:line="2"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color w:val="auto"/>
        </w:rPr>
        <w:t>(Please Print)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5223510</wp:posOffset>
            </wp:positionH>
            <wp:positionV relativeFrom="paragraph">
              <wp:posOffset>13970</wp:posOffset>
            </wp:positionV>
            <wp:extent cx="192278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22780" cy="7620"/>
                    </a:xfrm>
                    <a:prstGeom prst="rect">
                      <a:avLst/>
                    </a:prstGeom>
                    <a:noFill/>
                  </pic:spPr>
                </pic:pic>
              </a:graphicData>
            </a:graphic>
          </wp:anchor>
        </w:drawing>
      </w:r>
    </w:p>
    <w:p>
      <w:pPr>
        <w:spacing w:after="0" w:line="2"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color w:val="auto"/>
        </w:rPr>
        <w:t>(Please Print)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5223510</wp:posOffset>
            </wp:positionH>
            <wp:positionV relativeFrom="paragraph">
              <wp:posOffset>13970</wp:posOffset>
            </wp:positionV>
            <wp:extent cx="192278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22780" cy="762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5223510</wp:posOffset>
            </wp:positionH>
            <wp:positionV relativeFrom="paragraph">
              <wp:posOffset>13970</wp:posOffset>
            </wp:positionV>
            <wp:extent cx="192278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22780" cy="762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_______________ __, ______</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1296035</wp:posOffset>
            </wp:positionH>
            <wp:positionV relativeFrom="paragraph">
              <wp:posOffset>13970</wp:posOffset>
            </wp:positionV>
            <wp:extent cx="303403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34030" cy="762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1296035</wp:posOffset>
            </wp:positionH>
            <wp:positionV relativeFrom="paragraph">
              <wp:posOffset>13970</wp:posOffset>
            </wp:positionV>
            <wp:extent cx="303403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340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0" w:right="3760" w:hanging="35"/>
        <w:spacing w:after="0" w:line="493"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4904-0996-4215, v.4 DOCPROPERTY "CUS_DocIDChunk0" 76095611.1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386080</wp:posOffset>
            </wp:positionV>
            <wp:extent cx="717486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9"/>
          <w:szCs w:val="19"/>
          <w:b w:val="1"/>
          <w:bCs w:val="1"/>
          <w:color w:val="auto"/>
        </w:rPr>
        <w:t>Exhibit 4.2</w:t>
      </w:r>
    </w:p>
    <w:p>
      <w:pPr>
        <w:spacing w:after="0" w:line="200" w:lineRule="exact"/>
        <w:rPr>
          <w:sz w:val="20"/>
          <w:szCs w:val="20"/>
          <w:color w:val="auto"/>
        </w:rPr>
      </w:pPr>
    </w:p>
    <w:p>
      <w:pPr>
        <w:spacing w:after="0" w:line="349"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6"/>
          <w:szCs w:val="16"/>
          <w:color w:val="auto"/>
        </w:rPr>
        <w:t>Warrant Certificate No.</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SECURITIES REPRESENTED HEREBY AND THE SECURITIES ISSUABLE UPON EXERCISE OF THESE SECURITIES HAVE NOT BEEN REGISTERED UNDER THE U.S. SECURITIES ACT OF 1933, AS AMENDED (THE “SECURITIES ACT”), OR ANY STATE SECURITIES LAWS, AND SUCH SECURITIES MAY NOT BE OFFERED, SOLD, PLEDGED OR OTHERWISE TRANSFERRED UNLESS (1) A REGISTRATION STATEMENT WITH RESPECT THERETO IS EFFECTIVE UNDER THE SECURITIES ACT AND ANY APPLICABLE STATE SECURITIES LAWS, OR (2) AN EXEMPTION FROM SUCH REGISTRATION REQUIREMENTS IS AVAILABLE AND THE COMPANY RECEIVES AN OPINION OF COUNSEL TO THE HOLDER OF SUCH SECURITIES, WHICH COUNSEL AND OPINION ARE SATISFACTORY TO THE COMPANY, THAT SUCH SECURITIES MAY BE OFFERED, SOLD, PLEDGED, OR OTHERWISE TRANSFERRED IN THE MANNER CONTEMPLATED WITHOUT AN EFFECTIVE REGISTRATION STATEMENT UNDER THE SECURITIES ACT LAWS.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Issuance Date: [ ], 2026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DECOY THERAPEUTICS INC.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FORM OF SERIES A WARRANT TO PURCHASE COMMON SHARES OR PRE-FUNDED WARRANTS</w:t>
      </w:r>
    </w:p>
    <w:p>
      <w:pPr>
        <w:spacing w:after="0" w:line="192" w:lineRule="exact"/>
        <w:rPr>
          <w:sz w:val="20"/>
          <w:szCs w:val="20"/>
          <w:color w:val="auto"/>
        </w:rPr>
      </w:pPr>
    </w:p>
    <w:p>
      <w:pPr>
        <w:jc w:val="both"/>
        <w:ind w:firstLine="751"/>
        <w:spacing w:after="0" w:line="251" w:lineRule="auto"/>
        <w:rPr>
          <w:sz w:val="20"/>
          <w:szCs w:val="20"/>
          <w:color w:val="auto"/>
        </w:rPr>
      </w:pPr>
      <w:r>
        <w:rPr>
          <w:rFonts w:ascii="Times New Roman" w:cs="Times New Roman" w:eastAsia="Times New Roman" w:hAnsi="Times New Roman"/>
          <w:sz w:val="16"/>
          <w:szCs w:val="16"/>
          <w:b w:val="1"/>
          <w:bCs w:val="1"/>
          <w:color w:val="auto"/>
        </w:rPr>
        <w:t>Decoy Therapeutics Inc.</w:t>
      </w:r>
      <w:r>
        <w:rPr>
          <w:rFonts w:ascii="Times New Roman" w:cs="Times New Roman" w:eastAsia="Times New Roman" w:hAnsi="Times New Roman"/>
          <w:sz w:val="16"/>
          <w:szCs w:val="16"/>
          <w:color w:val="auto"/>
        </w:rPr>
        <w:t>, a Delaware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for value received on June [ ], 2026 (the “</w:t>
      </w:r>
      <w:r>
        <w:rPr>
          <w:rFonts w:ascii="Times New Roman" w:cs="Times New Roman" w:eastAsia="Times New Roman" w:hAnsi="Times New Roman"/>
          <w:sz w:val="16"/>
          <w:szCs w:val="16"/>
          <w:b w:val="1"/>
          <w:bCs w:val="1"/>
          <w:color w:val="auto"/>
        </w:rPr>
        <w:t>Issuance Date</w:t>
      </w:r>
      <w:r>
        <w:rPr>
          <w:rFonts w:ascii="Times New Roman" w:cs="Times New Roman" w:eastAsia="Times New Roman" w:hAnsi="Times New Roman"/>
          <w:sz w:val="16"/>
          <w:szCs w:val="16"/>
          <w:color w:val="auto"/>
        </w:rPr>
        <w:t>”), hereby issues to</w:t>
      </w:r>
      <w:r>
        <w:rPr>
          <w:rFonts w:ascii="Times New Roman" w:cs="Times New Roman" w:eastAsia="Times New Roman" w:hAnsi="Times New Roman"/>
          <w:sz w:val="16"/>
          <w:szCs w:val="16"/>
          <w:b w:val="1"/>
          <w:bCs w:val="1"/>
          <w:color w:val="auto"/>
        </w:rPr>
        <w:t xml:space="preserve"> [ ] </w:t>
      </w: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color w:val="auto"/>
        </w:rPr>
        <w:t>Holder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Warrant (the “</w:t>
      </w:r>
      <w:r>
        <w:rPr>
          <w:rFonts w:ascii="Times New Roman" w:cs="Times New Roman" w:eastAsia="Times New Roman" w:hAnsi="Times New Roman"/>
          <w:sz w:val="16"/>
          <w:szCs w:val="16"/>
          <w:b w:val="1"/>
          <w:bCs w:val="1"/>
          <w:color w:val="auto"/>
        </w:rPr>
        <w:t>Warrant</w:t>
      </w:r>
      <w:r>
        <w:rPr>
          <w:rFonts w:ascii="Times New Roman" w:cs="Times New Roman" w:eastAsia="Times New Roman" w:hAnsi="Times New Roman"/>
          <w:sz w:val="16"/>
          <w:szCs w:val="16"/>
          <w:color w:val="auto"/>
        </w:rPr>
        <w:t>”) to purchase [ ] Common Shares (as hereinafter defined) (each such share as from time to time adjusted as hereinafter provided being a “</w:t>
      </w:r>
      <w:r>
        <w:rPr>
          <w:rFonts w:ascii="Times New Roman" w:cs="Times New Roman" w:eastAsia="Times New Roman" w:hAnsi="Times New Roman"/>
          <w:sz w:val="16"/>
          <w:szCs w:val="16"/>
          <w:b w:val="1"/>
          <w:bCs w:val="1"/>
          <w:color w:val="auto"/>
        </w:rPr>
        <w:t>Warrant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Share</w:t>
      </w:r>
      <w:r>
        <w:rPr>
          <w:rFonts w:ascii="Times New Roman" w:cs="Times New Roman" w:eastAsia="Times New Roman" w:hAnsi="Times New Roman"/>
          <w:sz w:val="16"/>
          <w:szCs w:val="16"/>
          <w:color w:val="auto"/>
        </w:rPr>
        <w:t>” and all such shares being the “</w:t>
      </w:r>
      <w:r>
        <w:rPr>
          <w:rFonts w:ascii="Times New Roman" w:cs="Times New Roman" w:eastAsia="Times New Roman" w:hAnsi="Times New Roman"/>
          <w:sz w:val="16"/>
          <w:szCs w:val="16"/>
          <w:b w:val="1"/>
          <w:bCs w:val="1"/>
          <w:color w:val="auto"/>
        </w:rPr>
        <w:t>Warrant Shares</w:t>
      </w:r>
      <w:r>
        <w:rPr>
          <w:rFonts w:ascii="Times New Roman" w:cs="Times New Roman" w:eastAsia="Times New Roman" w:hAnsi="Times New Roman"/>
          <w:sz w:val="16"/>
          <w:szCs w:val="16"/>
          <w:color w:val="auto"/>
        </w:rPr>
        <w:t>”), at the Exercise Price (as defined below), as from time to time adjusted as hereinafter provided, on or before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Expiration Date (as defined below), all subject to the following terms and conditions. This Warrant is one of a series of warrants of like tenor that have been issued in connection with the Company’s private offering solely to accredited investors (as defined under applicable U.S. federal securities laws) of units of Common Shares and Warrants in accordance with, and subject to, the terms and conditions described in that certain Securities Purchase Agreement between the Company and each purchaser thereunder, inclusive of all exhibits and all amendments, supplements and appendices thereto (the “</w:t>
      </w:r>
      <w:r>
        <w:rPr>
          <w:rFonts w:ascii="Times New Roman" w:cs="Times New Roman" w:eastAsia="Times New Roman" w:hAnsi="Times New Roman"/>
          <w:sz w:val="16"/>
          <w:szCs w:val="16"/>
          <w:b w:val="1"/>
          <w:bCs w:val="1"/>
          <w:color w:val="auto"/>
        </w:rPr>
        <w:t>Purchase Agreement</w:t>
      </w:r>
      <w:r>
        <w:rPr>
          <w:rFonts w:ascii="Times New Roman" w:cs="Times New Roman" w:eastAsia="Times New Roman" w:hAnsi="Times New Roman"/>
          <w:sz w:val="16"/>
          <w:szCs w:val="16"/>
          <w:color w:val="auto"/>
        </w:rPr>
        <w:t>”). Capitalized terms used, but not defined herein, shall have the meanings given to such terms in the Purchase Agreement.</w:t>
      </w:r>
    </w:p>
    <w:p>
      <w:pPr>
        <w:spacing w:after="0" w:line="164" w:lineRule="exact"/>
        <w:rPr>
          <w:sz w:val="20"/>
          <w:szCs w:val="20"/>
          <w:color w:val="auto"/>
        </w:rPr>
      </w:pPr>
    </w:p>
    <w:p>
      <w:pPr>
        <w:jc w:val="both"/>
        <w:ind w:firstLine="751"/>
        <w:spacing w:after="0" w:line="244" w:lineRule="auto"/>
        <w:rPr>
          <w:sz w:val="20"/>
          <w:szCs w:val="20"/>
          <w:color w:val="auto"/>
        </w:rPr>
      </w:pPr>
      <w:r>
        <w:rPr>
          <w:rFonts w:ascii="Times New Roman" w:cs="Times New Roman" w:eastAsia="Times New Roman" w:hAnsi="Times New Roman"/>
          <w:sz w:val="16"/>
          <w:szCs w:val="16"/>
          <w:color w:val="auto"/>
        </w:rPr>
        <w:t>As used in this Warrant, (i) “</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means any day other than Saturday, Sunday or any other day on which commercial banks in the City of New York, New York, are authorized or required by law or executive order to close; (ii) “</w:t>
      </w:r>
      <w:r>
        <w:rPr>
          <w:rFonts w:ascii="Times New Roman" w:cs="Times New Roman" w:eastAsia="Times New Roman" w:hAnsi="Times New Roman"/>
          <w:sz w:val="16"/>
          <w:szCs w:val="16"/>
          <w:b w:val="1"/>
          <w:bCs w:val="1"/>
          <w:color w:val="auto"/>
        </w:rPr>
        <w:t>Common Shares</w:t>
      </w:r>
      <w:r>
        <w:rPr>
          <w:rFonts w:ascii="Times New Roman" w:cs="Times New Roman" w:eastAsia="Times New Roman" w:hAnsi="Times New Roman"/>
          <w:sz w:val="16"/>
          <w:szCs w:val="16"/>
          <w:color w:val="auto"/>
        </w:rPr>
        <w:t>” means the shares of the Company’s common stock, par value 0.0001 per share; (iii) “</w:t>
      </w:r>
      <w:r>
        <w:rPr>
          <w:rFonts w:ascii="Times New Roman" w:cs="Times New Roman" w:eastAsia="Times New Roman" w:hAnsi="Times New Roman"/>
          <w:sz w:val="16"/>
          <w:szCs w:val="16"/>
          <w:b w:val="1"/>
          <w:bCs w:val="1"/>
          <w:color w:val="auto"/>
        </w:rPr>
        <w:t>Exercise Price</w:t>
      </w:r>
      <w:r>
        <w:rPr>
          <w:rFonts w:ascii="Times New Roman" w:cs="Times New Roman" w:eastAsia="Times New Roman" w:hAnsi="Times New Roman"/>
          <w:sz w:val="16"/>
          <w:szCs w:val="16"/>
          <w:color w:val="auto"/>
        </w:rPr>
        <w:t>” means U.S. $[ ] per Warrant Share, subject to adjustment as provided herein; (iv) “</w:t>
      </w:r>
      <w:r>
        <w:rPr>
          <w:rFonts w:ascii="Times New Roman" w:cs="Times New Roman" w:eastAsia="Times New Roman" w:hAnsi="Times New Roman"/>
          <w:sz w:val="16"/>
          <w:szCs w:val="16"/>
          <w:b w:val="1"/>
          <w:bCs w:val="1"/>
          <w:color w:val="auto"/>
        </w:rPr>
        <w:t>Exercise Commencement Date</w:t>
      </w:r>
      <w:r>
        <w:rPr>
          <w:rFonts w:ascii="Times New Roman" w:cs="Times New Roman" w:eastAsia="Times New Roman" w:hAnsi="Times New Roman"/>
          <w:sz w:val="16"/>
          <w:szCs w:val="16"/>
          <w:color w:val="auto"/>
        </w:rPr>
        <w:t>” means the Issuance Date; (v) “</w:t>
      </w:r>
      <w:r>
        <w:rPr>
          <w:rFonts w:ascii="Times New Roman" w:cs="Times New Roman" w:eastAsia="Times New Roman" w:hAnsi="Times New Roman"/>
          <w:sz w:val="16"/>
          <w:szCs w:val="16"/>
          <w:b w:val="1"/>
          <w:bCs w:val="1"/>
          <w:color w:val="auto"/>
        </w:rPr>
        <w:t>Expiration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Date</w:t>
      </w:r>
      <w:r>
        <w:rPr>
          <w:rFonts w:ascii="Times New Roman" w:cs="Times New Roman" w:eastAsia="Times New Roman" w:hAnsi="Times New Roman"/>
          <w:sz w:val="16"/>
          <w:szCs w:val="16"/>
          <w:color w:val="auto"/>
        </w:rPr>
        <w:t>” means the earlier of (i) the 90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day following the date of the Milestone Event, or if such 90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day falls on a day other than a Business Day, the next day that is a Business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Day or (ii) June [ ], 2031; (vi) “</w:t>
      </w:r>
      <w:r>
        <w:rPr>
          <w:rFonts w:ascii="Times New Roman" w:cs="Times New Roman" w:eastAsia="Times New Roman" w:hAnsi="Times New Roman"/>
          <w:sz w:val="16"/>
          <w:szCs w:val="16"/>
          <w:b w:val="1"/>
          <w:bCs w:val="1"/>
          <w:color w:val="auto"/>
        </w:rPr>
        <w:t>Trading Day</w:t>
      </w:r>
      <w:r>
        <w:rPr>
          <w:rFonts w:ascii="Times New Roman" w:cs="Times New Roman" w:eastAsia="Times New Roman" w:hAnsi="Times New Roman"/>
          <w:sz w:val="16"/>
          <w:szCs w:val="16"/>
          <w:color w:val="auto"/>
        </w:rPr>
        <w:t>” means any day on which the Common Shares are traded (or available for trading) on their principal trading market in the United States; (vii) “</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means, with respect to any specified person, any other person who, directly or indirectly, controls, is controlled by, or is under common control with such person; and (viii) “</w:t>
      </w:r>
      <w:r>
        <w:rPr>
          <w:rFonts w:ascii="Times New Roman" w:cs="Times New Roman" w:eastAsia="Times New Roman" w:hAnsi="Times New Roman"/>
          <w:sz w:val="16"/>
          <w:szCs w:val="16"/>
          <w:b w:val="1"/>
          <w:bCs w:val="1"/>
          <w:color w:val="auto"/>
        </w:rPr>
        <w:t>Registration Rights Agreement</w:t>
      </w:r>
      <w:r>
        <w:rPr>
          <w:rFonts w:ascii="Times New Roman" w:cs="Times New Roman" w:eastAsia="Times New Roman" w:hAnsi="Times New Roman"/>
          <w:sz w:val="16"/>
          <w:szCs w:val="16"/>
          <w:color w:val="auto"/>
        </w:rPr>
        <w:t>” means that certain Registration Rights Agreement among the Company and each of the Holders as contemplated in the Purchase Agreement. As used herein, “</w:t>
      </w:r>
      <w:r>
        <w:rPr>
          <w:rFonts w:ascii="Times New Roman" w:cs="Times New Roman" w:eastAsia="Times New Roman" w:hAnsi="Times New Roman"/>
          <w:sz w:val="16"/>
          <w:szCs w:val="16"/>
          <w:b w:val="1"/>
          <w:bCs w:val="1"/>
          <w:color w:val="auto"/>
        </w:rPr>
        <w:t>Milestone Event</w:t>
      </w:r>
      <w:r>
        <w:rPr>
          <w:rFonts w:ascii="Times New Roman" w:cs="Times New Roman" w:eastAsia="Times New Roman" w:hAnsi="Times New Roman"/>
          <w:sz w:val="16"/>
          <w:szCs w:val="16"/>
          <w:color w:val="auto"/>
        </w:rPr>
        <w:t>” means the later of (a) the date of filing by the Company of a Clinical Trial Application with the applicable competent regulatory authority in the European Economic Area to commence a Phase 1 clinical trial and (b) the date on which the shareholders of the Company approve a proposal to approve the exercise of the Series A Warrants to Purchase Common Stock, the Series B Warrants to Purchase Common Stock and the Series C Warrants to Purchase Common Stock, as may be required by the applicable rules and regulations of the Nasdaq Stock Market LLC (or any successor entity); provided that, if such shareholder approval is not obtained, the Company shall (i)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76095625.1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9"/>
          <w:szCs w:val="19"/>
          <w:b w:val="1"/>
          <w:bCs w:val="1"/>
          <w:color w:val="auto"/>
        </w:rPr>
        <w:t>Exhibit 4.2</w:t>
      </w:r>
    </w:p>
    <w:p>
      <w:pPr>
        <w:spacing w:after="0" w:line="360" w:lineRule="exact"/>
        <w:rPr>
          <w:sz w:val="20"/>
          <w:szCs w:val="20"/>
          <w:color w:val="auto"/>
        </w:rPr>
      </w:pPr>
    </w:p>
    <w:p>
      <w:pPr>
        <w:jc w:val="both"/>
        <w:ind w:left="5"/>
        <w:spacing w:after="0" w:line="276" w:lineRule="auto"/>
        <w:rPr>
          <w:sz w:val="20"/>
          <w:szCs w:val="20"/>
          <w:color w:val="auto"/>
        </w:rPr>
      </w:pPr>
      <w:r>
        <w:rPr>
          <w:rFonts w:ascii="Times New Roman" w:cs="Times New Roman" w:eastAsia="Times New Roman" w:hAnsi="Times New Roman"/>
          <w:sz w:val="16"/>
          <w:szCs w:val="16"/>
          <w:color w:val="auto"/>
        </w:rPr>
        <w:t>and hold a special meeting of shareholders within 90 days after such vote to again seek such approval and (ii) continue to seek such approval at least once every 90 days thereafter until such approval is obtained.</w:t>
      </w:r>
    </w:p>
    <w:p>
      <w:pPr>
        <w:spacing w:after="0" w:line="145" w:lineRule="exact"/>
        <w:rPr>
          <w:sz w:val="20"/>
          <w:szCs w:val="20"/>
          <w:color w:val="auto"/>
        </w:rPr>
      </w:pPr>
    </w:p>
    <w:p>
      <w:pPr>
        <w:ind w:left="365" w:hanging="365"/>
        <w:spacing w:after="0"/>
        <w:tabs>
          <w:tab w:leader="none" w:pos="365"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DURATION AND EXERCISE OF WARRANTS</w:t>
      </w:r>
    </w:p>
    <w:p>
      <w:pPr>
        <w:spacing w:after="0" w:line="218" w:lineRule="exact"/>
        <w:rPr>
          <w:rFonts w:ascii="Times New Roman" w:cs="Times New Roman" w:eastAsia="Times New Roman" w:hAnsi="Times New Roman"/>
          <w:sz w:val="16"/>
          <w:szCs w:val="16"/>
          <w:color w:val="auto"/>
        </w:rPr>
      </w:pPr>
    </w:p>
    <w:p>
      <w:pPr>
        <w:jc w:val="both"/>
        <w:ind w:left="5" w:right="20" w:firstLine="745"/>
        <w:spacing w:after="0" w:line="261" w:lineRule="auto"/>
        <w:tabs>
          <w:tab w:leader="none" w:pos="97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Period</w:t>
      </w:r>
      <w:r>
        <w:rPr>
          <w:rFonts w:ascii="Times New Roman" w:cs="Times New Roman" w:eastAsia="Times New Roman" w:hAnsi="Times New Roman"/>
          <w:sz w:val="16"/>
          <w:szCs w:val="16"/>
          <w:color w:val="auto"/>
        </w:rPr>
        <w:t>. Commencing on the Exercise Commencement Date, the Holder may, upon the terms and subject to the limitations on exercise and the conditions hereinafter set forth, exercise this Warrant in whole or in part on any Business Day on or before 11:59 P.M., Eastern Time, on the Expiration Date, at which time this Warrant shall become void and of no value.</w:t>
      </w:r>
    </w:p>
    <w:p>
      <w:pPr>
        <w:spacing w:after="0" w:line="156" w:lineRule="exact"/>
        <w:rPr>
          <w:rFonts w:ascii="Times New Roman" w:cs="Times New Roman" w:eastAsia="Times New Roman" w:hAnsi="Times New Roman"/>
          <w:sz w:val="16"/>
          <w:szCs w:val="16"/>
          <w:color w:val="auto"/>
        </w:rPr>
      </w:pPr>
    </w:p>
    <w:p>
      <w:pPr>
        <w:ind w:left="965" w:hanging="215"/>
        <w:spacing w:after="0"/>
        <w:tabs>
          <w:tab w:leader="none" w:pos="965"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Procedures.</w:t>
      </w:r>
    </w:p>
    <w:p>
      <w:pPr>
        <w:spacing w:after="0" w:line="194" w:lineRule="exact"/>
        <w:rPr>
          <w:rFonts w:ascii="Times New Roman" w:cs="Times New Roman" w:eastAsia="Times New Roman" w:hAnsi="Times New Roman"/>
          <w:sz w:val="16"/>
          <w:szCs w:val="16"/>
          <w:color w:val="auto"/>
        </w:rPr>
      </w:pPr>
    </w:p>
    <w:p>
      <w:pPr>
        <w:jc w:val="both"/>
        <w:ind w:left="5" w:firstLine="1496"/>
        <w:spacing w:after="0" w:line="249" w:lineRule="auto"/>
        <w:tabs>
          <w:tab w:leader="none" w:pos="1700" w:val="left"/>
        </w:tabs>
        <w:numPr>
          <w:ilvl w:val="2"/>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While this Warrant remains outstanding and exercisable in accordance with Section 1(a), in addition to the manner set forth in Section 1(b)(ii) below, the Holder may exercise this Warrant in whole or in part at any time and from time to time by delivery to the Company of a duly executed copy of the Notice of Exercise attached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Notice of Exercise</w:t>
      </w:r>
      <w:r>
        <w:rPr>
          <w:rFonts w:ascii="Times New Roman" w:cs="Times New Roman" w:eastAsia="Times New Roman" w:hAnsi="Times New Roman"/>
          <w:sz w:val="16"/>
          <w:szCs w:val="16"/>
          <w:color w:val="auto"/>
        </w:rPr>
        <w:t>”). Within the earlier of (i) two (2) Trading Days and (ii) the number of Trading Days comprising the Standard Settlement Period (as defined below) following the date of exercise as aforesaid (the “</w:t>
      </w:r>
      <w:r>
        <w:rPr>
          <w:rFonts w:ascii="Times New Roman" w:cs="Times New Roman" w:eastAsia="Times New Roman" w:hAnsi="Times New Roman"/>
          <w:sz w:val="16"/>
          <w:szCs w:val="16"/>
          <w:b w:val="1"/>
          <w:bCs w:val="1"/>
          <w:color w:val="auto"/>
        </w:rPr>
        <w:t>Warrant Share Delivery Date</w:t>
      </w:r>
      <w:r>
        <w:rPr>
          <w:rFonts w:ascii="Times New Roman" w:cs="Times New Roman" w:eastAsia="Times New Roman" w:hAnsi="Times New Roman"/>
          <w:sz w:val="16"/>
          <w:szCs w:val="16"/>
          <w:color w:val="auto"/>
        </w:rPr>
        <w:t>”), the Holder shall deliver the aggregate Exercise Price for the shares specified in the applicable Notice of Exercise by wire transfer or cashier’s check drawn on a United States bank unless the cashless exercise procedure specified in Section 1(b)(ii)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As used herein, “</w:t>
      </w:r>
      <w:r>
        <w:rPr>
          <w:rFonts w:ascii="Times New Roman" w:cs="Times New Roman" w:eastAsia="Times New Roman" w:hAnsi="Times New Roman"/>
          <w:sz w:val="16"/>
          <w:szCs w:val="16"/>
          <w:b w:val="1"/>
          <w:bCs w:val="1"/>
          <w:color w:val="auto"/>
        </w:rPr>
        <w:t>Standard Settlement Period</w:t>
      </w:r>
      <w:r>
        <w:rPr>
          <w:rFonts w:ascii="Times New Roman" w:cs="Times New Roman" w:eastAsia="Times New Roman" w:hAnsi="Times New Roman"/>
          <w:sz w:val="16"/>
          <w:szCs w:val="16"/>
          <w:color w:val="auto"/>
        </w:rPr>
        <w:t>” means the standard settlement period, expressed in a number of Trading Days, on the Company’s primary trading market with respect to the Common Shares as in effect on the date of delivery of the Notice of Exercise.</w:t>
      </w:r>
    </w:p>
    <w:p>
      <w:pPr>
        <w:spacing w:after="0" w:line="165" w:lineRule="exact"/>
        <w:rPr>
          <w:rFonts w:ascii="Times New Roman" w:cs="Times New Roman" w:eastAsia="Times New Roman" w:hAnsi="Times New Roman"/>
          <w:sz w:val="16"/>
          <w:szCs w:val="16"/>
          <w:color w:val="auto"/>
        </w:rPr>
      </w:pPr>
    </w:p>
    <w:p>
      <w:pPr>
        <w:jc w:val="both"/>
        <w:ind w:left="5" w:firstLine="1496"/>
        <w:spacing w:after="0" w:line="256" w:lineRule="auto"/>
        <w:tabs>
          <w:tab w:leader="none" w:pos="1738" w:val="left"/>
        </w:tabs>
        <w:numPr>
          <w:ilvl w:val="2"/>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at any time a registration statement is not effective or available (as provided in the Registration Rights Agreement) for the resale by the Holder of all of the Warrant Shares, then the Holder may, in its sole discretion, exercise all or any part of the Warrant in a “cashless” or “net-issue” exercise (a “</w:t>
      </w:r>
      <w:r>
        <w:rPr>
          <w:rFonts w:ascii="Times New Roman" w:cs="Times New Roman" w:eastAsia="Times New Roman" w:hAnsi="Times New Roman"/>
          <w:sz w:val="16"/>
          <w:szCs w:val="16"/>
          <w:b w:val="1"/>
          <w:bCs w:val="1"/>
          <w:color w:val="auto"/>
        </w:rPr>
        <w:t>Cashless Exercise</w:t>
      </w:r>
      <w:r>
        <w:rPr>
          <w:rFonts w:ascii="Times New Roman" w:cs="Times New Roman" w:eastAsia="Times New Roman" w:hAnsi="Times New Roman"/>
          <w:sz w:val="16"/>
          <w:szCs w:val="16"/>
          <w:color w:val="auto"/>
        </w:rPr>
        <w:t>”) by delivering to the Company a Notice of Exercise, in which case, the number of Warrant Shares to be issued to the Holder upon such exercise shall be calculated using the following formula:</w:t>
      </w:r>
    </w:p>
    <w:p>
      <w:pPr>
        <w:spacing w:after="0" w:line="161" w:lineRule="exact"/>
        <w:rPr>
          <w:sz w:val="20"/>
          <w:szCs w:val="20"/>
          <w:color w:val="auto"/>
        </w:rPr>
      </w:pPr>
    </w:p>
    <w:p>
      <w:pPr>
        <w:ind w:left="425"/>
        <w:spacing w:after="0"/>
        <w:tabs>
          <w:tab w:leader="none" w:pos="965" w:val="left"/>
        </w:tabs>
        <w:rPr>
          <w:sz w:val="20"/>
          <w:szCs w:val="20"/>
          <w:color w:val="auto"/>
        </w:rPr>
      </w:pPr>
      <w:r>
        <w:rPr>
          <w:rFonts w:ascii="Times New Roman" w:cs="Times New Roman" w:eastAsia="Times New Roman" w:hAnsi="Times New Roman"/>
          <w:sz w:val="16"/>
          <w:szCs w:val="16"/>
          <w:color w:val="auto"/>
        </w:rPr>
        <w:t>X =</w:t>
      </w:r>
      <w:r>
        <w:rPr>
          <w:sz w:val="20"/>
          <w:szCs w:val="20"/>
          <w:color w:val="auto"/>
        </w:rPr>
        <w:tab/>
      </w:r>
      <w:r>
        <w:rPr>
          <w:rFonts w:ascii="Times New Roman" w:cs="Times New Roman" w:eastAsia="Times New Roman" w:hAnsi="Times New Roman"/>
          <w:sz w:val="15"/>
          <w:szCs w:val="15"/>
          <w:u w:val="single" w:color="auto"/>
          <w:color w:val="auto"/>
        </w:rPr>
        <w:t>Y * (A - B)</w:t>
      </w:r>
    </w:p>
    <w:p>
      <w:pPr>
        <w:spacing w:after="0" w:line="22" w:lineRule="exact"/>
        <w:rPr>
          <w:sz w:val="20"/>
          <w:szCs w:val="20"/>
          <w:color w:val="auto"/>
        </w:rPr>
      </w:pPr>
    </w:p>
    <w:p>
      <w:pPr>
        <w:ind w:left="1145"/>
        <w:spacing w:after="0"/>
        <w:rPr>
          <w:sz w:val="20"/>
          <w:szCs w:val="20"/>
          <w:color w:val="auto"/>
        </w:rPr>
      </w:pPr>
      <w:r>
        <w:rPr>
          <w:rFonts w:ascii="Times New Roman" w:cs="Times New Roman" w:eastAsia="Times New Roman" w:hAnsi="Times New Roman"/>
          <w:sz w:val="16"/>
          <w:szCs w:val="16"/>
          <w:color w:val="auto"/>
        </w:rPr>
        <w:t>A</w:t>
      </w:r>
    </w:p>
    <w:p>
      <w:pPr>
        <w:spacing w:after="0" w:line="177" w:lineRule="exact"/>
        <w:rPr>
          <w:sz w:val="20"/>
          <w:szCs w:val="20"/>
          <w:color w:val="auto"/>
        </w:rPr>
      </w:pPr>
    </w:p>
    <w:p>
      <w:pPr>
        <w:ind w:left="5"/>
        <w:spacing w:after="0"/>
        <w:tabs>
          <w:tab w:leader="none" w:pos="1045" w:val="left"/>
          <w:tab w:leader="none" w:pos="1705" w:val="left"/>
        </w:tabs>
        <w:rPr>
          <w:sz w:val="20"/>
          <w:szCs w:val="20"/>
          <w:color w:val="auto"/>
        </w:rPr>
      </w:pPr>
      <w:r>
        <w:rPr>
          <w:rFonts w:ascii="Times New Roman" w:cs="Times New Roman" w:eastAsia="Times New Roman" w:hAnsi="Times New Roman"/>
          <w:sz w:val="16"/>
          <w:szCs w:val="16"/>
          <w:color w:val="auto"/>
        </w:rPr>
        <w:t>with:</w:t>
      </w:r>
      <w:r>
        <w:rPr>
          <w:sz w:val="20"/>
          <w:szCs w:val="20"/>
          <w:color w:val="auto"/>
        </w:rPr>
        <w:tab/>
      </w:r>
      <w:r>
        <w:rPr>
          <w:rFonts w:ascii="Times New Roman" w:cs="Times New Roman" w:eastAsia="Times New Roman" w:hAnsi="Times New Roman"/>
          <w:sz w:val="16"/>
          <w:szCs w:val="16"/>
          <w:color w:val="auto"/>
        </w:rPr>
        <w:t>X =</w:t>
      </w:r>
      <w:r>
        <w:rPr>
          <w:sz w:val="20"/>
          <w:szCs w:val="20"/>
          <w:color w:val="auto"/>
        </w:rPr>
        <w:tab/>
      </w:r>
      <w:r>
        <w:rPr>
          <w:rFonts w:ascii="Times New Roman" w:cs="Times New Roman" w:eastAsia="Times New Roman" w:hAnsi="Times New Roman"/>
          <w:sz w:val="15"/>
          <w:szCs w:val="15"/>
          <w:color w:val="auto"/>
        </w:rPr>
        <w:t>the number of Warrant Shares to be issued to the Holder</w:t>
      </w:r>
    </w:p>
    <w:p>
      <w:pPr>
        <w:spacing w:after="0" w:line="194" w:lineRule="exact"/>
        <w:rPr>
          <w:sz w:val="20"/>
          <w:szCs w:val="20"/>
          <w:color w:val="auto"/>
        </w:rPr>
      </w:pPr>
    </w:p>
    <w:p>
      <w:pPr>
        <w:ind w:left="5"/>
        <w:spacing w:after="0"/>
        <w:tabs>
          <w:tab w:leader="none" w:pos="385" w:val="left"/>
        </w:tabs>
        <w:rPr>
          <w:sz w:val="20"/>
          <w:szCs w:val="20"/>
          <w:color w:val="auto"/>
        </w:rPr>
      </w:pPr>
      <w:r>
        <w:rPr>
          <w:rFonts w:ascii="Times New Roman" w:cs="Times New Roman" w:eastAsia="Times New Roman" w:hAnsi="Times New Roman"/>
          <w:sz w:val="16"/>
          <w:szCs w:val="16"/>
          <w:color w:val="auto"/>
        </w:rPr>
        <w:t>Y =</w:t>
      </w:r>
      <w:r>
        <w:rPr>
          <w:sz w:val="20"/>
          <w:szCs w:val="20"/>
          <w:color w:val="auto"/>
        </w:rPr>
        <w:tab/>
      </w:r>
      <w:r>
        <w:rPr>
          <w:rFonts w:ascii="Times New Roman" w:cs="Times New Roman" w:eastAsia="Times New Roman" w:hAnsi="Times New Roman"/>
          <w:sz w:val="15"/>
          <w:szCs w:val="15"/>
          <w:color w:val="auto"/>
        </w:rPr>
        <w:t>the number of Warrant Shares with respect to which the Warrant is being exercised</w:t>
      </w:r>
    </w:p>
    <w:p>
      <w:pPr>
        <w:spacing w:after="0" w:line="194" w:lineRule="exact"/>
        <w:rPr>
          <w:sz w:val="20"/>
          <w:szCs w:val="20"/>
          <w:color w:val="auto"/>
        </w:rPr>
      </w:pPr>
    </w:p>
    <w:p>
      <w:pPr>
        <w:ind w:left="125"/>
        <w:spacing w:after="0"/>
        <w:tabs>
          <w:tab w:leader="none" w:pos="665" w:val="left"/>
        </w:tabs>
        <w:rPr>
          <w:sz w:val="20"/>
          <w:szCs w:val="20"/>
          <w:color w:val="auto"/>
        </w:rPr>
      </w:pPr>
      <w:r>
        <w:rPr>
          <w:rFonts w:ascii="Times New Roman" w:cs="Times New Roman" w:eastAsia="Times New Roman" w:hAnsi="Times New Roman"/>
          <w:sz w:val="16"/>
          <w:szCs w:val="16"/>
          <w:color w:val="auto"/>
        </w:rPr>
        <w:t>A =</w:t>
      </w:r>
      <w:r>
        <w:rPr>
          <w:sz w:val="20"/>
          <w:szCs w:val="20"/>
          <w:color w:val="auto"/>
        </w:rPr>
        <w:tab/>
      </w:r>
      <w:r>
        <w:rPr>
          <w:rFonts w:ascii="Times New Roman" w:cs="Times New Roman" w:eastAsia="Times New Roman" w:hAnsi="Times New Roman"/>
          <w:sz w:val="15"/>
          <w:szCs w:val="15"/>
          <w:color w:val="auto"/>
        </w:rPr>
        <w:t>the fair value per Common Share on the date of exercise of this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5"/>
        <w:spacing w:after="0"/>
        <w:rPr>
          <w:sz w:val="20"/>
          <w:szCs w:val="20"/>
          <w:color w:val="auto"/>
        </w:rPr>
      </w:pPr>
      <w:r>
        <w:rPr>
          <w:rFonts w:ascii="Times New Roman" w:cs="Times New Roman" w:eastAsia="Times New Roman" w:hAnsi="Times New Roman"/>
          <w:sz w:val="14"/>
          <w:szCs w:val="14"/>
          <w:color w:val="auto"/>
        </w:rPr>
        <w:t>DOCPROPERTY "CUS_DocIDChunk0" 76095625.1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17486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0" w:right="31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9"/>
          <w:szCs w:val="19"/>
          <w:b w:val="1"/>
          <w:bCs w:val="1"/>
          <w:color w:val="auto"/>
        </w:rPr>
        <w:t>Exhibit 4.2</w:t>
      </w:r>
    </w:p>
    <w:p>
      <w:pPr>
        <w:spacing w:after="0" w:line="360" w:lineRule="exact"/>
        <w:rPr>
          <w:sz w:val="20"/>
          <w:szCs w:val="20"/>
          <w:color w:val="auto"/>
        </w:rPr>
      </w:pPr>
    </w:p>
    <w:p>
      <w:pPr>
        <w:ind w:left="120"/>
        <w:spacing w:after="0"/>
        <w:tabs>
          <w:tab w:leader="none" w:pos="920" w:val="left"/>
        </w:tabs>
        <w:rPr>
          <w:sz w:val="20"/>
          <w:szCs w:val="20"/>
          <w:color w:val="auto"/>
        </w:rPr>
      </w:pPr>
      <w:r>
        <w:rPr>
          <w:rFonts w:ascii="Times New Roman" w:cs="Times New Roman" w:eastAsia="Times New Roman" w:hAnsi="Times New Roman"/>
          <w:sz w:val="16"/>
          <w:szCs w:val="16"/>
          <w:color w:val="auto"/>
        </w:rPr>
        <w:t>B =</w:t>
      </w:r>
      <w:r>
        <w:rPr>
          <w:sz w:val="20"/>
          <w:szCs w:val="20"/>
          <w:color w:val="auto"/>
        </w:rPr>
        <w:tab/>
      </w:r>
      <w:r>
        <w:rPr>
          <w:rFonts w:ascii="Times New Roman" w:cs="Times New Roman" w:eastAsia="Times New Roman" w:hAnsi="Times New Roman"/>
          <w:sz w:val="15"/>
          <w:szCs w:val="15"/>
          <w:color w:val="auto"/>
        </w:rPr>
        <w:t>the then-current Exercise Price of the Warrant</w:t>
      </w:r>
    </w:p>
    <w:p>
      <w:pPr>
        <w:spacing w:after="0" w:line="299" w:lineRule="exact"/>
        <w:rPr>
          <w:sz w:val="20"/>
          <w:szCs w:val="20"/>
          <w:color w:val="auto"/>
        </w:rPr>
      </w:pPr>
    </w:p>
    <w:p>
      <w:pPr>
        <w:jc w:val="both"/>
        <w:ind w:firstLine="751"/>
        <w:spacing w:after="0" w:line="251" w:lineRule="auto"/>
        <w:rPr>
          <w:sz w:val="20"/>
          <w:szCs w:val="20"/>
          <w:color w:val="auto"/>
        </w:rPr>
      </w:pPr>
      <w:r>
        <w:rPr>
          <w:rFonts w:ascii="Times New Roman" w:cs="Times New Roman" w:eastAsia="Times New Roman" w:hAnsi="Times New Roman"/>
          <w:sz w:val="16"/>
          <w:szCs w:val="16"/>
          <w:color w:val="auto"/>
        </w:rPr>
        <w:t>Solely for the purposes of this paragraph, “</w:t>
      </w:r>
      <w:r>
        <w:rPr>
          <w:rFonts w:ascii="Times New Roman" w:cs="Times New Roman" w:eastAsia="Times New Roman" w:hAnsi="Times New Roman"/>
          <w:sz w:val="16"/>
          <w:szCs w:val="16"/>
          <w:b w:val="1"/>
          <w:bCs w:val="1"/>
          <w:color w:val="auto"/>
        </w:rPr>
        <w:t>fair value</w:t>
      </w:r>
      <w:r>
        <w:rPr>
          <w:rFonts w:ascii="Times New Roman" w:cs="Times New Roman" w:eastAsia="Times New Roman" w:hAnsi="Times New Roman"/>
          <w:sz w:val="16"/>
          <w:szCs w:val="16"/>
          <w:color w:val="auto"/>
        </w:rPr>
        <w:t>” per Common Share shall mean the Closing Price (as defined below) per Common Share for the Trading Day immediately preceding the date on which the Notice of Exercise is deemed to have been sent to the Company. “</w:t>
      </w:r>
      <w:r>
        <w:rPr>
          <w:rFonts w:ascii="Times New Roman" w:cs="Times New Roman" w:eastAsia="Times New Roman" w:hAnsi="Times New Roman"/>
          <w:sz w:val="16"/>
          <w:szCs w:val="16"/>
          <w:b w:val="1"/>
          <w:bCs w:val="1"/>
          <w:color w:val="auto"/>
        </w:rPr>
        <w:t>Closing Price</w:t>
      </w:r>
      <w:r>
        <w:rPr>
          <w:rFonts w:ascii="Times New Roman" w:cs="Times New Roman" w:eastAsia="Times New Roman" w:hAnsi="Times New Roman"/>
          <w:sz w:val="16"/>
          <w:szCs w:val="16"/>
          <w:color w:val="auto"/>
        </w:rPr>
        <w:t>” means, for any date, the price determined by the first of the following clauses that applies: (a) if the Common Shares are then listed on a U.S. national securities exchange, the closing price per Common Share for such date (or the nearest preceding date) on the primary exchange in the United States on which the Common Shares are then listed; (b) if prices for the Common Shares are then quoted on the OTC Bulletin Board or any tier of the OTC Markets in the United States, the closing bid price per Common Share for such date (or the nearest preceding date) so quoted; or (c) if prices for the Common Shares are then reported</w:t>
      </w:r>
    </w:p>
    <w:p>
      <w:pPr>
        <w:jc w:val="both"/>
        <w:spacing w:after="0" w:line="249" w:lineRule="auto"/>
        <w:rPr>
          <w:sz w:val="20"/>
          <w:szCs w:val="20"/>
          <w:color w:val="auto"/>
        </w:rPr>
      </w:pPr>
      <w:r>
        <w:rPr>
          <w:rFonts w:ascii="Times New Roman" w:cs="Times New Roman" w:eastAsia="Times New Roman" w:hAnsi="Times New Roman"/>
          <w:sz w:val="16"/>
          <w:szCs w:val="16"/>
          <w:color w:val="auto"/>
        </w:rPr>
        <w:t>in the “Pink Sheets” published by the National Quotation Bureau Incorporated (or a similar organization or agency succeeding to its functions of reporting prices) in the United States, the most recent closing bid price per share of the Common Shares so reported. If the Common Shares are not publicly traded as set forth above, the “fair value” per Common Share shall be reasonably and in good faith determined by the board of directors of the Company (the “</w:t>
      </w:r>
      <w:r>
        <w:rPr>
          <w:rFonts w:ascii="Times New Roman" w:cs="Times New Roman" w:eastAsia="Times New Roman" w:hAnsi="Times New Roman"/>
          <w:sz w:val="16"/>
          <w:szCs w:val="16"/>
          <w:b w:val="1"/>
          <w:bCs w:val="1"/>
          <w:color w:val="auto"/>
        </w:rPr>
        <w:t>Board of Directors</w:t>
      </w:r>
      <w:r>
        <w:rPr>
          <w:rFonts w:ascii="Times New Roman" w:cs="Times New Roman" w:eastAsia="Times New Roman" w:hAnsi="Times New Roman"/>
          <w:sz w:val="16"/>
          <w:szCs w:val="16"/>
          <w:color w:val="auto"/>
        </w:rPr>
        <w:t>”) as of the date which the Notice of Exercise is deemed to have been sent to the Company.</w:t>
      </w:r>
    </w:p>
    <w:p>
      <w:pPr>
        <w:spacing w:after="0" w:line="163" w:lineRule="exact"/>
        <w:rPr>
          <w:sz w:val="20"/>
          <w:szCs w:val="20"/>
          <w:color w:val="auto"/>
        </w:rPr>
      </w:pPr>
    </w:p>
    <w:p>
      <w:pPr>
        <w:jc w:val="both"/>
        <w:ind w:firstLine="751"/>
        <w:spacing w:after="0" w:line="262" w:lineRule="auto"/>
        <w:rPr>
          <w:sz w:val="20"/>
          <w:szCs w:val="20"/>
          <w:color w:val="auto"/>
        </w:rPr>
      </w:pPr>
      <w:r>
        <w:rPr>
          <w:rFonts w:ascii="Times New Roman" w:cs="Times New Roman" w:eastAsia="Times New Roman" w:hAnsi="Times New Roman"/>
          <w:sz w:val="16"/>
          <w:szCs w:val="16"/>
          <w:color w:val="auto"/>
        </w:rPr>
        <w:t>For purposes of Rule 144 promulgated under the U.S.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it is intended, understood and acknowledged that the Warrant Shares issued in a Cashless Exercise transaction shall be deemed to have been acquired by the Holder, and the holding period for such shares shall be deemed to have commenced, on the date this Warrant was originally issued.</w:t>
      </w:r>
    </w:p>
    <w:p>
      <w:pPr>
        <w:spacing w:after="0" w:line="156" w:lineRule="exact"/>
        <w:rPr>
          <w:sz w:val="20"/>
          <w:szCs w:val="20"/>
          <w:color w:val="auto"/>
        </w:rPr>
      </w:pPr>
    </w:p>
    <w:p>
      <w:pPr>
        <w:jc w:val="both"/>
        <w:ind w:firstLine="1496"/>
        <w:spacing w:after="0" w:line="248" w:lineRule="auto"/>
        <w:tabs>
          <w:tab w:leader="none" w:pos="177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exercise of this Warrant in compliance with the provisions of this Section 1(b), the Company shall, on or before the Warrant Share Delivery Date, cause the Warrant Shares purchased hereunder to be transmitted by the Company’s transfer agent, Equiniti Trust Company, LLC, (the “</w:t>
      </w:r>
      <w:r>
        <w:rPr>
          <w:rFonts w:ascii="Times New Roman" w:cs="Times New Roman" w:eastAsia="Times New Roman" w:hAnsi="Times New Roman"/>
          <w:sz w:val="16"/>
          <w:szCs w:val="16"/>
          <w:b w:val="1"/>
          <w:bCs w:val="1"/>
          <w:color w:val="auto"/>
        </w:rPr>
        <w:t>Transfer Agent</w:t>
      </w:r>
      <w:r>
        <w:rPr>
          <w:rFonts w:ascii="Times New Roman" w:cs="Times New Roman" w:eastAsia="Times New Roman" w:hAnsi="Times New Roman"/>
          <w:sz w:val="16"/>
          <w:szCs w:val="16"/>
          <w:color w:val="auto"/>
        </w:rPr>
        <w:t>”) to the Holder by crediting the account of the Holder’s or its designee’s balance account with The Depository Trust Company (the “</w:t>
      </w:r>
      <w:r>
        <w:rPr>
          <w:rFonts w:ascii="Times New Roman" w:cs="Times New Roman" w:eastAsia="Times New Roman" w:hAnsi="Times New Roman"/>
          <w:sz w:val="16"/>
          <w:szCs w:val="16"/>
          <w:b w:val="1"/>
          <w:bCs w:val="1"/>
          <w:color w:val="auto"/>
        </w:rPr>
        <w:t>DTC</w:t>
      </w:r>
      <w:r>
        <w:rPr>
          <w:rFonts w:ascii="Times New Roman" w:cs="Times New Roman" w:eastAsia="Times New Roman" w:hAnsi="Times New Roman"/>
          <w:sz w:val="16"/>
          <w:szCs w:val="16"/>
          <w:color w:val="auto"/>
        </w:rPr>
        <w:t>”) through its Deposit or Withdrawal at Custodian system (“</w:t>
      </w:r>
      <w:r>
        <w:rPr>
          <w:rFonts w:ascii="Times New Roman" w:cs="Times New Roman" w:eastAsia="Times New Roman" w:hAnsi="Times New Roman"/>
          <w:sz w:val="16"/>
          <w:szCs w:val="16"/>
          <w:b w:val="1"/>
          <w:bCs w:val="1"/>
          <w:color w:val="auto"/>
        </w:rPr>
        <w:t>DWAC</w:t>
      </w:r>
      <w:r>
        <w:rPr>
          <w:rFonts w:ascii="Times New Roman" w:cs="Times New Roman" w:eastAsia="Times New Roman" w:hAnsi="Times New Roman"/>
          <w:sz w:val="16"/>
          <w:szCs w:val="16"/>
          <w:color w:val="auto"/>
        </w:rPr>
        <w:t>”), if the Transfer Agent is then a participant in such system, and either (A) there is an effective and available registration statement permitting the resale of the Warrant Shares by the Holder (as provided in the Registration Rights Agreement) and the Holder has contracted for such a resale, or (B) the Warrant Shares are eligible for resale by the Holder without volume or manner-of-sale limitations pursuant to Rule 144 (assuming Cashless Exercise of the Warrants), and otherwise, at the election of the Holder, by physical delivery of a certificate or a direct registration system account statement (“</w:t>
      </w:r>
      <w:r>
        <w:rPr>
          <w:rFonts w:ascii="Times New Roman" w:cs="Times New Roman" w:eastAsia="Times New Roman" w:hAnsi="Times New Roman"/>
          <w:sz w:val="16"/>
          <w:szCs w:val="16"/>
          <w:b w:val="1"/>
          <w:bCs w:val="1"/>
          <w:color w:val="auto"/>
        </w:rPr>
        <w:t>DRS Statement</w:t>
      </w:r>
      <w:r>
        <w:rPr>
          <w:rFonts w:ascii="Times New Roman" w:cs="Times New Roman" w:eastAsia="Times New Roman" w:hAnsi="Times New Roman"/>
          <w:sz w:val="16"/>
          <w:szCs w:val="16"/>
          <w:color w:val="auto"/>
        </w:rPr>
        <w:t>”), registered in the Company’s share register in the name of the Holder or its designee, for the number of Warrant Shares to which the Holder is entitled pursuant to such exercise by the Holder. Each exercise of this Warrant shall be effective immediately prior to the close of business on the date (the “</w:t>
      </w:r>
      <w:r>
        <w:rPr>
          <w:rFonts w:ascii="Times New Roman" w:cs="Times New Roman" w:eastAsia="Times New Roman" w:hAnsi="Times New Roman"/>
          <w:sz w:val="16"/>
          <w:szCs w:val="16"/>
          <w:b w:val="1"/>
          <w:bCs w:val="1"/>
          <w:color w:val="auto"/>
        </w:rPr>
        <w:t>Date of Exercise</w:t>
      </w:r>
      <w:r>
        <w:rPr>
          <w:rFonts w:ascii="Times New Roman" w:cs="Times New Roman" w:eastAsia="Times New Roman" w:hAnsi="Times New Roman"/>
          <w:sz w:val="16"/>
          <w:szCs w:val="16"/>
          <w:color w:val="auto"/>
        </w:rPr>
        <w:t>”) that the Notice of Exercise has been delivered, so long as the Aggregate Exercise Price (if any) has been delivered within one Trading Day of the delivery of the Notice of Exercise. On or before the first (1st) Trading Day following the date on which the Company has received a Notice of Exercise, the Company shall transmit by electronic mail an acknowledgment of confirmation of receipt of such Notice of Exercise, in the form attached hereto as Exhibit B, to the Holder and the Transfer Agent, which confirmation shall constitute an instruction to the Transfer Agent to process such Notice of Exercise in accordance with the terms herein. On or before the Warrant Share Delivery Date, the Company shall cause the Transfer Agent to issue and deliver via DWAC in connection with any resale of such Warrant Shares with respect to which the Holder has instructed a broker to sell such Warrant Shares, and for which the Holder has not yet settled (or via reputable overnight courier to the address as specified in the Notice of Exercise, a certificate or a DRS Statement, registered in the name of the Holder or its designee), for the number of Warrant Shares to which the Holder shall be entitled pursuant to such exercise, the Company shall cause the Transfer Agent to deliver the Warrant Shares to the Holder (or its designee). From the Issuance Date through and including the Expiration Date, the Company shall maintain a transfer agent that participates in DTC’s Fast Automated Securities Transfer (“</w:t>
      </w:r>
      <w:r>
        <w:rPr>
          <w:rFonts w:ascii="Times New Roman" w:cs="Times New Roman" w:eastAsia="Times New Roman" w:hAnsi="Times New Roman"/>
          <w:sz w:val="16"/>
          <w:szCs w:val="16"/>
          <w:b w:val="1"/>
          <w:bCs w:val="1"/>
          <w:color w:val="auto"/>
        </w:rPr>
        <w:t>FAST</w:t>
      </w:r>
      <w:r>
        <w:rPr>
          <w:rFonts w:ascii="Times New Roman" w:cs="Times New Roman" w:eastAsia="Times New Roman" w:hAnsi="Times New Roman"/>
          <w:sz w:val="16"/>
          <w:szCs w:val="16"/>
          <w:color w:val="auto"/>
        </w:rPr>
        <w:t>”) Program. Upon delivery of a Notice of Exercise; provided that the payment of the Aggregate Exercise Price (if any) has been made within one (1) Trading Day of the Notice of Exercise, the Holder shall be deemed for all corporate purposes to have become the holder of record of the Warrant Shares with respect to which this Warrant has been exercised, irrespective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76095625.1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9"/>
          <w:szCs w:val="19"/>
          <w:b w:val="1"/>
          <w:bCs w:val="1"/>
          <w:color w:val="auto"/>
        </w:rPr>
        <w:t>Exhibit 4.2</w:t>
      </w:r>
    </w:p>
    <w:p>
      <w:pPr>
        <w:spacing w:after="0" w:line="360" w:lineRule="exact"/>
        <w:rPr>
          <w:sz w:val="20"/>
          <w:szCs w:val="20"/>
          <w:color w:val="auto"/>
        </w:rPr>
      </w:pPr>
    </w:p>
    <w:p>
      <w:pPr>
        <w:jc w:val="both"/>
        <w:ind w:left="5"/>
        <w:spacing w:after="0" w:line="276" w:lineRule="auto"/>
        <w:rPr>
          <w:sz w:val="20"/>
          <w:szCs w:val="20"/>
          <w:color w:val="auto"/>
        </w:rPr>
      </w:pPr>
      <w:r>
        <w:rPr>
          <w:rFonts w:ascii="Times New Roman" w:cs="Times New Roman" w:eastAsia="Times New Roman" w:hAnsi="Times New Roman"/>
          <w:sz w:val="16"/>
          <w:szCs w:val="16"/>
          <w:color w:val="auto"/>
        </w:rPr>
        <w:t>of the date of delivery of the certificates or DRS Statements evidencing such Warrant Shares, or crediting of such Holder’s (or designee’s) account with DTC (as the case may be).</w:t>
      </w:r>
    </w:p>
    <w:p>
      <w:pPr>
        <w:spacing w:after="0" w:line="145" w:lineRule="exact"/>
        <w:rPr>
          <w:sz w:val="20"/>
          <w:szCs w:val="20"/>
          <w:color w:val="auto"/>
        </w:rPr>
      </w:pPr>
    </w:p>
    <w:p>
      <w:pPr>
        <w:jc w:val="both"/>
        <w:ind w:left="5" w:hanging="5"/>
        <w:spacing w:after="0" w:line="264" w:lineRule="auto"/>
        <w:tabs>
          <w:tab w:leader="none" w:pos="278"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Company shall fail, for any reason or for no reason, on or prior to the Warrant Share Delivery Date, to deliver to the Holder the Warrant Shares subject to a Notice of Exercise and the applicable Aggregate Exercise Price has been delivered (other than in the case of a Cashless Exercise), then the Company shall pay to the Holder, in cash, as liquidated damages and not as a penalty, for each US$1,000 of Warrant Shares subject to such exercise (based on the fair value of the Common Shares on the date of the applicable Notice of Exercise), US$10 per Trading Day for each Trading Day after such Warrant Share Delivery Date until such Warrant Shares are delivered or Holder rescinds such exercise; provided that such liquidated damages shall not begin to accrue until the first Trading Day after the Warrant Share Delivery Date and shall not exceed, in the aggregate, the aggregate Exercise Price in respect of the Warrant Shares subject to such exercise. In addition to the foregoing, if the Company fails to deliver the Warrant Shares in accordance with the provisions of Section 1(b)(iii) above pursuant to an exercise on or before the Warrant Share Delivery Date, and if on or after such Warrant Share Delivery Date the Holder acquires (in an open market transaction, stock loan or otherwise) Common Shares corresponding to all or any portion of the number of Warrant Shares issuable upon such exercise that the Holder is entitled to receive from the Company and has not received from the Company in connection with such failure to deliver (a “</w:t>
      </w:r>
      <w:r>
        <w:rPr>
          <w:rFonts w:ascii="Times New Roman" w:cs="Times New Roman" w:eastAsia="Times New Roman" w:hAnsi="Times New Roman"/>
          <w:sz w:val="15"/>
          <w:szCs w:val="15"/>
          <w:b w:val="1"/>
          <w:bCs w:val="1"/>
          <w:color w:val="auto"/>
        </w:rPr>
        <w:t>Buy-In</w:t>
      </w:r>
      <w:r>
        <w:rPr>
          <w:rFonts w:ascii="Times New Roman" w:cs="Times New Roman" w:eastAsia="Times New Roman" w:hAnsi="Times New Roman"/>
          <w:sz w:val="15"/>
          <w:szCs w:val="15"/>
          <w:color w:val="auto"/>
        </w:rPr>
        <w:t>”), then, in addition to all other remedies available to the Holder, the Company shall, within two (2) Business Days after the Holder’s request and in the Holder’s discretion, either (i) pay cash to the Holder in an amount equal to the Holder’s total purchase price (including brokerage commissions, stock loan costs and other out-of-pocket expenses, if any) for the Common Shares so acquired (including, without limitation, by any other Person in respect, or on behalf, of the Holder) (the “</w:t>
      </w:r>
      <w:r>
        <w:rPr>
          <w:rFonts w:ascii="Times New Roman" w:cs="Times New Roman" w:eastAsia="Times New Roman" w:hAnsi="Times New Roman"/>
          <w:sz w:val="15"/>
          <w:szCs w:val="15"/>
          <w:b w:val="1"/>
          <w:bCs w:val="1"/>
          <w:color w:val="auto"/>
        </w:rPr>
        <w:t>Buy-In Price</w:t>
      </w:r>
      <w:r>
        <w:rPr>
          <w:rFonts w:ascii="Times New Roman" w:cs="Times New Roman" w:eastAsia="Times New Roman" w:hAnsi="Times New Roman"/>
          <w:sz w:val="15"/>
          <w:szCs w:val="15"/>
          <w:color w:val="auto"/>
        </w:rPr>
        <w:t>”), at which point the Company’s obligation to so issue and deliver such certificate or DRS Statement (and to issue such Warrant Shares)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DRS Statement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price at which the sell order giving rise to such purchase obligation was executed. Nothing shall limit the Holder’s right to pursue any other remedies available to it hereunder, at law or in equity, including, without limitation, a decree of specific performance and/or injunctive relief with respect to the Company’s failure to timely deliver certificates or DRS Statements representing Warrant Shares (or to electronically deliver such Warrant Shares) upon the exercise of this Warrant as required pursuant to the terms hereof. In addition to the foregoing rights, (i) if the Company fails to deliver the applicable number of Warrant Shares upon an exercise pursuant to Section 1 by the applicable Warrant Share Delivery Date, then the Holder shall have the right to rescind such exercise in whole or in part and retain and/or have the Company return, as the case may be, any portion of this Warrant that has not been exercised pursuant to such Notice of Exercise; provided that the rescission of an exercise shall not affect the Company’s obligation to make any payments that have accrued prior to the date of such Notice of Exercise pursuant to this Section 1(b) or otherwise, and (ii) if a registration statement covering the resale of the Warrant Shares that are subject to a Notice of Exercise is not available for the resale of such Warrant Shares and the Holder has submitted a Notice of Exercise prior to receiving notice of the non-availability of such registration statement and the Company has not already delivered the Warrant Shares underlying such Notice of Exercise electronically without any restrictive legend by crediting such aggregate number of Warrant Shares to which the Holder is entitled pursuant to such exercise to the Holder’s or its designee’s balance account with DTC through its DWAC system, the Holder shall have the option, by delivery of notice to the Company, to (x) rescind such Notice of Exercise in whole or in part and retain or have returned, as the case may be, any portion of this Warrant that has not been exercised pursuant to such Notice of Exercise; provided that the rescission of a Notice of Exercise shall not affect the Company’s obligation to make any payments that have accrued prior to the date of such notice pursuant to this Section 1(b) or otherwise, and/or (y) switch some or all of such Notice of Exercise from a cash exercise to a Cashless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5"/>
        <w:spacing w:after="0"/>
        <w:rPr>
          <w:sz w:val="20"/>
          <w:szCs w:val="20"/>
          <w:color w:val="auto"/>
        </w:rPr>
      </w:pPr>
      <w:r>
        <w:rPr>
          <w:rFonts w:ascii="Times New Roman" w:cs="Times New Roman" w:eastAsia="Times New Roman" w:hAnsi="Times New Roman"/>
          <w:sz w:val="14"/>
          <w:szCs w:val="14"/>
          <w:color w:val="auto"/>
        </w:rPr>
        <w:t>DOCPROPERTY "CUS_DocIDChunk0" 76095625.1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17486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0" w:right="31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9"/>
          <w:szCs w:val="19"/>
          <w:b w:val="1"/>
          <w:bCs w:val="1"/>
          <w:color w:val="auto"/>
        </w:rPr>
        <w:t>Exhibit 4.2</w:t>
      </w:r>
    </w:p>
    <w:p>
      <w:pPr>
        <w:spacing w:after="0" w:line="360" w:lineRule="exact"/>
        <w:rPr>
          <w:sz w:val="20"/>
          <w:szCs w:val="20"/>
          <w:color w:val="auto"/>
        </w:rPr>
      </w:pPr>
    </w:p>
    <w:p>
      <w:pPr>
        <w:jc w:val="both"/>
        <w:ind w:left="5" w:firstLine="1496"/>
        <w:spacing w:after="0" w:line="256" w:lineRule="auto"/>
        <w:tabs>
          <w:tab w:leader="none" w:pos="1733" w:val="left"/>
        </w:tabs>
        <w:numPr>
          <w:ilvl w:val="2"/>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the foregoing, the Holder may, in its sole and absolute discretion, elect to exercise this Warrant into pre-funded warrants to purchase same number of Warrant Shares as to which this Warrant is being exercised in the form of a pre-funded warrant attached as </w:t>
      </w:r>
      <w:r>
        <w:rPr>
          <w:rFonts w:ascii="Times New Roman" w:cs="Times New Roman" w:eastAsia="Times New Roman" w:hAnsi="Times New Roman"/>
          <w:sz w:val="16"/>
          <w:szCs w:val="16"/>
          <w:u w:val="single" w:color="auto"/>
          <w:color w:val="auto"/>
        </w:rPr>
        <w:t>Exhibit D</w:t>
      </w:r>
      <w:r>
        <w:rPr>
          <w:rFonts w:ascii="Times New Roman" w:cs="Times New Roman" w:eastAsia="Times New Roman" w:hAnsi="Times New Roman"/>
          <w:sz w:val="16"/>
          <w:szCs w:val="16"/>
          <w:color w:val="auto"/>
        </w:rPr>
        <w:t xml:space="preserve"> hereto (a “</w:t>
      </w:r>
      <w:r>
        <w:rPr>
          <w:rFonts w:ascii="Times New Roman" w:cs="Times New Roman" w:eastAsia="Times New Roman" w:hAnsi="Times New Roman"/>
          <w:sz w:val="16"/>
          <w:szCs w:val="16"/>
          <w:b w:val="1"/>
          <w:bCs w:val="1"/>
          <w:color w:val="auto"/>
        </w:rPr>
        <w:t>Pre-Funded Warrant</w:t>
      </w:r>
      <w:r>
        <w:rPr>
          <w:rFonts w:ascii="Times New Roman" w:cs="Times New Roman" w:eastAsia="Times New Roman" w:hAnsi="Times New Roman"/>
          <w:sz w:val="16"/>
          <w:szCs w:val="16"/>
          <w:color w:val="auto"/>
        </w:rPr>
        <w:t>”) (as subject to adjustment hereunder), with an exercise price of $0.0001 per Common Share (the “</w:t>
      </w:r>
      <w:r>
        <w:rPr>
          <w:rFonts w:ascii="Times New Roman" w:cs="Times New Roman" w:eastAsia="Times New Roman" w:hAnsi="Times New Roman"/>
          <w:sz w:val="16"/>
          <w:szCs w:val="16"/>
          <w:b w:val="1"/>
          <w:bCs w:val="1"/>
          <w:color w:val="auto"/>
        </w:rPr>
        <w:t>Pre-Funded Warrant Exercise Price</w:t>
      </w:r>
      <w:r>
        <w:rPr>
          <w:rFonts w:ascii="Times New Roman" w:cs="Times New Roman" w:eastAsia="Times New Roman" w:hAnsi="Times New Roman"/>
          <w:sz w:val="16"/>
          <w:szCs w:val="16"/>
          <w:color w:val="auto"/>
        </w:rPr>
        <w:t>”). The purchase price of one Pre-Funded Warrant shall be the Exercise Price minus the Pre-Funded Warrant Exercise Price.</w:t>
      </w:r>
    </w:p>
    <w:p>
      <w:pPr>
        <w:spacing w:after="0" w:line="161" w:lineRule="exact"/>
        <w:rPr>
          <w:rFonts w:ascii="Times New Roman" w:cs="Times New Roman" w:eastAsia="Times New Roman" w:hAnsi="Times New Roman"/>
          <w:sz w:val="16"/>
          <w:szCs w:val="16"/>
          <w:color w:val="auto"/>
        </w:rPr>
      </w:pPr>
    </w:p>
    <w:p>
      <w:pPr>
        <w:jc w:val="both"/>
        <w:ind w:left="5" w:firstLine="745"/>
        <w:spacing w:after="0" w:line="275" w:lineRule="auto"/>
        <w:tabs>
          <w:tab w:leader="none" w:pos="970" w:val="left"/>
        </w:tabs>
        <w:numPr>
          <w:ilvl w:val="1"/>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Partial Exercise</w:t>
      </w:r>
      <w:r>
        <w:rPr>
          <w:rFonts w:ascii="Times New Roman" w:cs="Times New Roman" w:eastAsia="Times New Roman" w:hAnsi="Times New Roman"/>
          <w:sz w:val="15"/>
          <w:szCs w:val="15"/>
          <w:color w:val="auto"/>
        </w:rPr>
        <w:t>. This Warrant shall be exercisable, either in its entirety or, from time to time, for part of the number of Warrant Shares referenced by this Warrant. If this Warrant is submitted in connection with any exercise pursuant to Section 1 and the number of Warrant Shares represented by this Warrant submitted for exercise is greater than the actual number of Warrant Shares being acquired upon such an exercise and the Holder elects to receive a replacement Warrant, then the Company shall as soon as practicable and in no event later than ten (10) Business Days after any exercise and at its own expense, issue a new Warrant of like tenor representing the right to purchase the number of Warrant Shares purchasable immediately prior to such exercise under this Warrant, less the number of Warrant Shares with respect to which this Warrant is exercised.</w:t>
      </w:r>
    </w:p>
    <w:p>
      <w:pPr>
        <w:spacing w:after="0" w:line="147" w:lineRule="exact"/>
        <w:rPr>
          <w:rFonts w:ascii="Times New Roman" w:cs="Times New Roman" w:eastAsia="Times New Roman" w:hAnsi="Times New Roman"/>
          <w:sz w:val="15"/>
          <w:szCs w:val="15"/>
          <w:color w:val="auto"/>
        </w:rPr>
      </w:pPr>
    </w:p>
    <w:p>
      <w:pPr>
        <w:ind w:left="5" w:right="20" w:firstLine="745"/>
        <w:spacing w:after="0" w:line="276" w:lineRule="auto"/>
        <w:tabs>
          <w:tab w:leader="none" w:pos="979"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Disputes</w:t>
      </w:r>
      <w:r>
        <w:rPr>
          <w:rFonts w:ascii="Times New Roman" w:cs="Times New Roman" w:eastAsia="Times New Roman" w:hAnsi="Times New Roman"/>
          <w:sz w:val="16"/>
          <w:szCs w:val="16"/>
          <w:color w:val="auto"/>
        </w:rPr>
        <w:t>. In the case of a dispute as to the determination of the Exercise Price or the arithmetic calculation of the Warrant Shares, the Company shall promptly issue to the Holder the number of Warrant Shares that are not disputed and resolve such dispute in accordance with Section 16.</w:t>
      </w:r>
    </w:p>
    <w:p>
      <w:pPr>
        <w:spacing w:after="0" w:line="168" w:lineRule="exact"/>
        <w:rPr>
          <w:rFonts w:ascii="Times New Roman" w:cs="Times New Roman" w:eastAsia="Times New Roman" w:hAnsi="Times New Roman"/>
          <w:sz w:val="16"/>
          <w:szCs w:val="16"/>
          <w:color w:val="auto"/>
        </w:rPr>
      </w:pPr>
    </w:p>
    <w:p>
      <w:pPr>
        <w:ind w:left="525" w:hanging="525"/>
        <w:spacing w:after="0"/>
        <w:tabs>
          <w:tab w:leader="none" w:pos="52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ISSUANCE OF WARRANT SHARES</w:t>
      </w:r>
    </w:p>
    <w:p>
      <w:pPr>
        <w:spacing w:after="0" w:line="194" w:lineRule="exact"/>
        <w:rPr>
          <w:rFonts w:ascii="Times New Roman" w:cs="Times New Roman" w:eastAsia="Times New Roman" w:hAnsi="Times New Roman"/>
          <w:sz w:val="16"/>
          <w:szCs w:val="16"/>
          <w:color w:val="auto"/>
        </w:rPr>
      </w:pPr>
    </w:p>
    <w:p>
      <w:pPr>
        <w:jc w:val="both"/>
        <w:ind w:left="5" w:right="20" w:firstLine="745"/>
        <w:spacing w:after="0" w:line="261" w:lineRule="auto"/>
        <w:tabs>
          <w:tab w:leader="none" w:pos="986"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covenants that all Warrant Shares will, upon issuance in accordance with the terms of this Warrant, be (i) duly authorized, fully paid and non-assessable, and (ii) free from all liens, charges and security interests, with the exception of claims arising through the acts or omissions of any Holder and except as arising from applicable U.S. federal and state securities laws, or applicable Canadian provincial securities laws.</w:t>
      </w:r>
    </w:p>
    <w:p>
      <w:pPr>
        <w:spacing w:after="0" w:line="156" w:lineRule="exact"/>
        <w:rPr>
          <w:rFonts w:ascii="Times New Roman" w:cs="Times New Roman" w:eastAsia="Times New Roman" w:hAnsi="Times New Roman"/>
          <w:sz w:val="16"/>
          <w:szCs w:val="16"/>
          <w:color w:val="auto"/>
        </w:rPr>
      </w:pPr>
    </w:p>
    <w:p>
      <w:pPr>
        <w:jc w:val="both"/>
        <w:ind w:left="5" w:firstLine="745"/>
        <w:spacing w:after="0" w:line="261" w:lineRule="auto"/>
        <w:tabs>
          <w:tab w:leader="none" w:pos="984"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register this Warrant upon records to be maintained by the Company for that purpose in the name of the record Holder of such Warrant from time to time. The Company may deem and treat the record Holder of this Warrant as the absolute owner thereof for the purpose of any exercise thereof, any distribution to the Holder thereof and for all other purposes.</w:t>
      </w:r>
    </w:p>
    <w:p>
      <w:pPr>
        <w:spacing w:after="0" w:line="156" w:lineRule="exact"/>
        <w:rPr>
          <w:rFonts w:ascii="Times New Roman" w:cs="Times New Roman" w:eastAsia="Times New Roman" w:hAnsi="Times New Roman"/>
          <w:sz w:val="16"/>
          <w:szCs w:val="16"/>
          <w:color w:val="auto"/>
        </w:rPr>
      </w:pPr>
    </w:p>
    <w:p>
      <w:pPr>
        <w:jc w:val="both"/>
        <w:ind w:left="5" w:right="20" w:firstLine="745"/>
        <w:spacing w:after="0" w:line="256" w:lineRule="auto"/>
        <w:tabs>
          <w:tab w:leader="none" w:pos="1001"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not, by amendment of its certificate of incorporation, by-laws or through any reorganization, transfer of assets, consolidation, merger, amalgamation, arrangement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the taking of all action necessary or appropriate in order to protect the rights of the Holder to exercise this Warrant, or against impairment of such rights.</w:t>
      </w:r>
    </w:p>
    <w:p>
      <w:pPr>
        <w:spacing w:after="0" w:line="161" w:lineRule="exact"/>
        <w:rPr>
          <w:rFonts w:ascii="Times New Roman" w:cs="Times New Roman" w:eastAsia="Times New Roman" w:hAnsi="Times New Roman"/>
          <w:sz w:val="16"/>
          <w:szCs w:val="16"/>
          <w:color w:val="auto"/>
        </w:rPr>
      </w:pPr>
    </w:p>
    <w:p>
      <w:pPr>
        <w:ind w:left="225" w:hanging="225"/>
        <w:spacing w:after="0"/>
        <w:tabs>
          <w:tab w:leader="none" w:pos="22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ADJUSTMENTS OF EXERCISE PRICE, NUMBER AND TYPE OF WARRANT SHARES</w:t>
      </w:r>
    </w:p>
    <w:p>
      <w:pPr>
        <w:spacing w:after="0" w:line="194" w:lineRule="exact"/>
        <w:rPr>
          <w:rFonts w:ascii="Times New Roman" w:cs="Times New Roman" w:eastAsia="Times New Roman" w:hAnsi="Times New Roman"/>
          <w:sz w:val="16"/>
          <w:szCs w:val="16"/>
          <w:color w:val="auto"/>
        </w:rPr>
      </w:pPr>
    </w:p>
    <w:p>
      <w:pPr>
        <w:jc w:val="both"/>
        <w:ind w:left="5" w:right="20" w:firstLine="745"/>
        <w:spacing w:after="0" w:line="256" w:lineRule="auto"/>
        <w:tabs>
          <w:tab w:leader="none" w:pos="991"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Exercise Price and the number of Warrant Shares issuable upon the exercise of this Warrant shall be subject to adjustment from time to time upon the occurrence of certain events described in this Section 3. If the Company does not have the requisite number of authorized but unissued Common Shares to make any adjustment, then the Company shall, as soon as reasonably practicable, take all action necessary to increase the Company’s authorized Common Shares to an amount sufficient to allow the Company to have the requisite number of authorized Common Shares to allow for such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5"/>
        <w:spacing w:after="0"/>
        <w:rPr>
          <w:sz w:val="20"/>
          <w:szCs w:val="20"/>
          <w:color w:val="auto"/>
        </w:rPr>
      </w:pPr>
      <w:r>
        <w:rPr>
          <w:rFonts w:ascii="Times New Roman" w:cs="Times New Roman" w:eastAsia="Times New Roman" w:hAnsi="Times New Roman"/>
          <w:sz w:val="14"/>
          <w:szCs w:val="14"/>
          <w:color w:val="auto"/>
        </w:rPr>
        <w:t>DOCPROPERTY "CUS_DocIDChunk0" 76095625.1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17486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0" w:right="31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9"/>
          <w:szCs w:val="19"/>
          <w:b w:val="1"/>
          <w:bCs w:val="1"/>
          <w:color w:val="auto"/>
        </w:rPr>
        <w:t>Exhibit 4.2</w:t>
      </w:r>
    </w:p>
    <w:p>
      <w:pPr>
        <w:spacing w:after="0" w:line="360" w:lineRule="exact"/>
        <w:rPr>
          <w:sz w:val="20"/>
          <w:szCs w:val="20"/>
          <w:color w:val="auto"/>
        </w:rPr>
      </w:pPr>
    </w:p>
    <w:p>
      <w:pPr>
        <w:jc w:val="both"/>
        <w:ind w:left="125" w:right="240" w:hanging="7"/>
        <w:spacing w:after="0" w:line="252" w:lineRule="auto"/>
        <w:tabs>
          <w:tab w:leader="none" w:pos="333" w:val="left"/>
        </w:tabs>
        <w:numPr>
          <w:ilvl w:val="0"/>
          <w:numId w:val="27"/>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u w:val="single" w:color="auto"/>
          <w:color w:val="auto"/>
        </w:rPr>
        <w:t>Subdivision or Combination of Common Shares</w:t>
      </w:r>
      <w:r>
        <w:rPr>
          <w:rFonts w:ascii="Times New Roman" w:cs="Times New Roman" w:eastAsia="Times New Roman" w:hAnsi="Times New Roman"/>
          <w:sz w:val="16"/>
          <w:szCs w:val="16"/>
          <w:color w:val="auto"/>
        </w:rPr>
        <w:t>. In case the Company shall at any time subdivide (whether by way of stock dividend, stock split or otherwise) its outstanding Common Shares into a greater number of shares, the Exercise Price in effect immediately prior to such subdivision shall be proportionately reduced and the number of Warrant Shares shall be proportionately increased, and conversely, in case the outstanding Common Shares of the Company shall be combined (whether by way of stock combination, reverse stock split or otherwise) into a smaller number of shares, the Exercise Price in effect immediately prior to such combination shall be proportionately increased and the number of Warrant Shares shall be proportionately decreased. The Exercise Price and the Warrant Shares, as so adjusted, shall be readjusted in the same manner upon the happening of any successive event or events described in this Section 3(a)(i).</w:t>
      </w:r>
    </w:p>
    <w:p>
      <w:pPr>
        <w:spacing w:after="0" w:line="165" w:lineRule="exact"/>
        <w:rPr>
          <w:rFonts w:ascii="Times New Roman" w:cs="Times New Roman" w:eastAsia="Times New Roman" w:hAnsi="Times New Roman"/>
          <w:sz w:val="16"/>
          <w:szCs w:val="16"/>
          <w:u w:val="single" w:color="auto"/>
          <w:color w:val="auto"/>
        </w:rPr>
      </w:pPr>
    </w:p>
    <w:p>
      <w:pPr>
        <w:jc w:val="both"/>
        <w:ind w:left="125" w:right="360" w:hanging="7"/>
        <w:spacing w:after="0" w:line="250" w:lineRule="auto"/>
        <w:tabs>
          <w:tab w:leader="none" w:pos="369" w:val="left"/>
        </w:tabs>
        <w:numPr>
          <w:ilvl w:val="0"/>
          <w:numId w:val="27"/>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u w:val="single" w:color="auto"/>
          <w:color w:val="auto"/>
        </w:rPr>
        <w:t>Subsequent Rights Offerings</w:t>
      </w:r>
      <w:r>
        <w:rPr>
          <w:rFonts w:ascii="Times New Roman" w:cs="Times New Roman" w:eastAsia="Times New Roman" w:hAnsi="Times New Roman"/>
          <w:sz w:val="16"/>
          <w:szCs w:val="16"/>
          <w:color w:val="auto"/>
        </w:rPr>
        <w:t>. In addition to any adjustments pursuant to Section 3(a) above, if at any time the Company grants, issues or sells any Common Share Equivalents or rights to purchase stock, warrants, securities or other property pro rata to the record holders of any class of Common Shares (the “</w:t>
      </w:r>
      <w:r>
        <w:rPr>
          <w:rFonts w:ascii="Times New Roman" w:cs="Times New Roman" w:eastAsia="Times New Roman" w:hAnsi="Times New Roman"/>
          <w:sz w:val="16"/>
          <w:szCs w:val="16"/>
          <w:b w:val="1"/>
          <w:bCs w:val="1"/>
          <w:color w:val="auto"/>
        </w:rPr>
        <w:t>Purchase Rights</w:t>
      </w:r>
      <w:r>
        <w:rPr>
          <w:rFonts w:ascii="Times New Roman" w:cs="Times New Roman" w:eastAsia="Times New Roman" w:hAnsi="Times New Roman"/>
          <w:sz w:val="16"/>
          <w:szCs w:val="16"/>
          <w:color w:val="auto"/>
        </w:rPr>
        <w:t>”), then the Holder will be entitled to acquire, upon the terms applicable to such Purchase Rights, the aggregate Purchase Rights which the Holder could have acquired if the Holder had held the number of Common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Shares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Common Shares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65" w:lineRule="exact"/>
        <w:rPr>
          <w:sz w:val="20"/>
          <w:szCs w:val="20"/>
          <w:color w:val="auto"/>
        </w:rPr>
      </w:pPr>
    </w:p>
    <w:p>
      <w:pPr>
        <w:jc w:val="both"/>
        <w:ind w:left="5" w:right="460" w:hanging="5"/>
        <w:spacing w:after="0" w:line="249" w:lineRule="auto"/>
        <w:tabs>
          <w:tab w:leader="none" w:pos="281" w:val="left"/>
        </w:tabs>
        <w:numPr>
          <w:ilvl w:val="0"/>
          <w:numId w:val="28"/>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u w:val="single" w:color="auto"/>
          <w:color w:val="auto"/>
        </w:rPr>
        <w:t>Pro Rata Distributions</w:t>
      </w:r>
      <w:r>
        <w:rPr>
          <w:rFonts w:ascii="Times New Roman" w:cs="Times New Roman" w:eastAsia="Times New Roman" w:hAnsi="Times New Roman"/>
          <w:sz w:val="16"/>
          <w:szCs w:val="16"/>
          <w:color w:val="auto"/>
        </w:rPr>
        <w:t>. During such time as this Warrant is outstanding, if the Company shall declare or make any dividend or other distribution of its assets (or rights to acquire its assets) to holders of Common Shares,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6"/>
          <w:szCs w:val="16"/>
          <w:b w:val="1"/>
          <w:bCs w:val="1"/>
          <w:color w:val="auto"/>
        </w:rPr>
        <w:t>Distribution</w:t>
      </w:r>
      <w:r>
        <w:rPr>
          <w:rFonts w:ascii="Times New Roman" w:cs="Times New Roman" w:eastAsia="Times New Roman" w:hAnsi="Times New Roman"/>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Common Shares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Common Shares are to be determined for the participation in such Distribution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Common Shares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5"/>
        <w:spacing w:after="0"/>
        <w:rPr>
          <w:sz w:val="20"/>
          <w:szCs w:val="20"/>
          <w:color w:val="auto"/>
        </w:rPr>
      </w:pPr>
      <w:r>
        <w:rPr>
          <w:rFonts w:ascii="Times New Roman" w:cs="Times New Roman" w:eastAsia="Times New Roman" w:hAnsi="Times New Roman"/>
          <w:sz w:val="14"/>
          <w:szCs w:val="14"/>
          <w:color w:val="auto"/>
        </w:rPr>
        <w:t>DOCPROPERTY "CUS_DocIDChunk0" 76095625.1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17486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0" w:right="31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9"/>
          <w:szCs w:val="19"/>
          <w:b w:val="1"/>
          <w:bCs w:val="1"/>
          <w:color w:val="auto"/>
        </w:rPr>
        <w:t>Exhibit 4.2</w:t>
      </w:r>
    </w:p>
    <w:p>
      <w:pPr>
        <w:spacing w:after="0" w:line="360" w:lineRule="exact"/>
        <w:rPr>
          <w:sz w:val="20"/>
          <w:szCs w:val="20"/>
          <w:color w:val="auto"/>
        </w:rPr>
      </w:pPr>
    </w:p>
    <w:p>
      <w:pPr>
        <w:jc w:val="both"/>
        <w:ind w:left="160" w:hanging="1"/>
        <w:spacing w:after="0" w:line="247" w:lineRule="auto"/>
        <w:tabs>
          <w:tab w:leader="none" w:pos="427" w:val="left"/>
        </w:tabs>
        <w:numPr>
          <w:ilvl w:val="0"/>
          <w:numId w:val="29"/>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u w:val="single" w:color="auto"/>
          <w:color w:val="auto"/>
        </w:rPr>
        <w:t>Fundamental Transaction</w:t>
      </w:r>
      <w:r>
        <w:rPr>
          <w:rFonts w:ascii="Times New Roman" w:cs="Times New Roman" w:eastAsia="Times New Roman" w:hAnsi="Times New Roman"/>
          <w:sz w:val="16"/>
          <w:szCs w:val="16"/>
          <w:color w:val="auto"/>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Shares are permitted to sell, tender or exchange their shares for other securities, cash or property and has been accepted by the holders of greater than 50% of the outstanding Common Shares or greater than 50% of the voting power of the common equity of the Company, (iv) the Company, directly or indirectly, in one or more related transactions effects any reclassification, reorganization or recapitalization of the Common Shares or any compulsory share exchange pursuant to which the Common Shares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Common Shares or greater than 50% of the voting power of the common equity of the Company (each a “Fundamental Transaction”),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on the exercise of this Warrant), the number of Common Shares of the successor or acquiring corporation or of the Company, if it is the surviving corporation, and any additional consideration (the “Alternate Consideration”) receivable as a result of such Fundamental Transaction by a holder of the number of Common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contemplated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(i) the Fundamental Transaction is not within the Company's control, including not approved by the Company's Board of Directors or (ii) the consideration issuable in such Fundamental Transaction is all stock or other securities consideration, then, in each case, the Holder, in connection with the Holder’s option to cause the Company or any Successor Entity to purchase this Warrant from the Holder, which option shall be exercisable at any time concurrently with, or within 30 days after, the consummation of the Fundamental Transaction (or, if later, the date of the public announcement of the applicable contemplated Fundamental Transaction), shall only be entitled to receive from the Company or any Successor Entity the same type or form of consideration (and in the same proportion), at the Black Scholes Value of the unexercised portion of this Warrant, that is being offered and paid to the holders of Common Shares of the Company in connection with the Fundamental Transaction, whether that consideration be in the form of cash, stock or any combination thereof, or whether the holders of Common Shares are given the choice to receive from among alternative forms of consideration in connection with the Fundamental Transaction; provided, further, that if holders of Common Shares of the Company are not offered or paid any consideration in such Fundamental Transaction, such holders of Common Shares will be deemed to have received common stock of the Successor Entity (which Successor Entity may be the Company following such Fundamental Transaction) in such Fundamental Transaction. “Black Scholes Value” means the value of this Warrant based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"CUS_DocIDChunk0" 76095625.1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501015</wp:posOffset>
            </wp:positionV>
            <wp:extent cx="717486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680" w:right="31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9"/>
          <w:szCs w:val="19"/>
          <w:b w:val="1"/>
          <w:bCs w:val="1"/>
          <w:color w:val="auto"/>
        </w:rPr>
        <w:t>Exhibit 4.2</w:t>
      </w:r>
    </w:p>
    <w:p>
      <w:pPr>
        <w:spacing w:after="0" w:line="360" w:lineRule="exact"/>
        <w:rPr>
          <w:sz w:val="20"/>
          <w:szCs w:val="20"/>
          <w:color w:val="auto"/>
        </w:rPr>
      </w:pPr>
    </w:p>
    <w:p>
      <w:pPr>
        <w:jc w:val="both"/>
        <w:ind w:left="220"/>
        <w:spacing w:after="0" w:line="248" w:lineRule="auto"/>
        <w:rPr>
          <w:sz w:val="20"/>
          <w:szCs w:val="20"/>
          <w:color w:val="auto"/>
        </w:rPr>
      </w:pPr>
      <w:r>
        <w:rPr>
          <w:rFonts w:ascii="Times New Roman" w:cs="Times New Roman" w:eastAsia="Times New Roman" w:hAnsi="Times New Roman"/>
          <w:sz w:val="16"/>
          <w:szCs w:val="16"/>
          <w:color w:val="auto"/>
        </w:rPr>
        <w:t>the Black Scholes Option Pricing Model obtained from the “OV” function on Bloomberg, L.P. (“Bloomberg”) determined as of the day of consummation of the applicable Fundamental Transaction for pricing purposes and reflecting (i) a risk-free interest rate corresponding to the U.S. Treasury rate for a period equal to the remaining term of this Warrant as of such date of request, (ii) an expected volatility equal to the remaining term of this Warrant obtained from the HVT function on Bloomberg as of the Trading Day immediately prior to the public announcement of the applicable Fundamental Transaction or, if the Fundamental Transaction is not publicly announced, the date the Fundamental Transaction is consummated, (iii) the underlying price per share used in such calculation shall be the greater of (A) the sum of the price per share being offered in cash, if any, plus the per share value of any non-cash consideration, if any, being offered in such Fundamental Transaction and (B) the greater of (x) the last weighted average price of the Common Shares immediately prior to the public announcement of such Fundamental Transaction and (y) the last weighted average price of the Common Shares immediately prior to the consummation of such Fundamental Transaction, (iv) a zero cost of borrow and (v) a 360 day annualization factor. The payment of the Black Scholes Value will be made by wire transfer of immediately available funds (or such other consideration) within the later of (i) five Business Days of the Holder’s election and (ii) the effective date of the Fundamental Transaction. The Company shall cause any successor entity in a Fundamental Transaction in which the Company is not the survivor (the “Successor Entity”) to assume in writing all of the obligations of the Company under this Warrant in accordance with the provisions of this Section 3(a)(iv)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w:t>
      </w:r>
    </w:p>
    <w:p>
      <w:pPr>
        <w:spacing w:after="0" w:line="168" w:lineRule="exact"/>
        <w:rPr>
          <w:sz w:val="20"/>
          <w:szCs w:val="20"/>
          <w:color w:val="auto"/>
        </w:rPr>
      </w:pPr>
    </w:p>
    <w:p>
      <w:pPr>
        <w:jc w:val="both"/>
        <w:ind w:firstLine="745"/>
        <w:spacing w:after="0" w:line="254" w:lineRule="auto"/>
        <w:tabs>
          <w:tab w:leader="none" w:pos="985"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Certificate as to Adjustments</w:t>
      </w:r>
      <w:r>
        <w:rPr>
          <w:rFonts w:ascii="Times New Roman" w:cs="Times New Roman" w:eastAsia="Times New Roman" w:hAnsi="Times New Roman"/>
          <w:sz w:val="16"/>
          <w:szCs w:val="16"/>
          <w:color w:val="auto"/>
        </w:rPr>
        <w:t>. Upon the occurrence of each adjustment or readjustment pursuant to this Section 3, the Company at its expense shall promptly compute such adjustment or readjustment in accordance with the terms hereof and furnish to the Holder of this Warrant a certificate setting forth such adjustment or readjustment and showing in detail the facts upon which such adjustment or readjustment is based. The Company shall promptly furnish or cause to be furnished to such Holder a like certificate setting forth: (i) such adjustments and readjustments; and (ii) the number of shares and/or the amount, if any, of other securities, assets or property which at the time would be received upon the exercise of the Warrant.</w:t>
      </w:r>
    </w:p>
    <w:p>
      <w:pPr>
        <w:spacing w:after="0" w:line="161" w:lineRule="exact"/>
        <w:rPr>
          <w:rFonts w:ascii="Times New Roman" w:cs="Times New Roman" w:eastAsia="Times New Roman" w:hAnsi="Times New Roman"/>
          <w:sz w:val="16"/>
          <w:szCs w:val="16"/>
          <w:color w:val="auto"/>
        </w:rPr>
      </w:pPr>
    </w:p>
    <w:p>
      <w:pPr>
        <w:jc w:val="both"/>
        <w:ind w:right="20" w:firstLine="745"/>
        <w:spacing w:after="0" w:line="256" w:lineRule="auto"/>
        <w:tabs>
          <w:tab w:leader="none" w:pos="965"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Events</w:t>
      </w:r>
      <w:r>
        <w:rPr>
          <w:rFonts w:ascii="Times New Roman" w:cs="Times New Roman" w:eastAsia="Times New Roman" w:hAnsi="Times New Roman"/>
          <w:sz w:val="16"/>
          <w:szCs w:val="16"/>
          <w:color w:val="auto"/>
        </w:rPr>
        <w:t>. If any event occurs as to which the other provisions of this Section 3 are not strictly applicable but the lack of any adjustment would not fairly protect the purchase rights of the Holder under this Warrant in accordance with the basic intent and principles of such provisions, or if strictly applicable would not fairly protect the purchase rights of the Holder under this Warrant in accordance with the basic intent and principles of such provisions, then the Board of Directors will, in good faith, make an appropriate adjustment to protect the rights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76095625.1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28" w:name="page29"/>
    <w:bookmarkEnd w:id="28"/>
    <w:p>
      <w:pPr>
        <w:ind w:left="10385"/>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371" w:lineRule="exact"/>
        <w:rPr>
          <w:sz w:val="20"/>
          <w:szCs w:val="20"/>
          <w:color w:val="auto"/>
        </w:rPr>
      </w:pPr>
    </w:p>
    <w:p>
      <w:pPr>
        <w:ind w:left="5" w:right="20"/>
        <w:spacing w:after="0" w:line="276" w:lineRule="auto"/>
        <w:rPr>
          <w:sz w:val="20"/>
          <w:szCs w:val="20"/>
          <w:color w:val="auto"/>
        </w:rPr>
      </w:pPr>
      <w:r>
        <w:rPr>
          <w:rFonts w:ascii="Times New Roman" w:cs="Times New Roman" w:eastAsia="Times New Roman" w:hAnsi="Times New Roman"/>
          <w:sz w:val="16"/>
          <w:szCs w:val="16"/>
          <w:color w:val="auto"/>
        </w:rPr>
        <w:t xml:space="preserve">Holder,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such adjustment pursuant to this Section 3(c) will increase the Exercise Price or decrease the number of Warrant Shares except as determined pursuant to this Section 3.</w:t>
      </w:r>
    </w:p>
    <w:p>
      <w:pPr>
        <w:spacing w:after="0" w:line="145" w:lineRule="exact"/>
        <w:rPr>
          <w:sz w:val="20"/>
          <w:szCs w:val="20"/>
          <w:color w:val="auto"/>
        </w:rPr>
      </w:pPr>
    </w:p>
    <w:p>
      <w:pPr>
        <w:ind w:left="605" w:hanging="605"/>
        <w:spacing w:after="0"/>
        <w:tabs>
          <w:tab w:leader="none" w:pos="605"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 ON EXERCISE</w:t>
      </w:r>
    </w:p>
    <w:p>
      <w:pPr>
        <w:spacing w:after="0" w:line="194" w:lineRule="exact"/>
        <w:rPr>
          <w:rFonts w:ascii="Times New Roman" w:cs="Times New Roman" w:eastAsia="Times New Roman" w:hAnsi="Times New Roman"/>
          <w:sz w:val="16"/>
          <w:szCs w:val="16"/>
          <w:color w:val="auto"/>
        </w:rPr>
      </w:pPr>
    </w:p>
    <w:p>
      <w:pPr>
        <w:jc w:val="both"/>
        <w:ind w:left="5" w:firstLine="745"/>
        <w:spacing w:after="0" w:line="250" w:lineRule="auto"/>
        <w:tabs>
          <w:tab w:leader="none" w:pos="987"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contained herein, the Company shall not effect any exercise of this Warrant, and the Holder shall not be entitled to exercise this Warrant for a number of Warrant Shares in excess of that number of Warrant Shares that, upon giving effect or immediately prior to such exercise, would cause (i) the aggregate number of Common Shares beneficially owned by the Holder, its Affiliates and any other Persons whose beneficial ownership of Common Shares would be aggregated with the Holder’s for purposes of Section 13(d) of the Exchange Act to exceed [4.99][9.99]% (the “Maximum Percentage”) of the total number of issued and outstanding Common Shares of the Company following such exercise, or (ii) the combined voting power of the securities of the Company beneficially owned by the Holder and its Affiliates and any other Persons whose beneficial ownership of Common Shares would be aggregated with the Holder’s for purposes of Section 13(d) of the Exchange Act to exceed [4.99][9.99]% of the combined voting power of all of the securities of the Company then outstanding following such exercise. For purposes of this Warrant, in determining the number of outstanding Common Shares, the Holder may rely on the number of outstanding Common Shares as reflected in (x) the Company’s most recent Form 10-Q or Form 10-K, as the case may be, filed with the Commission prior to the date hereof, (y) a more recent public announcement by the Company or (z) any other notice by the Company or its transfer agent setting forth the number of Common Shares outstanding. Upon the written request of the Holder, the Company shall within three (3) Trading Days confirm in writing or by electronic mail to the Holder the number of Common Shares then outstanding. In any case, the number of outstanding Common Shares shall be determined after giving effect to the conversion or exercise of securities of the Company, including this Warrant, by the Holder since the date as of which such number of outstanding Common Shares was reported. By written notice to the Company, the Holder may from time to time increase or decrease the Maximum Percentage to any other percentage specified in such notice; provided that such Maximum Percentage shall not exceed 9.99% (or upon the election of the Holder prior to the issuance of this Warrant, 19.99%); provided, further, that any such increase will not be effective until the sixty-first (61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day after such notice is delivered to the Company.</w:t>
      </w:r>
    </w:p>
    <w:p>
      <w:pPr>
        <w:spacing w:after="0" w:line="128" w:lineRule="exact"/>
        <w:rPr>
          <w:sz w:val="20"/>
          <w:szCs w:val="20"/>
          <w:color w:val="auto"/>
        </w:rPr>
      </w:pPr>
    </w:p>
    <w:p>
      <w:pPr>
        <w:jc w:val="both"/>
        <w:ind w:left="5"/>
        <w:spacing w:after="0" w:line="250" w:lineRule="auto"/>
        <w:rPr>
          <w:sz w:val="20"/>
          <w:szCs w:val="20"/>
          <w:color w:val="auto"/>
        </w:rPr>
      </w:pPr>
      <w:r>
        <w:rPr>
          <w:rFonts w:ascii="Times New Roman" w:cs="Times New Roman" w:eastAsia="Times New Roman" w:hAnsi="Times New Roman"/>
          <w:sz w:val="16"/>
          <w:szCs w:val="16"/>
          <w:color w:val="auto"/>
        </w:rPr>
        <w:t>For purposes of this Section 4(a), the aggregate number of Common Shares or voting securities beneficially owned by the Holder and its Affiliates and any other Persons whose beneficial ownership of Common Shares would be aggregated with the Holder’s for purposes of Section 13(d) of the Exchange Act shall include the Common Shares issuable upon the exercise of this Warrant with respect to which such determination is being made, but shall exclude the number of Common Shares that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that would entitle the holder thereof to acquire at any time Common Shares, including without limitation any debt, preferred stock, right, option, warrant or other instrument that is at any time convertible into or exercisable or exchangeable for, or otherwise entitles the holder thereof to receive, Common Shares), is subject to a limitation on conversion or exercise analogous to the limitation contained herein and is beneficially owned by the Holder or any of its Affiliates and other Persons whose beneficial ownership of Common Shares would be aggregated with the Holder’s for purposes of Section 13(d) of the Exchange Act.</w:t>
      </w:r>
    </w:p>
    <w:p>
      <w:pPr>
        <w:spacing w:after="0" w:line="167" w:lineRule="exact"/>
        <w:rPr>
          <w:sz w:val="20"/>
          <w:szCs w:val="20"/>
          <w:color w:val="auto"/>
        </w:rPr>
      </w:pPr>
    </w:p>
    <w:p>
      <w:pPr>
        <w:ind w:left="5" w:right="20" w:firstLine="745"/>
        <w:spacing w:after="0" w:line="276" w:lineRule="auto"/>
        <w:tabs>
          <w:tab w:leader="none" w:pos="989"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Section 4 shall not restrict the number of Common Shares that a Holder may receive or beneficially own in order to determine the amount of securities or other consideration that such Holder may receive in the event of a Fundamental Transaction as contemplated in Section 3(a)(iv) of this Warrant.</w:t>
      </w:r>
    </w:p>
    <w:p>
      <w:pPr>
        <w:spacing w:after="0" w:line="144" w:lineRule="exact"/>
        <w:rPr>
          <w:rFonts w:ascii="Times New Roman" w:cs="Times New Roman" w:eastAsia="Times New Roman" w:hAnsi="Times New Roman"/>
          <w:sz w:val="16"/>
          <w:szCs w:val="16"/>
          <w:color w:val="auto"/>
        </w:rPr>
      </w:pPr>
    </w:p>
    <w:p>
      <w:pPr>
        <w:ind w:left="265" w:hanging="265"/>
        <w:spacing w:after="0"/>
        <w:tabs>
          <w:tab w:leader="none" w:pos="265"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TRANSFERS AND EXCHANGES OF WARRANT AND WARRANT SHARES</w:t>
      </w:r>
    </w:p>
    <w:p>
      <w:pPr>
        <w:spacing w:after="0" w:line="194" w:lineRule="exact"/>
        <w:rPr>
          <w:rFonts w:ascii="Times New Roman" w:cs="Times New Roman" w:eastAsia="Times New Roman" w:hAnsi="Times New Roman"/>
          <w:sz w:val="16"/>
          <w:szCs w:val="16"/>
          <w:color w:val="auto"/>
        </w:rPr>
      </w:pPr>
    </w:p>
    <w:p>
      <w:pPr>
        <w:ind w:left="5" w:firstLine="745"/>
        <w:spacing w:after="0" w:line="276" w:lineRule="auto"/>
        <w:tabs>
          <w:tab w:leader="none" w:pos="994"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of Transfers and Exchanges</w:t>
      </w:r>
      <w:r>
        <w:rPr>
          <w:rFonts w:ascii="Times New Roman" w:cs="Times New Roman" w:eastAsia="Times New Roman" w:hAnsi="Times New Roman"/>
          <w:sz w:val="16"/>
          <w:szCs w:val="16"/>
          <w:color w:val="auto"/>
        </w:rPr>
        <w:t xml:space="preserve">. Subject to Section 5(c), upon the Holder’s surrender of this Warrant, with a duly executed copy of the Form of Assignment attached as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to the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5"/>
        <w:spacing w:after="0"/>
        <w:rPr>
          <w:sz w:val="20"/>
          <w:szCs w:val="20"/>
          <w:color w:val="auto"/>
        </w:rPr>
      </w:pPr>
      <w:r>
        <w:rPr>
          <w:rFonts w:ascii="Times New Roman" w:cs="Times New Roman" w:eastAsia="Times New Roman" w:hAnsi="Times New Roman"/>
          <w:sz w:val="14"/>
          <w:szCs w:val="14"/>
          <w:color w:val="auto"/>
        </w:rPr>
        <w:t>DOCPROPERTY "CUS_DocIDChunk0" 76095625.1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17486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0" w:right="31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9"/>
          <w:szCs w:val="19"/>
          <w:b w:val="1"/>
          <w:bCs w:val="1"/>
          <w:color w:val="auto"/>
        </w:rPr>
        <w:t>Exhibit 4.2</w:t>
      </w:r>
    </w:p>
    <w:p>
      <w:pPr>
        <w:spacing w:after="0" w:line="360" w:lineRule="exact"/>
        <w:rPr>
          <w:sz w:val="20"/>
          <w:szCs w:val="20"/>
          <w:color w:val="auto"/>
        </w:rPr>
      </w:pPr>
    </w:p>
    <w:p>
      <w:pPr>
        <w:jc w:val="both"/>
        <w:ind w:left="5"/>
        <w:spacing w:after="0" w:line="261" w:lineRule="auto"/>
        <w:rPr>
          <w:sz w:val="20"/>
          <w:szCs w:val="20"/>
          <w:color w:val="auto"/>
        </w:rPr>
      </w:pPr>
      <w:r>
        <w:rPr>
          <w:rFonts w:ascii="Times New Roman" w:cs="Times New Roman" w:eastAsia="Times New Roman" w:hAnsi="Times New Roman"/>
          <w:sz w:val="16"/>
          <w:szCs w:val="16"/>
          <w:color w:val="auto"/>
        </w:rPr>
        <w:t>of the Company at its principal offices or at such other office or agency as the Company may specify in writing to the Holder, the Company shall register the transfer of all or any portion of this Warrant. Upon such registration of transfer, the Company shall issue a new Warrant, in substantially the form of this Warrant, evidencing the acquisition rights transferred to the transferee and a new Warrant, in similar form, evidencing the remaining acquisition rights, if any, not transferred, to the Holder requesting the transfer.</w:t>
      </w:r>
    </w:p>
    <w:p>
      <w:pPr>
        <w:spacing w:after="0" w:line="157" w:lineRule="exact"/>
        <w:rPr>
          <w:sz w:val="20"/>
          <w:szCs w:val="20"/>
          <w:color w:val="auto"/>
        </w:rPr>
      </w:pPr>
    </w:p>
    <w:p>
      <w:pPr>
        <w:jc w:val="both"/>
        <w:ind w:left="5" w:firstLine="745"/>
        <w:spacing w:after="0" w:line="254" w:lineRule="auto"/>
        <w:tabs>
          <w:tab w:leader="none" w:pos="991"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Warrant Exchangeable for Different Denominations</w:t>
      </w:r>
      <w:r>
        <w:rPr>
          <w:rFonts w:ascii="Times New Roman" w:cs="Times New Roman" w:eastAsia="Times New Roman" w:hAnsi="Times New Roman"/>
          <w:sz w:val="16"/>
          <w:szCs w:val="16"/>
          <w:color w:val="auto"/>
        </w:rPr>
        <w:t>. The Holder may exchange this Warrant for a new Warrant or Warrants, in substantially the form of this Warrant, evidencing in the aggregate the right to purchase the number of Warrant Shares which may then be purchased hereunder, each of such new Warrants to be dated the date of such exchange and to represent the right to purchase such number of Warrant Shares as shall be designated by the Holder. The Holder shall surrender this Warrant with duly executed instructions regarding such re-certification of this Warrant to the Chief Financial Officer of the Company at its principal offices or at such other office or agency as the Company may specify in writing to the Holder.</w:t>
      </w:r>
    </w:p>
    <w:p>
      <w:pPr>
        <w:spacing w:after="0" w:line="161" w:lineRule="exact"/>
        <w:rPr>
          <w:rFonts w:ascii="Times New Roman" w:cs="Times New Roman" w:eastAsia="Times New Roman" w:hAnsi="Times New Roman"/>
          <w:sz w:val="16"/>
          <w:szCs w:val="16"/>
          <w:color w:val="auto"/>
        </w:rPr>
      </w:pPr>
    </w:p>
    <w:p>
      <w:pPr>
        <w:jc w:val="both"/>
        <w:ind w:left="5" w:firstLine="745"/>
        <w:spacing w:after="0" w:line="254" w:lineRule="auto"/>
        <w:tabs>
          <w:tab w:leader="none" w:pos="97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Transfers</w:t>
      </w:r>
      <w:r>
        <w:rPr>
          <w:rFonts w:ascii="Times New Roman" w:cs="Times New Roman" w:eastAsia="Times New Roman" w:hAnsi="Times New Roman"/>
          <w:sz w:val="16"/>
          <w:szCs w:val="16"/>
          <w:color w:val="auto"/>
        </w:rPr>
        <w:t>. This Warrant may not be transferred at any time without (i) registration under the Securities Act and all applicable state securities laws, or (ii) the availability of an exemption from such registration; provided, however, that no opinion of counsel shall be required in connection with any transfer effected pursuant to Rule 144, and the Company shall accept customary Rule 144 seller representations in lieu thereof; and, in the case of any other exemption, delivery to the Company of a written opinion of legal counsel addressed to the Company that the proposed transfer of the Warrant may be effected without registration under the Securities Act, which opinion shall be in form and substance reasonably satisfactory to the Company.</w:t>
      </w:r>
    </w:p>
    <w:p>
      <w:pPr>
        <w:spacing w:after="0" w:line="161" w:lineRule="exact"/>
        <w:rPr>
          <w:rFonts w:ascii="Times New Roman" w:cs="Times New Roman" w:eastAsia="Times New Roman" w:hAnsi="Times New Roman"/>
          <w:sz w:val="16"/>
          <w:szCs w:val="16"/>
          <w:color w:val="auto"/>
        </w:rPr>
      </w:pPr>
    </w:p>
    <w:p>
      <w:pPr>
        <w:jc w:val="both"/>
        <w:ind w:left="5" w:right="20" w:firstLine="745"/>
        <w:spacing w:after="0" w:line="279" w:lineRule="auto"/>
        <w:tabs>
          <w:tab w:leader="none" w:pos="979" w:val="left"/>
        </w:tabs>
        <w:numPr>
          <w:ilvl w:val="1"/>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Permitted Transfers and Assignments</w:t>
      </w:r>
      <w:r>
        <w:rPr>
          <w:rFonts w:ascii="Times New Roman" w:cs="Times New Roman" w:eastAsia="Times New Roman" w:hAnsi="Times New Roman"/>
          <w:sz w:val="15"/>
          <w:szCs w:val="15"/>
          <w:color w:val="auto"/>
        </w:rPr>
        <w:t xml:space="preserve">. Notwithstanding any provision to the contrary in this Section 5, the Holder may transfer, with or without consideration, this Warrant or any of the Warrant Shares (or a portion thereof) to the Holder’s Affiliates without obtaining the opinion from counsel that may be required by Section 5(c)(ii),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Holder delivers to the Company and its counsel certifications, documentation, and other assurances, acceptable to the Company, and reasonably required by the Holder’s counsel to enable the Holder’s counsel to render an opinion to the Company’s Transfer Agent that such transfer does not violate applicable U.S. federal securities laws.</w:t>
      </w:r>
    </w:p>
    <w:p>
      <w:pPr>
        <w:spacing w:after="0" w:line="356" w:lineRule="exact"/>
        <w:rPr>
          <w:rFonts w:ascii="Times New Roman" w:cs="Times New Roman" w:eastAsia="Times New Roman" w:hAnsi="Times New Roman"/>
          <w:sz w:val="15"/>
          <w:szCs w:val="15"/>
          <w:color w:val="auto"/>
        </w:rPr>
      </w:pPr>
    </w:p>
    <w:p>
      <w:pPr>
        <w:ind w:left="345" w:hanging="345"/>
        <w:spacing w:after="0"/>
        <w:tabs>
          <w:tab w:leader="none" w:pos="345"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MUTILATED OR MISSING WARRANT CERTIFICATE</w:t>
      </w:r>
    </w:p>
    <w:p>
      <w:pPr>
        <w:spacing w:after="0" w:line="194" w:lineRule="exact"/>
        <w:rPr>
          <w:sz w:val="20"/>
          <w:szCs w:val="20"/>
          <w:color w:val="auto"/>
        </w:rPr>
      </w:pPr>
    </w:p>
    <w:p>
      <w:pPr>
        <w:jc w:val="both"/>
        <w:ind w:left="5" w:right="20" w:firstLine="751"/>
        <w:spacing w:after="0" w:line="256" w:lineRule="auto"/>
        <w:rPr>
          <w:sz w:val="20"/>
          <w:szCs w:val="20"/>
          <w:color w:val="auto"/>
        </w:rPr>
      </w:pPr>
      <w:r>
        <w:rPr>
          <w:rFonts w:ascii="Times New Roman" w:cs="Times New Roman" w:eastAsia="Times New Roman" w:hAnsi="Times New Roman"/>
          <w:sz w:val="16"/>
          <w:szCs w:val="16"/>
          <w:color w:val="auto"/>
        </w:rPr>
        <w:t xml:space="preserve">If this Warrant is mutilated, lost, stolen or destroyed, upon request by the Holder, the Company will, at the Holder’s expense, issue, in exchange for and upon cancellation of the mutilated Warrant, or in substitution for the lost, stolen or destroyed Warrant, a new Warrant, in substantially the form of this Warrant, representing the right to acquire the equivalent number of Warrant Shares;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as a prerequisite to the issuance of a substitute Warrant, the Company may require satisfactory evidence of loss, theft or destruction as well as an indemnity from the Holder of a lost, stolen or destroyed Warrant.</w:t>
      </w:r>
    </w:p>
    <w:p>
      <w:pPr>
        <w:spacing w:after="0" w:line="161" w:lineRule="exact"/>
        <w:rPr>
          <w:sz w:val="20"/>
          <w:szCs w:val="20"/>
          <w:color w:val="auto"/>
        </w:rPr>
      </w:pPr>
    </w:p>
    <w:p>
      <w:pPr>
        <w:ind w:left="805" w:hanging="805"/>
        <w:spacing w:after="0"/>
        <w:tabs>
          <w:tab w:leader="none" w:pos="805"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OF TAXES</w:t>
      </w:r>
    </w:p>
    <w:p>
      <w:pPr>
        <w:spacing w:after="0" w:line="194" w:lineRule="exact"/>
        <w:rPr>
          <w:sz w:val="20"/>
          <w:szCs w:val="20"/>
          <w:color w:val="auto"/>
        </w:rPr>
      </w:pPr>
    </w:p>
    <w:p>
      <w:pPr>
        <w:jc w:val="both"/>
        <w:ind w:left="5" w:firstLine="751"/>
        <w:spacing w:after="0" w:line="261" w:lineRule="auto"/>
        <w:rPr>
          <w:sz w:val="20"/>
          <w:szCs w:val="20"/>
          <w:color w:val="auto"/>
        </w:rPr>
      </w:pPr>
      <w:r>
        <w:rPr>
          <w:rFonts w:ascii="Times New Roman" w:cs="Times New Roman" w:eastAsia="Times New Roman" w:hAnsi="Times New Roman"/>
          <w:sz w:val="16"/>
          <w:szCs w:val="16"/>
          <w:color w:val="auto"/>
        </w:rPr>
        <w:t xml:space="preserve">The Company will pay all transfer and stock issuance taxes attributable to the preparation, issuance and delivery of this Warrant and the Warrant Shares including, without limitation, all documentary and stamp taxes;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Company shall not be required to pay any tax in respect of the transfer of this Warrant, or the issuance or delivery of certificates for Warrant Shares or other securities in respect of the Warrant Shares to any person or entity other than to the Holder.</w:t>
      </w:r>
    </w:p>
    <w:p>
      <w:pPr>
        <w:spacing w:after="0" w:line="157" w:lineRule="exact"/>
        <w:rPr>
          <w:sz w:val="20"/>
          <w:szCs w:val="20"/>
          <w:color w:val="auto"/>
        </w:rPr>
      </w:pPr>
    </w:p>
    <w:p>
      <w:pPr>
        <w:ind w:left="525" w:hanging="525"/>
        <w:spacing w:after="0"/>
        <w:tabs>
          <w:tab w:leader="none" w:pos="52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FRACTIONAL WARRANT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5"/>
        <w:spacing w:after="0"/>
        <w:rPr>
          <w:sz w:val="20"/>
          <w:szCs w:val="20"/>
          <w:color w:val="auto"/>
        </w:rPr>
      </w:pPr>
      <w:r>
        <w:rPr>
          <w:rFonts w:ascii="Times New Roman" w:cs="Times New Roman" w:eastAsia="Times New Roman" w:hAnsi="Times New Roman"/>
          <w:sz w:val="14"/>
          <w:szCs w:val="14"/>
          <w:color w:val="auto"/>
        </w:rPr>
        <w:t>DOCPROPERTY "CUS_DocIDChunk0" 76095625.1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17486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0" w:right="31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9"/>
          <w:szCs w:val="19"/>
          <w:b w:val="1"/>
          <w:bCs w:val="1"/>
          <w:color w:val="auto"/>
        </w:rPr>
        <w:t>Exhibit 4.2</w:t>
      </w:r>
    </w:p>
    <w:p>
      <w:pPr>
        <w:spacing w:after="0" w:line="360" w:lineRule="exact"/>
        <w:rPr>
          <w:sz w:val="20"/>
          <w:szCs w:val="20"/>
          <w:color w:val="auto"/>
        </w:rPr>
      </w:pPr>
    </w:p>
    <w:p>
      <w:pPr>
        <w:jc w:val="both"/>
        <w:ind w:left="5" w:firstLine="751"/>
        <w:spacing w:after="0" w:line="276" w:lineRule="auto"/>
        <w:rPr>
          <w:sz w:val="20"/>
          <w:szCs w:val="20"/>
          <w:color w:val="auto"/>
        </w:rPr>
      </w:pPr>
      <w:r>
        <w:rPr>
          <w:rFonts w:ascii="Times New Roman" w:cs="Times New Roman" w:eastAsia="Times New Roman" w:hAnsi="Times New Roman"/>
          <w:sz w:val="16"/>
          <w:szCs w:val="16"/>
          <w:color w:val="auto"/>
        </w:rPr>
        <w:t>No fractional Warrant Shares shall be issued upon exercise of this Warrant. The Company, in lieu of issuing any fractional Warrant Share, shall round up the number of Warrant Shares issuable to nearest whole share.</w:t>
      </w:r>
    </w:p>
    <w:p>
      <w:pPr>
        <w:spacing w:after="0" w:line="145" w:lineRule="exact"/>
        <w:rPr>
          <w:sz w:val="20"/>
          <w:szCs w:val="20"/>
          <w:color w:val="auto"/>
        </w:rPr>
      </w:pPr>
    </w:p>
    <w:p>
      <w:pPr>
        <w:ind w:left="465" w:hanging="465"/>
        <w:spacing w:after="0"/>
        <w:tabs>
          <w:tab w:leader="none" w:pos="465"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SHAREHOLDER RIGHTS; LEGEND</w:t>
      </w:r>
    </w:p>
    <w:p>
      <w:pPr>
        <w:spacing w:after="0" w:line="194" w:lineRule="exact"/>
        <w:rPr>
          <w:sz w:val="20"/>
          <w:szCs w:val="20"/>
          <w:color w:val="auto"/>
        </w:rPr>
      </w:pPr>
    </w:p>
    <w:p>
      <w:pPr>
        <w:jc w:val="both"/>
        <w:ind w:left="5" w:firstLine="751"/>
        <w:spacing w:after="0" w:line="254" w:lineRule="auto"/>
        <w:rPr>
          <w:sz w:val="20"/>
          <w:szCs w:val="20"/>
          <w:color w:val="auto"/>
        </w:rPr>
      </w:pPr>
      <w:r>
        <w:rPr>
          <w:rFonts w:ascii="Times New Roman" w:cs="Times New Roman" w:eastAsia="Times New Roman" w:hAnsi="Times New Roman"/>
          <w:sz w:val="16"/>
          <w:szCs w:val="16"/>
          <w:color w:val="auto"/>
        </w:rPr>
        <w:t>No holder of this Warrant, as such, shall be entitled to vote or be deemed the holder of Common Shares or any other securities of the Company that may at any time be issuable on the exercise hereof, nor shall anything contained herein be construed to confer upon the holder of this Warrant, as such, the rights of a shareholder of the Company or the right to vote for the election of directors or upon any matter submitted to shareholders at any meeting thereof, or give or withhold consent to any corporate action or to receive notice of meetings or other actions affecting shareholders (except as provided herein), or to receive dividends or subscription rights or otherwise (except as provide herein).</w:t>
      </w:r>
    </w:p>
    <w:p>
      <w:pPr>
        <w:spacing w:after="0" w:line="162" w:lineRule="exact"/>
        <w:rPr>
          <w:sz w:val="20"/>
          <w:szCs w:val="20"/>
          <w:color w:val="auto"/>
        </w:rPr>
      </w:pPr>
    </w:p>
    <w:p>
      <w:pPr>
        <w:jc w:val="both"/>
        <w:ind w:left="5" w:right="20" w:firstLine="751"/>
        <w:spacing w:after="0" w:line="276" w:lineRule="auto"/>
        <w:rPr>
          <w:sz w:val="20"/>
          <w:szCs w:val="20"/>
          <w:color w:val="auto"/>
        </w:rPr>
      </w:pPr>
      <w:r>
        <w:rPr>
          <w:rFonts w:ascii="Times New Roman" w:cs="Times New Roman" w:eastAsia="Times New Roman" w:hAnsi="Times New Roman"/>
          <w:sz w:val="16"/>
          <w:szCs w:val="16"/>
          <w:color w:val="auto"/>
        </w:rPr>
        <w:t>Each certificate or DRS Statement for Warrant Shares initially issued upon the exercise of this Warrant, and each certificate or DRS Statement for Warrant Shares issued to any subsequent transferee of any such certificate or DRS Statement, shall be stamped or otherwise imprinted with a legend in substantially the following form:</w:t>
      </w:r>
    </w:p>
    <w:p>
      <w:pPr>
        <w:spacing w:after="0" w:line="145" w:lineRule="exact"/>
        <w:rPr>
          <w:sz w:val="20"/>
          <w:szCs w:val="20"/>
          <w:color w:val="auto"/>
        </w:rPr>
      </w:pPr>
    </w:p>
    <w:p>
      <w:pPr>
        <w:jc w:val="both"/>
        <w:ind w:left="5" w:firstLine="751"/>
        <w:spacing w:after="0" w:line="251" w:lineRule="auto"/>
        <w:rPr>
          <w:sz w:val="20"/>
          <w:szCs w:val="20"/>
          <w:color w:val="auto"/>
        </w:rPr>
      </w:pPr>
      <w:r>
        <w:rPr>
          <w:rFonts w:ascii="Times New Roman" w:cs="Times New Roman" w:eastAsia="Times New Roman" w:hAnsi="Times New Roman"/>
          <w:sz w:val="16"/>
          <w:szCs w:val="16"/>
          <w:color w:val="auto"/>
        </w:rPr>
        <w:t>“THE SECURITIES REPRESENTED HEREBY [AND THE SECURITIES ISSUABLE UPON THE EXERCISE OF THESE SECURITIES] HAVE NOT BEEN REGISTERED UNDER THE U.S. SECURITIES ACT OF 1933, AS AMENDED (THE “SECURITIES ACT”), OR ANY STATE SECURITIES LAWS, AND SUCH SECURITIES MAY NOT BE OFFERED, SOLD, PLEDGED OR OTHERWISE TRANSFERRED UNLESS (1) A REGISTRATION STATEMENT WITH RESPECT THERETO IS EFFECTIVE UNDER THE SECURITIES ACT AND ANY APPLICABLE STATE SECURITIES LAWS, OR (2) AN EXEMPTION FROM SUCH REGISTRATION REQUIREMENTS IS AVAILABLE AND THE COMPANY RECEIVES AN OPINION OF COUNSEL TO THE HOLDER OF SUCH SECURITIES, WHICH COUNSEL AND OPINION ARE SATISFACTORY TO THE COMPANY, THAT SUCH SECURITIES MAY BE OFFERED, SOLD, PLEDGED, OR OTHERWISE TRANSFERRED IN THE MANNER CONTEMPLATED WITHOUT AN EFFECTIVE REGISTRATION STATEMENT UNDER THE SECURITIES ACT OR APPLICABLE STATE SECURITIES LAWS.</w:t>
      </w:r>
    </w:p>
    <w:p>
      <w:pPr>
        <w:spacing w:after="0" w:line="16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foregoing legends shall be removed pursuant to the terms and conditions set forth in the Registration Rights Agreement.</w:t>
      </w:r>
    </w:p>
    <w:p>
      <w:pPr>
        <w:spacing w:after="0" w:line="218" w:lineRule="exact"/>
        <w:rPr>
          <w:sz w:val="20"/>
          <w:szCs w:val="20"/>
          <w:color w:val="auto"/>
        </w:rPr>
      </w:pPr>
    </w:p>
    <w:p>
      <w:pPr>
        <w:ind w:left="1145" w:hanging="1145"/>
        <w:spacing w:after="0"/>
        <w:tabs>
          <w:tab w:leader="none" w:pos="114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RIGHTS</w:t>
      </w:r>
    </w:p>
    <w:p>
      <w:pPr>
        <w:spacing w:after="0" w:line="194" w:lineRule="exact"/>
        <w:rPr>
          <w:sz w:val="20"/>
          <w:szCs w:val="20"/>
          <w:color w:val="auto"/>
        </w:rPr>
      </w:pPr>
    </w:p>
    <w:p>
      <w:pPr>
        <w:ind w:left="5" w:right="20" w:firstLine="751"/>
        <w:spacing w:after="0" w:line="276" w:lineRule="auto"/>
        <w:rPr>
          <w:sz w:val="20"/>
          <w:szCs w:val="20"/>
          <w:color w:val="auto"/>
        </w:rPr>
      </w:pPr>
      <w:r>
        <w:rPr>
          <w:rFonts w:ascii="Times New Roman" w:cs="Times New Roman" w:eastAsia="Times New Roman" w:hAnsi="Times New Roman"/>
          <w:sz w:val="16"/>
          <w:szCs w:val="16"/>
          <w:color w:val="auto"/>
        </w:rPr>
        <w:t>The Holder shall be entitled to the registration rights as are contained in the Registration Rights Agreement with respect to the Warrant Shares, the provisions of which are deemed incorporated herein by reference.</w:t>
      </w:r>
    </w:p>
    <w:p>
      <w:pPr>
        <w:spacing w:after="0" w:line="145" w:lineRule="exact"/>
        <w:rPr>
          <w:sz w:val="20"/>
          <w:szCs w:val="20"/>
          <w:color w:val="auto"/>
        </w:rPr>
      </w:pPr>
    </w:p>
    <w:p>
      <w:pPr>
        <w:ind w:left="1085" w:hanging="1085"/>
        <w:spacing w:after="0"/>
        <w:tabs>
          <w:tab w:leader="none" w:pos="1085"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NOTICES</w:t>
      </w:r>
    </w:p>
    <w:p>
      <w:pPr>
        <w:spacing w:after="0" w:line="194" w:lineRule="exact"/>
        <w:rPr>
          <w:sz w:val="20"/>
          <w:szCs w:val="20"/>
          <w:color w:val="auto"/>
        </w:rPr>
      </w:pPr>
    </w:p>
    <w:p>
      <w:pPr>
        <w:jc w:val="both"/>
        <w:ind w:left="5" w:firstLine="751"/>
        <w:spacing w:after="0" w:line="252" w:lineRule="auto"/>
        <w:rPr>
          <w:sz w:val="20"/>
          <w:szCs w:val="20"/>
          <w:color w:val="auto"/>
        </w:rPr>
      </w:pPr>
      <w:r>
        <w:rPr>
          <w:rFonts w:ascii="Times New Roman" w:cs="Times New Roman" w:eastAsia="Times New Roman" w:hAnsi="Times New Roman"/>
          <w:sz w:val="16"/>
          <w:szCs w:val="16"/>
          <w:color w:val="auto"/>
        </w:rPr>
        <w:t>All notices, consents, waivers, and other communications under this Warrant must be in writing and will be deemed given to a party when (a) delivered to the appropriate address by hand or by nationally recognized overnight courier service (costs prepaid), (b) sent by facsimile with confirmation of transmission by the transmitting equipment, (c) sent by email so long as the sender does not receive an automated message by the transmitting equipment that the email was rejected or (d) received or rejected by the addressee, if sent by certified mail, return receipt requested, if to the registered Holder hereof; to the Holder at the address, facsimile number, or e-mail address furnished by the registered Holder to the Company in accordance with the Purchase Agreement or if to the Company, Mark Rosenblum at mrosenblum@decoytx.com; copy to Annie Yan at ayan@decoytx.com (or to such other address, facsimile number, or e-mail address as the Holder or the Company may designate by notice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5"/>
        <w:spacing w:after="0"/>
        <w:rPr>
          <w:sz w:val="20"/>
          <w:szCs w:val="20"/>
          <w:color w:val="auto"/>
        </w:rPr>
      </w:pPr>
      <w:r>
        <w:rPr>
          <w:rFonts w:ascii="Times New Roman" w:cs="Times New Roman" w:eastAsia="Times New Roman" w:hAnsi="Times New Roman"/>
          <w:sz w:val="14"/>
          <w:szCs w:val="14"/>
          <w:color w:val="auto"/>
        </w:rPr>
        <w:t>DOCPROPERTY "CUS_DocIDChunk0" 76095625.1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17486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0" w:right="31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9"/>
          <w:szCs w:val="19"/>
          <w:b w:val="1"/>
          <w:bCs w:val="1"/>
          <w:color w:val="auto"/>
        </w:rPr>
        <w:t>Exhibit 4.2</w:t>
      </w:r>
    </w:p>
    <w:p>
      <w:pPr>
        <w:spacing w:after="0" w:line="360" w:lineRule="exact"/>
        <w:rPr>
          <w:sz w:val="20"/>
          <w:szCs w:val="20"/>
          <w:color w:val="auto"/>
        </w:rPr>
      </w:pPr>
    </w:p>
    <w:p>
      <w:pPr>
        <w:ind w:left="5"/>
        <w:spacing w:after="0"/>
        <w:tabs>
          <w:tab w:leader="none" w:pos="1665"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color w:val="auto"/>
        </w:rPr>
        <w:t>SEVERABILITY</w:t>
      </w:r>
    </w:p>
    <w:p>
      <w:pPr>
        <w:spacing w:after="0" w:line="194" w:lineRule="exact"/>
        <w:rPr>
          <w:sz w:val="20"/>
          <w:szCs w:val="20"/>
          <w:color w:val="auto"/>
        </w:rPr>
      </w:pPr>
    </w:p>
    <w:p>
      <w:pPr>
        <w:ind w:left="5" w:right="20" w:firstLine="751"/>
        <w:spacing w:after="0" w:line="276" w:lineRule="auto"/>
        <w:rPr>
          <w:sz w:val="20"/>
          <w:szCs w:val="20"/>
          <w:color w:val="auto"/>
        </w:rPr>
      </w:pPr>
      <w:r>
        <w:rPr>
          <w:rFonts w:ascii="Times New Roman" w:cs="Times New Roman" w:eastAsia="Times New Roman" w:hAnsi="Times New Roman"/>
          <w:sz w:val="16"/>
          <w:szCs w:val="16"/>
          <w:color w:val="auto"/>
        </w:rPr>
        <w:t>If a court of competent jurisdiction holds any provision of this Warrant invalid or unenforceable, the other provisions of this Warrant will remain in full force and effect. Any provision of this Warrant held invalid or unenforceable only in part or degree will remain in full force and effect to the extent not held invalid or unenforceable.</w:t>
      </w:r>
    </w:p>
    <w:p>
      <w:pPr>
        <w:spacing w:after="0" w:line="145" w:lineRule="exact"/>
        <w:rPr>
          <w:sz w:val="20"/>
          <w:szCs w:val="20"/>
          <w:color w:val="auto"/>
        </w:rPr>
      </w:pPr>
    </w:p>
    <w:p>
      <w:pPr>
        <w:ind w:left="5"/>
        <w:spacing w:after="0"/>
        <w:tabs>
          <w:tab w:leader="none" w:pos="1485"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6"/>
          <w:szCs w:val="16"/>
          <w:color w:val="auto"/>
        </w:rPr>
        <w:t>BINDING EFFECT</w:t>
      </w:r>
    </w:p>
    <w:p>
      <w:pPr>
        <w:spacing w:after="0" w:line="194" w:lineRule="exact"/>
        <w:rPr>
          <w:sz w:val="20"/>
          <w:szCs w:val="20"/>
          <w:color w:val="auto"/>
        </w:rPr>
      </w:pPr>
    </w:p>
    <w:p>
      <w:pPr>
        <w:ind w:left="5" w:right="20" w:firstLine="751"/>
        <w:spacing w:after="0" w:line="276" w:lineRule="auto"/>
        <w:rPr>
          <w:sz w:val="20"/>
          <w:szCs w:val="20"/>
          <w:color w:val="auto"/>
        </w:rPr>
      </w:pPr>
      <w:r>
        <w:rPr>
          <w:rFonts w:ascii="Times New Roman" w:cs="Times New Roman" w:eastAsia="Times New Roman" w:hAnsi="Times New Roman"/>
          <w:sz w:val="16"/>
          <w:szCs w:val="16"/>
          <w:color w:val="auto"/>
        </w:rPr>
        <w:t>This Warrant shall be binding upon and inure to the sole and exclusive benefit of the Company, its successors and assigns, the registered Holder or Holders from time to time of this Warrant.</w:t>
      </w:r>
    </w:p>
    <w:p>
      <w:pPr>
        <w:spacing w:after="0" w:line="145" w:lineRule="exact"/>
        <w:rPr>
          <w:sz w:val="20"/>
          <w:szCs w:val="20"/>
          <w:color w:val="auto"/>
        </w:rPr>
      </w:pPr>
    </w:p>
    <w:p>
      <w:pPr>
        <w:ind w:left="785" w:hanging="785"/>
        <w:spacing w:after="0"/>
        <w:tabs>
          <w:tab w:leader="none" w:pos="78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SURVIVAL OF RIGHTS AND DUTIES</w:t>
      </w:r>
    </w:p>
    <w:p>
      <w:pPr>
        <w:spacing w:after="0" w:line="194" w:lineRule="exact"/>
        <w:rPr>
          <w:sz w:val="20"/>
          <w:szCs w:val="20"/>
          <w:color w:val="auto"/>
        </w:rPr>
      </w:pPr>
    </w:p>
    <w:p>
      <w:pPr>
        <w:ind w:left="5" w:right="20" w:firstLine="751"/>
        <w:spacing w:after="0" w:line="276" w:lineRule="auto"/>
        <w:rPr>
          <w:sz w:val="20"/>
          <w:szCs w:val="20"/>
          <w:color w:val="auto"/>
        </w:rPr>
      </w:pPr>
      <w:r>
        <w:rPr>
          <w:rFonts w:ascii="Times New Roman" w:cs="Times New Roman" w:eastAsia="Times New Roman" w:hAnsi="Times New Roman"/>
          <w:sz w:val="16"/>
          <w:szCs w:val="16"/>
          <w:color w:val="auto"/>
        </w:rPr>
        <w:t>This Warrant shall terminate and be of no further force and effect on the earlier of 5:00 P.M., Eastern Time, on the Expiration Date or the date on which this Warrant has been exercised in full.</w:t>
      </w:r>
    </w:p>
    <w:p>
      <w:pPr>
        <w:spacing w:after="0" w:line="145" w:lineRule="exact"/>
        <w:rPr>
          <w:sz w:val="20"/>
          <w:szCs w:val="20"/>
          <w:color w:val="auto"/>
        </w:rPr>
      </w:pPr>
    </w:p>
    <w:p>
      <w:pPr>
        <w:ind w:left="1445" w:hanging="1445"/>
        <w:spacing w:after="0"/>
        <w:tabs>
          <w:tab w:leader="none" w:pos="1445"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GOVERNING LAW</w:t>
      </w:r>
    </w:p>
    <w:p>
      <w:pPr>
        <w:spacing w:after="0" w:line="194" w:lineRule="exact"/>
        <w:rPr>
          <w:sz w:val="20"/>
          <w:szCs w:val="20"/>
          <w:color w:val="auto"/>
        </w:rPr>
      </w:pPr>
    </w:p>
    <w:p>
      <w:pPr>
        <w:ind w:left="5" w:right="20" w:firstLine="751"/>
        <w:spacing w:after="0" w:line="276" w:lineRule="auto"/>
        <w:rPr>
          <w:sz w:val="20"/>
          <w:szCs w:val="20"/>
          <w:color w:val="auto"/>
        </w:rPr>
      </w:pPr>
      <w:r>
        <w:rPr>
          <w:rFonts w:ascii="Times New Roman" w:cs="Times New Roman" w:eastAsia="Times New Roman" w:hAnsi="Times New Roman"/>
          <w:sz w:val="16"/>
          <w:szCs w:val="16"/>
          <w:color w:val="auto"/>
        </w:rPr>
        <w:t>This Warrant will be governed by and construed under the laws of the State of New York without regard to conflicts of laws principles that would require the application of any other law.</w:t>
      </w:r>
    </w:p>
    <w:p>
      <w:pPr>
        <w:spacing w:after="0" w:line="145" w:lineRule="exact"/>
        <w:rPr>
          <w:sz w:val="20"/>
          <w:szCs w:val="20"/>
          <w:color w:val="auto"/>
        </w:rPr>
      </w:pPr>
    </w:p>
    <w:p>
      <w:pPr>
        <w:ind w:left="1185" w:hanging="1185"/>
        <w:spacing w:after="0"/>
        <w:tabs>
          <w:tab w:leader="none" w:pos="1185"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DISPUTE RESOLUTION</w:t>
      </w:r>
    </w:p>
    <w:p>
      <w:pPr>
        <w:spacing w:after="0" w:line="194" w:lineRule="exact"/>
        <w:rPr>
          <w:sz w:val="20"/>
          <w:szCs w:val="20"/>
          <w:color w:val="auto"/>
        </w:rPr>
      </w:pPr>
    </w:p>
    <w:p>
      <w:pPr>
        <w:jc w:val="both"/>
        <w:ind w:left="5" w:firstLine="751"/>
        <w:spacing w:after="0" w:line="250" w:lineRule="auto"/>
        <w:rPr>
          <w:sz w:val="20"/>
          <w:szCs w:val="20"/>
          <w:color w:val="auto"/>
        </w:rPr>
      </w:pPr>
      <w:r>
        <w:rPr>
          <w:rFonts w:ascii="Times New Roman" w:cs="Times New Roman" w:eastAsia="Times New Roman" w:hAnsi="Times New Roman"/>
          <w:sz w:val="16"/>
          <w:szCs w:val="16"/>
          <w:color w:val="auto"/>
        </w:rPr>
        <w:t>In the case of a dispute as to the determination of the Exercise Price or the arithmetic calculation of the Warrant Shares, the Company shall submit the disputed determinations or arithmetic calculations via facsimile or e-mail with confirmation of transmission by the transmitting equipment within two Business Days of receipt of the Notice of Exercise giving rise to such dispute, as the case may be, to the Holder. If the Holder and the Company are unable to agree upon such determination or calculation of the Exercise Price or the Warrant Shares within three Business Days of such disputed determination or arithmetic calculation being submitted to the Holder, then the Company shall, within two Business Days, submit via email or facsimile (a) the disputed determination of the Exercise Price to an independent, reputable investment bank selected by the Company and approved by the Holder (which approval shall not be unreasonably withheld) or (b)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191" w:lineRule="exact"/>
        <w:rPr>
          <w:sz w:val="20"/>
          <w:szCs w:val="20"/>
          <w:color w:val="auto"/>
        </w:rPr>
      </w:pPr>
    </w:p>
    <w:p>
      <w:pPr>
        <w:ind w:left="985" w:hanging="985"/>
        <w:spacing w:after="0"/>
        <w:tabs>
          <w:tab w:leader="none" w:pos="985"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NOTICES OF RECORD DATE</w:t>
      </w:r>
    </w:p>
    <w:p>
      <w:pPr>
        <w:spacing w:after="0" w:line="194" w:lineRule="exact"/>
        <w:rPr>
          <w:sz w:val="20"/>
          <w:szCs w:val="20"/>
          <w:color w:val="auto"/>
        </w:rPr>
      </w:pPr>
    </w:p>
    <w:p>
      <w:pPr>
        <w:jc w:val="both"/>
        <w:ind w:left="5" w:firstLine="751"/>
        <w:spacing w:after="0" w:line="251" w:lineRule="auto"/>
        <w:rPr>
          <w:sz w:val="20"/>
          <w:szCs w:val="20"/>
          <w:color w:val="auto"/>
        </w:rPr>
      </w:pPr>
      <w:r>
        <w:rPr>
          <w:rFonts w:ascii="Times New Roman" w:cs="Times New Roman" w:eastAsia="Times New Roman" w:hAnsi="Times New Roman"/>
          <w:sz w:val="16"/>
          <w:szCs w:val="16"/>
          <w:color w:val="auto"/>
        </w:rPr>
        <w:t>Upon (a) any establishment by the Company of a record date of the holders of any class of securities for the purpose of determining the holders thereof who are entitled to receive any dividend or other distribution, or right or option to acquire securities of the Company, or any other right, or (b) any capital reorganization, reclassification, recapitalization, merger or consolidation of the Company with or into any other corporation, any transfer of all or substantially all the assets of the Company, or any voluntary or involuntary dissolution, liquidation or winding up of the Company, or the sale, in a single transaction, of a majority of the Company’s voting shares (whether newly issued, or from treasury, or previously issued and then outstanding, or any combination thereof), the Company shall mail to the Holder at least ten (10) calendar days, or such longer period as may be required by law, prior to the record date specified therein, a notice specifying (i) the date established as the record date for the purpose of such dividend, distribution, option or right and a description of such dividend, distribution, option or right, (ii) the date on which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5"/>
        <w:spacing w:after="0"/>
        <w:rPr>
          <w:sz w:val="20"/>
          <w:szCs w:val="20"/>
          <w:color w:val="auto"/>
        </w:rPr>
      </w:pPr>
      <w:r>
        <w:rPr>
          <w:rFonts w:ascii="Times New Roman" w:cs="Times New Roman" w:eastAsia="Times New Roman" w:hAnsi="Times New Roman"/>
          <w:sz w:val="14"/>
          <w:szCs w:val="14"/>
          <w:color w:val="auto"/>
        </w:rPr>
        <w:t>DOCPROPERTY "CUS_DocIDChunk0" 76095625.1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17486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0" w:right="31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9"/>
          <w:szCs w:val="19"/>
          <w:b w:val="1"/>
          <w:bCs w:val="1"/>
          <w:color w:val="auto"/>
        </w:rPr>
        <w:t>Exhibit 4.2</w:t>
      </w:r>
    </w:p>
    <w:p>
      <w:pPr>
        <w:spacing w:after="0" w:line="360" w:lineRule="exact"/>
        <w:rPr>
          <w:sz w:val="20"/>
          <w:szCs w:val="20"/>
          <w:color w:val="auto"/>
        </w:rPr>
      </w:pPr>
    </w:p>
    <w:p>
      <w:pPr>
        <w:jc w:val="both"/>
        <w:ind w:left="5" w:right="20"/>
        <w:spacing w:after="0" w:line="261" w:lineRule="auto"/>
        <w:rPr>
          <w:sz w:val="20"/>
          <w:szCs w:val="20"/>
          <w:color w:val="auto"/>
        </w:rPr>
      </w:pPr>
      <w:r>
        <w:rPr>
          <w:rFonts w:ascii="Times New Roman" w:cs="Times New Roman" w:eastAsia="Times New Roman" w:hAnsi="Times New Roman"/>
          <w:sz w:val="16"/>
          <w:szCs w:val="16"/>
          <w:color w:val="auto"/>
        </w:rPr>
        <w:t>such reorganization, reclassification, recapitalization, merger, consolidation, transfer, dissolution, liquidation or winding up, or sale is expected to become effective and (iii) the date, if any, fixed as to when the holders of record of Common Shares shall be entitled to exchange their Common Shares for securities or other property deliverable upon such reorganization, reclassification, recapitalization, merger, consolidation, transfer, dissolution, liquidation or winding up.</w:t>
      </w:r>
    </w:p>
    <w:p>
      <w:pPr>
        <w:spacing w:after="0" w:line="157" w:lineRule="exact"/>
        <w:rPr>
          <w:sz w:val="20"/>
          <w:szCs w:val="20"/>
          <w:color w:val="auto"/>
        </w:rPr>
      </w:pPr>
    </w:p>
    <w:p>
      <w:pPr>
        <w:ind w:left="1025" w:hanging="1025"/>
        <w:spacing w:after="0"/>
        <w:tabs>
          <w:tab w:leader="none" w:pos="102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RESERVATION OF SHARES</w:t>
      </w:r>
    </w:p>
    <w:p>
      <w:pPr>
        <w:spacing w:after="0" w:line="194" w:lineRule="exact"/>
        <w:rPr>
          <w:sz w:val="20"/>
          <w:szCs w:val="20"/>
          <w:color w:val="auto"/>
        </w:rPr>
      </w:pPr>
    </w:p>
    <w:p>
      <w:pPr>
        <w:jc w:val="both"/>
        <w:ind w:left="5" w:firstLine="751"/>
        <w:spacing w:after="0" w:line="251" w:lineRule="auto"/>
        <w:rPr>
          <w:sz w:val="20"/>
          <w:szCs w:val="20"/>
          <w:color w:val="auto"/>
        </w:rPr>
      </w:pPr>
      <w:r>
        <w:rPr>
          <w:rFonts w:ascii="Times New Roman" w:cs="Times New Roman" w:eastAsia="Times New Roman" w:hAnsi="Times New Roman"/>
          <w:sz w:val="16"/>
          <w:szCs w:val="16"/>
          <w:color w:val="auto"/>
        </w:rPr>
        <w:t>The Company shall reserve and keep available out of its authorized but unissued Common Shares for issuance upon the exercise of this Warrant, free from pre-emptive rights, such number of Common Shares for which this Warrant shall from time to time be exercisable. The Company will take all such commercially reasonable action as may be necessary to assure that such Warrant Shares may be issued as provided herein without violation of any applicable law or regulation. Without limiting the generality of the foregoing, the Company covenants that it will promptly take all such action as may be necessary or appropriate in order that the Company may validly and legally issue fully paid and nonassessable Warrant Shares upon the exercise of this Warrant and use best efforts to obtain all such authorizations, exemptions or consents, including but not limited to consents from the Board of Directors or any public regulatory body, as may be necessary to enable the Company to perform its obligations under this Warrant. In addition, the Company shall not amend its certificate of incorporation to impose any restriction on the number of Common Shares authorized for issuance.</w:t>
      </w:r>
    </w:p>
    <w:p>
      <w:pPr>
        <w:spacing w:after="0" w:line="167" w:lineRule="exact"/>
        <w:rPr>
          <w:sz w:val="20"/>
          <w:szCs w:val="20"/>
          <w:color w:val="auto"/>
        </w:rPr>
      </w:pPr>
    </w:p>
    <w:p>
      <w:pPr>
        <w:ind w:left="1045" w:hanging="1045"/>
        <w:spacing w:after="0"/>
        <w:tabs>
          <w:tab w:leader="none" w:pos="104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THIRD PARTY RIGHTS</w:t>
      </w:r>
    </w:p>
    <w:p>
      <w:pPr>
        <w:spacing w:after="0" w:line="194" w:lineRule="exact"/>
        <w:rPr>
          <w:sz w:val="20"/>
          <w:szCs w:val="20"/>
          <w:color w:val="auto"/>
        </w:rPr>
      </w:pPr>
    </w:p>
    <w:p>
      <w:pPr>
        <w:jc w:val="both"/>
        <w:ind w:left="5" w:firstLine="751"/>
        <w:spacing w:after="0" w:line="276" w:lineRule="auto"/>
        <w:rPr>
          <w:sz w:val="20"/>
          <w:szCs w:val="20"/>
          <w:color w:val="auto"/>
        </w:rPr>
      </w:pPr>
      <w:r>
        <w:rPr>
          <w:rFonts w:ascii="Times New Roman" w:cs="Times New Roman" w:eastAsia="Times New Roman" w:hAnsi="Times New Roman"/>
          <w:sz w:val="16"/>
          <w:szCs w:val="16"/>
          <w:color w:val="auto"/>
        </w:rPr>
        <w:t>This Warrant is not intended, and will not be construed, to create any rights in any parties other than the Company and the Holder, and no person or entity may assert any rights as third-party beneficiary hereunder.</w:t>
      </w:r>
    </w:p>
    <w:p>
      <w:pPr>
        <w:spacing w:after="0" w:line="145" w:lineRule="exact"/>
        <w:rPr>
          <w:sz w:val="20"/>
          <w:szCs w:val="20"/>
          <w:color w:val="auto"/>
        </w:rPr>
      </w:pPr>
    </w:p>
    <w:p>
      <w:pPr>
        <w:ind w:left="5"/>
        <w:spacing w:after="0"/>
        <w:tabs>
          <w:tab w:leader="none" w:pos="1525" w:val="left"/>
        </w:tabs>
        <w:rPr>
          <w:sz w:val="20"/>
          <w:szCs w:val="20"/>
          <w:color w:val="auto"/>
        </w:rPr>
      </w:pPr>
      <w:r>
        <w:rPr>
          <w:rFonts w:ascii="Times New Roman" w:cs="Times New Roman" w:eastAsia="Times New Roman" w:hAnsi="Times New Roman"/>
          <w:sz w:val="16"/>
          <w:szCs w:val="16"/>
          <w:color w:val="auto"/>
        </w:rPr>
        <w:t>20.</w:t>
      </w:r>
      <w:r>
        <w:rPr>
          <w:sz w:val="20"/>
          <w:szCs w:val="20"/>
          <w:color w:val="auto"/>
        </w:rPr>
        <w:tab/>
      </w:r>
      <w:r>
        <w:rPr>
          <w:rFonts w:ascii="Times New Roman" w:cs="Times New Roman" w:eastAsia="Times New Roman" w:hAnsi="Times New Roman"/>
          <w:sz w:val="16"/>
          <w:szCs w:val="16"/>
          <w:color w:val="auto"/>
        </w:rPr>
        <w:t>COUNTERPARTS</w:t>
      </w:r>
    </w:p>
    <w:p>
      <w:pPr>
        <w:spacing w:after="0" w:line="194" w:lineRule="exact"/>
        <w:rPr>
          <w:sz w:val="20"/>
          <w:szCs w:val="20"/>
          <w:color w:val="auto"/>
        </w:rPr>
      </w:pPr>
    </w:p>
    <w:p>
      <w:pPr>
        <w:jc w:val="both"/>
        <w:ind w:left="5" w:firstLine="751"/>
        <w:spacing w:after="0" w:line="261" w:lineRule="auto"/>
        <w:rPr>
          <w:sz w:val="20"/>
          <w:szCs w:val="20"/>
          <w:color w:val="auto"/>
        </w:rPr>
      </w:pPr>
      <w:r>
        <w:rPr>
          <w:rFonts w:ascii="Times New Roman" w:cs="Times New Roman" w:eastAsia="Times New Roman" w:hAnsi="Times New Roman"/>
          <w:sz w:val="16"/>
          <w:szCs w:val="16"/>
          <w:color w:val="auto"/>
        </w:rPr>
        <w:t>This Warrant may be executed in two or more counterparts, each of which shall be deemed an original and all of which together shall constitute one instrument. Any counterpart delivered electronically (including without limitation by .pdf transmission) or by facsimile shall be binding to the same extent as an original counterpart with regard to any agreement subject to the terms hereof or any amendment thereto.</w:t>
      </w:r>
    </w:p>
    <w:p>
      <w:pPr>
        <w:spacing w:after="0" w:line="157" w:lineRule="exact"/>
        <w:rPr>
          <w:sz w:val="20"/>
          <w:szCs w:val="20"/>
          <w:color w:val="auto"/>
        </w:rPr>
      </w:pPr>
    </w:p>
    <w:p>
      <w:pPr>
        <w:ind w:left="5"/>
        <w:spacing w:after="0"/>
        <w:tabs>
          <w:tab w:leader="none" w:pos="1685" w:val="left"/>
        </w:tabs>
        <w:rPr>
          <w:sz w:val="20"/>
          <w:szCs w:val="20"/>
          <w:color w:val="auto"/>
        </w:rPr>
      </w:pPr>
      <w:r>
        <w:rPr>
          <w:rFonts w:ascii="Times New Roman" w:cs="Times New Roman" w:eastAsia="Times New Roman" w:hAnsi="Times New Roman"/>
          <w:sz w:val="16"/>
          <w:szCs w:val="16"/>
          <w:color w:val="auto"/>
        </w:rPr>
        <w:t>21.</w:t>
      </w:r>
      <w:r>
        <w:rPr>
          <w:sz w:val="20"/>
          <w:szCs w:val="20"/>
          <w:color w:val="auto"/>
        </w:rPr>
        <w:tab/>
      </w:r>
      <w:r>
        <w:rPr>
          <w:rFonts w:ascii="Times New Roman" w:cs="Times New Roman" w:eastAsia="Times New Roman" w:hAnsi="Times New Roman"/>
          <w:sz w:val="16"/>
          <w:szCs w:val="16"/>
          <w:color w:val="auto"/>
        </w:rPr>
        <w:t>AMENDMENTS</w:t>
      </w:r>
    </w:p>
    <w:p>
      <w:pPr>
        <w:spacing w:after="0" w:line="194" w:lineRule="exact"/>
        <w:rPr>
          <w:sz w:val="20"/>
          <w:szCs w:val="20"/>
          <w:color w:val="auto"/>
        </w:rPr>
      </w:pPr>
    </w:p>
    <w:p>
      <w:pPr>
        <w:jc w:val="both"/>
        <w:ind w:left="5" w:firstLine="751"/>
        <w:spacing w:after="0" w:line="276" w:lineRule="auto"/>
        <w:rPr>
          <w:sz w:val="20"/>
          <w:szCs w:val="20"/>
          <w:color w:val="auto"/>
        </w:rPr>
      </w:pPr>
      <w:r>
        <w:rPr>
          <w:rFonts w:ascii="Times New Roman" w:cs="Times New Roman" w:eastAsia="Times New Roman" w:hAnsi="Times New Roman"/>
          <w:sz w:val="16"/>
          <w:szCs w:val="16"/>
          <w:color w:val="auto"/>
        </w:rPr>
        <w:t>Other than Section 4 and this Section 21, which may not be amended, neither this Warrant nor any term hereof may be amended, waived, discharged or terminated other than by a written instrument referencing this Warrant signed by the Company and the Holder.</w:t>
      </w:r>
    </w:p>
    <w:p>
      <w:pPr>
        <w:spacing w:after="0" w:line="14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5"/>
        <w:spacing w:after="0"/>
        <w:rPr>
          <w:sz w:val="20"/>
          <w:szCs w:val="20"/>
          <w:color w:val="auto"/>
        </w:rPr>
      </w:pPr>
      <w:r>
        <w:rPr>
          <w:rFonts w:ascii="Times New Roman" w:cs="Times New Roman" w:eastAsia="Times New Roman" w:hAnsi="Times New Roman"/>
          <w:sz w:val="14"/>
          <w:szCs w:val="14"/>
          <w:color w:val="auto"/>
        </w:rPr>
        <w:t>DOCPROPERTY "CUS_DocIDChunk0" 76095625.1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17486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0" w:right="31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9"/>
          <w:szCs w:val="19"/>
          <w:b w:val="1"/>
          <w:bCs w:val="1"/>
          <w:color w:val="auto"/>
        </w:rPr>
        <w:t>Exhibit 4.2</w:t>
      </w:r>
    </w:p>
    <w:p>
      <w:pPr>
        <w:spacing w:after="0" w:line="3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IN WITNESS WHEREOF, the Company has caused this Warrant to be duly executed as of the date first set forth above.</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DECOY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307975</wp:posOffset>
            </wp:positionV>
            <wp:extent cx="342455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4555" cy="762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76095625.1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9"/>
          <w:szCs w:val="19"/>
          <w:b w:val="1"/>
          <w:bCs w:val="1"/>
          <w:color w:val="auto"/>
        </w:rPr>
        <w:t>Exhibit 4.2</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EXHIBIT A</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NOTICE OF EXERCISE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(To be executed by the Holder of Warrant if such Holder desires to exercise Warrant)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Decoy Therapeutics Inc.:</w:t>
      </w:r>
    </w:p>
    <w:p>
      <w:pPr>
        <w:spacing w:after="0" w:line="19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undersigned hereby irrevocably elects to exercise this Warrant and to purchase thereunder, ___________________ Decoy Therapeutics Inc. to purchase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 Decoy Therapeutics Inc. Common Shares, par value 0.0001 per share, issuable upon exercise of the Warrant and delivery of:</w:t>
      </w:r>
    </w:p>
    <w:p>
      <w:pPr>
        <w:spacing w:after="0" w:line="177" w:lineRule="exact"/>
        <w:rPr>
          <w:sz w:val="20"/>
          <w:szCs w:val="20"/>
          <w:color w:val="auto"/>
        </w:rPr>
      </w:pPr>
    </w:p>
    <w:p>
      <w:pPr>
        <w:ind w:left="960" w:hanging="215"/>
        <w:spacing w:after="0"/>
        <w:tabs>
          <w:tab w:leader="none" w:pos="9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$_________ (in cash as provided for in the foregoing Warrant) and any applicable taxes payable by the undersigned pursuant to such Warrant; and/or</w:t>
      </w:r>
    </w:p>
    <w:p>
      <w:pPr>
        <w:spacing w:after="0" w:line="194" w:lineRule="exact"/>
        <w:rPr>
          <w:rFonts w:ascii="Times New Roman" w:cs="Times New Roman" w:eastAsia="Times New Roman" w:hAnsi="Times New Roman"/>
          <w:sz w:val="16"/>
          <w:szCs w:val="16"/>
          <w:color w:val="auto"/>
        </w:rPr>
      </w:pPr>
    </w:p>
    <w:p>
      <w:pPr>
        <w:ind w:right="20" w:firstLine="745"/>
        <w:spacing w:after="0" w:line="276" w:lineRule="auto"/>
        <w:tabs>
          <w:tab w:leader="none" w:pos="989"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__________ Decoy Therapeutics Inc. Common Shares (pursuant to a Cashless Exercise in accordance with Section 1(b)(ii) of the Warrant) (check here if the undersigned desires to deliver an unspecified number of shares equal the number sufficient to effect a Cashless Exercise [___]).</w:t>
      </w:r>
    </w:p>
    <w:p>
      <w:pPr>
        <w:spacing w:after="0" w:line="1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undersigned requests that certificates or direct registration system account statement for such shares be issued in the name of:</w:t>
      </w:r>
    </w:p>
    <w:p>
      <w:pPr>
        <w:spacing w:after="0" w:line="19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color w:val="auto"/>
        </w:rPr>
        <w:t>_________________________________________</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(Please print name, address and social security or federal employer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identification number (if applicable))</w:t>
      </w:r>
    </w:p>
    <w:p>
      <w:pPr>
        <w:spacing w:after="0" w:line="17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color w:val="auto"/>
        </w:rPr>
        <w:t>_________________________________________</w:t>
      </w:r>
    </w:p>
    <w:p>
      <w:pPr>
        <w:spacing w:after="0" w:line="19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color w:val="auto"/>
        </w:rPr>
        <w:t>_________________________________________</w:t>
      </w:r>
    </w:p>
    <w:p>
      <w:pPr>
        <w:spacing w:after="0" w:line="194" w:lineRule="exact"/>
        <w:rPr>
          <w:sz w:val="20"/>
          <w:szCs w:val="20"/>
          <w:color w:val="auto"/>
        </w:rPr>
      </w:pPr>
    </w:p>
    <w:p>
      <w:pPr>
        <w:jc w:val="both"/>
        <w:ind w:firstLine="955"/>
        <w:spacing w:after="0" w:line="256" w:lineRule="auto"/>
        <w:rPr>
          <w:sz w:val="20"/>
          <w:szCs w:val="20"/>
          <w:color w:val="auto"/>
        </w:rPr>
      </w:pPr>
      <w:r>
        <w:rPr>
          <w:rFonts w:ascii="Times New Roman" w:cs="Times New Roman" w:eastAsia="Times New Roman" w:hAnsi="Times New Roman"/>
          <w:sz w:val="16"/>
          <w:szCs w:val="16"/>
          <w:color w:val="auto"/>
        </w:rPr>
        <w:t>Capitalized terms used herein without definition have the meaning ascribed to them in the Warrant. Except if this Warrant is being exercised pursuant to a Cashless Exercise in accordance with Section 1(b)(ii) of the Warrant, the undersigned hereby reaffirms that the undersigned is an “accredited investor” as defined under Rule 501(a) of Regulation D of the Securities Act of 1933, as amended. The undersigned understands that the Common Shares may bear one or more legends restricting transfers, as set forth in the Purchase Agreement.</w:t>
      </w:r>
    </w:p>
    <w:p>
      <w:pPr>
        <w:spacing w:after="0" w:line="161" w:lineRule="exact"/>
        <w:rPr>
          <w:sz w:val="20"/>
          <w:szCs w:val="20"/>
          <w:color w:val="auto"/>
        </w:rPr>
      </w:pPr>
    </w:p>
    <w:p>
      <w:pPr>
        <w:jc w:val="both"/>
        <w:ind w:firstLine="955"/>
        <w:spacing w:after="0" w:line="276" w:lineRule="auto"/>
        <w:rPr>
          <w:sz w:val="20"/>
          <w:szCs w:val="20"/>
          <w:color w:val="auto"/>
        </w:rPr>
      </w:pPr>
      <w:r>
        <w:rPr>
          <w:rFonts w:ascii="Times New Roman" w:cs="Times New Roman" w:eastAsia="Times New Roman" w:hAnsi="Times New Roman"/>
          <w:sz w:val="16"/>
          <w:szCs w:val="16"/>
          <w:color w:val="auto"/>
        </w:rPr>
        <w:t>If the shares issuable upon this exercise of the Warrant are not all of the Warrant Shares which the Holder is entitled to acquire upon the exercise of the Warrant, the undersigned, by checking here [ ] requests that a new Warrant evidencing the rights not so exercised be issued in the name of and delivered to:</w:t>
      </w:r>
    </w:p>
    <w:p>
      <w:pPr>
        <w:spacing w:after="0" w:line="14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color w:val="auto"/>
        </w:rPr>
        <w:t>_________________________________________</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(Please print name, address and social security or federal employer identification number (if applicable))</w:t>
      </w:r>
    </w:p>
    <w:p>
      <w:pPr>
        <w:spacing w:after="0" w:line="19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color w:val="auto"/>
        </w:rPr>
        <w:t>_________________________________________</w:t>
      </w:r>
    </w:p>
    <w:p>
      <w:pPr>
        <w:spacing w:after="0" w:line="19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color w:val="auto"/>
        </w:rPr>
        <w:t>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76095625.1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9"/>
          <w:szCs w:val="19"/>
          <w:b w:val="1"/>
          <w:bCs w:val="1"/>
          <w:color w:val="auto"/>
        </w:rPr>
        <w:t>Exhibit 4.2</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Holder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6350</wp:posOffset>
            </wp:positionV>
            <wp:extent cx="282384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23845" cy="762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6350</wp:posOffset>
            </wp:positionV>
            <wp:extent cx="282384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23845" cy="762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6350</wp:posOffset>
            </wp:positionV>
            <wp:extent cx="282384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23845" cy="762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6350</wp:posOffset>
            </wp:positionV>
            <wp:extent cx="282384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23845" cy="762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6350</wp:posOffset>
            </wp:positionV>
            <wp:extent cx="282384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238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76095625.1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9"/>
          <w:szCs w:val="19"/>
          <w:b w:val="1"/>
          <w:bCs w:val="1"/>
          <w:color w:val="auto"/>
        </w:rPr>
        <w:t>Exhibit 4.2</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EXHIBIT B</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ACKNOWLEDGMENT</w:t>
      </w:r>
    </w:p>
    <w:p>
      <w:pPr>
        <w:spacing w:after="0" w:line="19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Company hereby acknowledges this Notice of Exercise and hereby directs ______________ to issue the above indicated number of Common Shares 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accordance with the Transfer Agent Instructions dated _________, 202_, from the Company and acknowledged and agreed to by _______________.</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DECOY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714946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378460</wp:posOffset>
            </wp:positionV>
            <wp:extent cx="714946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EXHIBIT 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ASSIGNMENT</w:t>
      </w:r>
    </w:p>
    <w:p>
      <w:pPr>
        <w:spacing w:after="0" w:line="19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FOR VALUE RECEIVED, ___________________________________ hereby sells, assigns and transfers to each assignee set forth below all of the rights of the</w:t>
      </w:r>
    </w:p>
    <w:p>
      <w:pPr>
        <w:spacing w:after="0" w:line="2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6"/>
          <w:szCs w:val="16"/>
          <w:color w:val="auto"/>
        </w:rPr>
        <w:t>undersigned under the Warrant (as defined in and evidenced by the attached Warrant) to acquire the number of Warrant Shares set opposite the name of such assignee below and in and to the foregoing Warrant with respect to said acquisition rights and the shares issuable upon exercise of the Warrant:</w:t>
      </w:r>
    </w:p>
    <w:p>
      <w:pPr>
        <w:sectPr>
          <w:pgSz w:w="11900" w:h="16838" w:orient="portrait"/>
          <w:cols w:equalWidth="0" w:num="1">
            <w:col w:w="11260"/>
          </w:cols>
          <w:pgMar w:left="320" w:top="680" w:right="31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5"/>
          <w:szCs w:val="15"/>
          <w:color w:val="auto"/>
        </w:rPr>
        <w:t>Name of Assignee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jc w:val="center"/>
        <w:ind w:right="1820"/>
        <w:spacing w:after="0"/>
        <w:rPr>
          <w:sz w:val="20"/>
          <w:szCs w:val="20"/>
          <w:color w:val="auto"/>
        </w:rPr>
      </w:pPr>
      <w:r>
        <w:rPr>
          <w:rFonts w:ascii="Times New Roman" w:cs="Times New Roman" w:eastAsia="Times New Roman" w:hAnsi="Times New Roman"/>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-108585</wp:posOffset>
            </wp:positionV>
            <wp:extent cx="7152005" cy="11290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2005" cy="1129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Number of Shares</w:t>
      </w:r>
    </w:p>
    <w:p>
      <w:pPr>
        <w:spacing w:after="0" w:line="200" w:lineRule="exact"/>
        <w:rPr>
          <w:sz w:val="20"/>
          <w:szCs w:val="20"/>
          <w:color w:val="auto"/>
        </w:rPr>
      </w:pPr>
    </w:p>
    <w:p>
      <w:pPr>
        <w:sectPr>
          <w:pgSz w:w="11900" w:h="16838" w:orient="portrait"/>
          <w:cols w:equalWidth="0" w:num="3">
            <w:col w:w="4680" w:space="720"/>
            <w:col w:w="2340" w:space="720"/>
            <w:col w:w="2800"/>
          </w:cols>
          <w:pgMar w:left="320" w:top="68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751"/>
        <w:spacing w:after="0" w:line="261" w:lineRule="auto"/>
        <w:rPr>
          <w:sz w:val="20"/>
          <w:szCs w:val="20"/>
          <w:color w:val="auto"/>
        </w:rPr>
      </w:pPr>
      <w:r>
        <w:rPr>
          <w:rFonts w:ascii="Times New Roman" w:cs="Times New Roman" w:eastAsia="Times New Roman" w:hAnsi="Times New Roman"/>
          <w:sz w:val="16"/>
          <w:szCs w:val="16"/>
          <w:color w:val="auto"/>
        </w:rPr>
        <w:t>If the total of the Warrant Shares are not all of the Warrant Shares evidenced by the foregoing Warrant, the undersigned requests that a new Warrant evidencing the right to acquire the Warrant Shares not so assigned be issued in the name of and delivered to the undersigned. A written opinion of legal counsel addressed to the Company confirming that the proposed transfer of the Warrant may be effected without registration under the Securities Act of 1933, as amended, accompanies this Form of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76095625.1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type w:val="continuous"/>
        </w:sectPr>
      </w:pPr>
    </w:p>
    <w:bookmarkStart w:id="37" w:name="page38"/>
    <w:bookmarkEnd w:id="37"/>
    <w:p>
      <w:pPr>
        <w:jc w:val="right"/>
        <w:spacing w:after="0"/>
        <w:rPr>
          <w:sz w:val="20"/>
          <w:szCs w:val="20"/>
          <w:color w:val="auto"/>
        </w:rPr>
      </w:pPr>
      <w:r>
        <w:rPr>
          <w:rFonts w:ascii="Times New Roman" w:cs="Times New Roman" w:eastAsia="Times New Roman" w:hAnsi="Times New Roman"/>
          <w:sz w:val="19"/>
          <w:szCs w:val="19"/>
          <w:b w:val="1"/>
          <w:bCs w:val="1"/>
          <w:color w:val="auto"/>
        </w:rPr>
        <w:t>Exhibit 4.2</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Holder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7078345</wp:posOffset>
            </wp:positionH>
            <wp:positionV relativeFrom="paragraph">
              <wp:posOffset>6350</wp:posOffset>
            </wp:positionV>
            <wp:extent cx="6731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7078345</wp:posOffset>
            </wp:positionH>
            <wp:positionV relativeFrom="paragraph">
              <wp:posOffset>6350</wp:posOffset>
            </wp:positionV>
            <wp:extent cx="6731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7078345</wp:posOffset>
            </wp:positionH>
            <wp:positionV relativeFrom="paragraph">
              <wp:posOffset>6350</wp:posOffset>
            </wp:positionV>
            <wp:extent cx="6731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7078345</wp:posOffset>
            </wp:positionH>
            <wp:positionV relativeFrom="paragraph">
              <wp:posOffset>6350</wp:posOffset>
            </wp:positionV>
            <wp:extent cx="6731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7078345</wp:posOffset>
            </wp:positionH>
            <wp:positionV relativeFrom="paragraph">
              <wp:posOffset>6350</wp:posOffset>
            </wp:positionV>
            <wp:extent cx="6731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494665</wp:posOffset>
            </wp:positionV>
            <wp:extent cx="714946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EXHIBIT 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PRE-FUNDED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255270</wp:posOffset>
            </wp:positionV>
            <wp:extent cx="714946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76095625.1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508635</wp:posOffset>
            </wp:positionV>
            <wp:extent cx="717486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9"/>
          <w:szCs w:val="19"/>
          <w:b w:val="1"/>
          <w:bCs w:val="1"/>
          <w:color w:val="auto"/>
        </w:rPr>
        <w:t>Exhibit 4.3</w:t>
      </w:r>
    </w:p>
    <w:p>
      <w:pPr>
        <w:spacing w:after="0" w:line="200" w:lineRule="exact"/>
        <w:rPr>
          <w:sz w:val="20"/>
          <w:szCs w:val="20"/>
          <w:color w:val="auto"/>
        </w:rPr>
      </w:pPr>
    </w:p>
    <w:p>
      <w:pPr>
        <w:spacing w:after="0" w:line="349"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6"/>
          <w:szCs w:val="16"/>
          <w:color w:val="auto"/>
        </w:rPr>
        <w:t>Warrant Certificate No.</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SECURITIES REPRESENTED HEREBY AND THE SECURITIES ISSUABLE UPON EXERCISE OF THESE SECURITIES HAVE NOT BEEN REGISTERED UNDER THE U.S. SECURITIES ACT OF 1933, AS AMENDED (THE “SECURITIES ACT”), OR ANY STATE SECURITIES LAWS, AND SUCH SECURITIES MAY NOT BE OFFERED, SOLD, PLEDGED OR OTHERWISE TRANSFERRED UNLESS (1) A REGISTRATION STATEMENT WITH RESPECT THERETO IS EFFECTIVE UNDER THE SECURITIES ACT AND ANY APPLICABLE STATE SECURITIES LAWS, OR (2) AN EXEMPTION FROM SUCH REGISTRATION REQUIREMENTS IS AVAILABLE AND THE COMPANY RECEIVES AN OPINION OF COUNSEL TO THE HOLDER OF SUCH SECURITIES, WHICH COUNSEL AND OPINION ARE SATISFACTORY TO THE COMPANY, THAT SUCH SECURITIES MAY BE OFFERED, SOLD, PLEDGED, OR OTHERWISE TRANSFERRED IN THE MANNER CONTEMPLATED WITHOUT AN EFFECTIVE REGISTRATION STATEMENT UNDER THE SECURITIES ACT LAWS.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Issuance Date: [ ], 2026</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DECOY THERAPEUTICS INC.</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OF SERIES B WARRANT TO PURCHASE COMMON SHARES OR PRE-FUNDED WARRANTS</w:t>
      </w:r>
    </w:p>
    <w:p>
      <w:pPr>
        <w:spacing w:after="0" w:line="192" w:lineRule="exact"/>
        <w:rPr>
          <w:sz w:val="20"/>
          <w:szCs w:val="20"/>
          <w:color w:val="auto"/>
        </w:rPr>
      </w:pPr>
    </w:p>
    <w:p>
      <w:pPr>
        <w:jc w:val="both"/>
        <w:ind w:firstLine="751"/>
        <w:spacing w:after="0" w:line="251" w:lineRule="auto"/>
        <w:rPr>
          <w:sz w:val="20"/>
          <w:szCs w:val="20"/>
          <w:color w:val="auto"/>
        </w:rPr>
      </w:pPr>
      <w:r>
        <w:rPr>
          <w:rFonts w:ascii="Times New Roman" w:cs="Times New Roman" w:eastAsia="Times New Roman" w:hAnsi="Times New Roman"/>
          <w:sz w:val="16"/>
          <w:szCs w:val="16"/>
          <w:b w:val="1"/>
          <w:bCs w:val="1"/>
          <w:color w:val="auto"/>
        </w:rPr>
        <w:t>Decoy Therapeutics Inc.</w:t>
      </w:r>
      <w:r>
        <w:rPr>
          <w:rFonts w:ascii="Times New Roman" w:cs="Times New Roman" w:eastAsia="Times New Roman" w:hAnsi="Times New Roman"/>
          <w:sz w:val="16"/>
          <w:szCs w:val="16"/>
          <w:color w:val="auto"/>
        </w:rPr>
        <w:t>, a Delaware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for value received on June [ ], 2026 (the “</w:t>
      </w:r>
      <w:r>
        <w:rPr>
          <w:rFonts w:ascii="Times New Roman" w:cs="Times New Roman" w:eastAsia="Times New Roman" w:hAnsi="Times New Roman"/>
          <w:sz w:val="16"/>
          <w:szCs w:val="16"/>
          <w:b w:val="1"/>
          <w:bCs w:val="1"/>
          <w:color w:val="auto"/>
        </w:rPr>
        <w:t>Issuance Date</w:t>
      </w:r>
      <w:r>
        <w:rPr>
          <w:rFonts w:ascii="Times New Roman" w:cs="Times New Roman" w:eastAsia="Times New Roman" w:hAnsi="Times New Roman"/>
          <w:sz w:val="16"/>
          <w:szCs w:val="16"/>
          <w:color w:val="auto"/>
        </w:rPr>
        <w:t>”), hereby issues to</w:t>
      </w:r>
      <w:r>
        <w:rPr>
          <w:rFonts w:ascii="Times New Roman" w:cs="Times New Roman" w:eastAsia="Times New Roman" w:hAnsi="Times New Roman"/>
          <w:sz w:val="16"/>
          <w:szCs w:val="16"/>
          <w:b w:val="1"/>
          <w:bCs w:val="1"/>
          <w:color w:val="auto"/>
        </w:rPr>
        <w:t xml:space="preserve"> [ ] </w:t>
      </w: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color w:val="auto"/>
        </w:rPr>
        <w:t>Holder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Warrant (the “</w:t>
      </w:r>
      <w:r>
        <w:rPr>
          <w:rFonts w:ascii="Times New Roman" w:cs="Times New Roman" w:eastAsia="Times New Roman" w:hAnsi="Times New Roman"/>
          <w:sz w:val="16"/>
          <w:szCs w:val="16"/>
          <w:b w:val="1"/>
          <w:bCs w:val="1"/>
          <w:color w:val="auto"/>
        </w:rPr>
        <w:t>Warrant</w:t>
      </w:r>
      <w:r>
        <w:rPr>
          <w:rFonts w:ascii="Times New Roman" w:cs="Times New Roman" w:eastAsia="Times New Roman" w:hAnsi="Times New Roman"/>
          <w:sz w:val="16"/>
          <w:szCs w:val="16"/>
          <w:color w:val="auto"/>
        </w:rPr>
        <w:t xml:space="preserve">”) to purchase </w:t>
      </w:r>
      <w:r>
        <w:rPr>
          <w:rFonts w:ascii="Times New Roman" w:cs="Times New Roman" w:eastAsia="Times New Roman" w:hAnsi="Times New Roman"/>
          <w:sz w:val="16"/>
          <w:szCs w:val="16"/>
          <w:b w:val="1"/>
          <w:bCs w:val="1"/>
          <w:color w:val="auto"/>
        </w:rPr>
        <w:t>[ ]</w:t>
      </w:r>
      <w:r>
        <w:rPr>
          <w:rFonts w:ascii="Times New Roman" w:cs="Times New Roman" w:eastAsia="Times New Roman" w:hAnsi="Times New Roman"/>
          <w:sz w:val="16"/>
          <w:szCs w:val="16"/>
          <w:color w:val="auto"/>
        </w:rPr>
        <w:t xml:space="preserve"> Common Shares (as hereinafter defined) (each such share as from time to time adjusted as hereinafter provided being a “</w:t>
      </w:r>
      <w:r>
        <w:rPr>
          <w:rFonts w:ascii="Times New Roman" w:cs="Times New Roman" w:eastAsia="Times New Roman" w:hAnsi="Times New Roman"/>
          <w:sz w:val="16"/>
          <w:szCs w:val="16"/>
          <w:b w:val="1"/>
          <w:bCs w:val="1"/>
          <w:color w:val="auto"/>
        </w:rPr>
        <w:t>Warrant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Share</w:t>
      </w:r>
      <w:r>
        <w:rPr>
          <w:rFonts w:ascii="Times New Roman" w:cs="Times New Roman" w:eastAsia="Times New Roman" w:hAnsi="Times New Roman"/>
          <w:sz w:val="16"/>
          <w:szCs w:val="16"/>
          <w:color w:val="auto"/>
        </w:rPr>
        <w:t>” and all such shares being the “</w:t>
      </w:r>
      <w:r>
        <w:rPr>
          <w:rFonts w:ascii="Times New Roman" w:cs="Times New Roman" w:eastAsia="Times New Roman" w:hAnsi="Times New Roman"/>
          <w:sz w:val="16"/>
          <w:szCs w:val="16"/>
          <w:b w:val="1"/>
          <w:bCs w:val="1"/>
          <w:color w:val="auto"/>
        </w:rPr>
        <w:t>Warrant Shares</w:t>
      </w:r>
      <w:r>
        <w:rPr>
          <w:rFonts w:ascii="Times New Roman" w:cs="Times New Roman" w:eastAsia="Times New Roman" w:hAnsi="Times New Roman"/>
          <w:sz w:val="16"/>
          <w:szCs w:val="16"/>
          <w:color w:val="auto"/>
        </w:rPr>
        <w:t>”), at the Exercise Price (as defined below), as from time to time adjusted as hereinafter provided, on or before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Expiration Date (as defined below), all subject to the following terms and conditions. This Warrant is one of a series of warrants of like tenor that have been issued in connection with the Company’s private offering solely to accredited investors (as defined under applicable U.S. federal securities laws) of units of Common Shares and Warrants in accordance with, and subject to, the terms and conditions described in that certain Securities Purchase Agreement between the Company and each purchaser thereunder, inclusive of all exhibits and all amendments, supplements and appendices thereto (the “</w:t>
      </w:r>
      <w:r>
        <w:rPr>
          <w:rFonts w:ascii="Times New Roman" w:cs="Times New Roman" w:eastAsia="Times New Roman" w:hAnsi="Times New Roman"/>
          <w:sz w:val="16"/>
          <w:szCs w:val="16"/>
          <w:b w:val="1"/>
          <w:bCs w:val="1"/>
          <w:color w:val="auto"/>
        </w:rPr>
        <w:t>Purchase Agreement</w:t>
      </w:r>
      <w:r>
        <w:rPr>
          <w:rFonts w:ascii="Times New Roman" w:cs="Times New Roman" w:eastAsia="Times New Roman" w:hAnsi="Times New Roman"/>
          <w:sz w:val="16"/>
          <w:szCs w:val="16"/>
          <w:color w:val="auto"/>
        </w:rPr>
        <w:t>”). Capitalized terms used, but not defined herein, shall have the meanings given to such terms in the Purchase Agreement.</w:t>
      </w:r>
    </w:p>
    <w:p>
      <w:pPr>
        <w:spacing w:after="0" w:line="164" w:lineRule="exact"/>
        <w:rPr>
          <w:sz w:val="20"/>
          <w:szCs w:val="20"/>
          <w:color w:val="auto"/>
        </w:rPr>
      </w:pPr>
    </w:p>
    <w:p>
      <w:pPr>
        <w:jc w:val="both"/>
        <w:ind w:firstLine="751"/>
        <w:spacing w:after="0" w:line="261" w:lineRule="auto"/>
        <w:rPr>
          <w:sz w:val="20"/>
          <w:szCs w:val="20"/>
          <w:color w:val="auto"/>
        </w:rPr>
      </w:pPr>
      <w:r>
        <w:rPr>
          <w:rFonts w:ascii="Times New Roman" w:cs="Times New Roman" w:eastAsia="Times New Roman" w:hAnsi="Times New Roman"/>
          <w:sz w:val="15"/>
          <w:szCs w:val="15"/>
          <w:color w:val="auto"/>
        </w:rPr>
        <w:t>As used in this Warrant, (i) “</w:t>
      </w:r>
      <w:r>
        <w:rPr>
          <w:rFonts w:ascii="Times New Roman" w:cs="Times New Roman" w:eastAsia="Times New Roman" w:hAnsi="Times New Roman"/>
          <w:sz w:val="15"/>
          <w:szCs w:val="15"/>
          <w:b w:val="1"/>
          <w:bCs w:val="1"/>
          <w:color w:val="auto"/>
        </w:rPr>
        <w:t>Business Day</w:t>
      </w:r>
      <w:r>
        <w:rPr>
          <w:rFonts w:ascii="Times New Roman" w:cs="Times New Roman" w:eastAsia="Times New Roman" w:hAnsi="Times New Roman"/>
          <w:sz w:val="15"/>
          <w:szCs w:val="15"/>
          <w:color w:val="auto"/>
        </w:rPr>
        <w:t>” means any day other than Saturday, Sunday or any other day on which commercial banks in the City of New York, New York, are authorized or required by law or executive order to close; (ii) “</w:t>
      </w:r>
      <w:r>
        <w:rPr>
          <w:rFonts w:ascii="Times New Roman" w:cs="Times New Roman" w:eastAsia="Times New Roman" w:hAnsi="Times New Roman"/>
          <w:sz w:val="15"/>
          <w:szCs w:val="15"/>
          <w:b w:val="1"/>
          <w:bCs w:val="1"/>
          <w:color w:val="auto"/>
        </w:rPr>
        <w:t>Common Shares</w:t>
      </w:r>
      <w:r>
        <w:rPr>
          <w:rFonts w:ascii="Times New Roman" w:cs="Times New Roman" w:eastAsia="Times New Roman" w:hAnsi="Times New Roman"/>
          <w:sz w:val="15"/>
          <w:szCs w:val="15"/>
          <w:color w:val="auto"/>
        </w:rPr>
        <w:t>” means the shares of the Company’s common stock, par value 0.0001 per share; (iii) “</w:t>
      </w:r>
      <w:r>
        <w:rPr>
          <w:rFonts w:ascii="Times New Roman" w:cs="Times New Roman" w:eastAsia="Times New Roman" w:hAnsi="Times New Roman"/>
          <w:sz w:val="15"/>
          <w:szCs w:val="15"/>
          <w:b w:val="1"/>
          <w:bCs w:val="1"/>
          <w:color w:val="auto"/>
        </w:rPr>
        <w:t>Exercise Price</w:t>
      </w:r>
      <w:r>
        <w:rPr>
          <w:rFonts w:ascii="Times New Roman" w:cs="Times New Roman" w:eastAsia="Times New Roman" w:hAnsi="Times New Roman"/>
          <w:sz w:val="15"/>
          <w:szCs w:val="15"/>
          <w:color w:val="auto"/>
        </w:rPr>
        <w:t>” means U.S. $[ ] per Warrant Share, subject to adjustment as provided herein; (iv) “</w:t>
      </w:r>
      <w:r>
        <w:rPr>
          <w:rFonts w:ascii="Times New Roman" w:cs="Times New Roman" w:eastAsia="Times New Roman" w:hAnsi="Times New Roman"/>
          <w:sz w:val="15"/>
          <w:szCs w:val="15"/>
          <w:b w:val="1"/>
          <w:bCs w:val="1"/>
          <w:color w:val="auto"/>
        </w:rPr>
        <w:t>Exercise Commencement Date</w:t>
      </w:r>
      <w:r>
        <w:rPr>
          <w:rFonts w:ascii="Times New Roman" w:cs="Times New Roman" w:eastAsia="Times New Roman" w:hAnsi="Times New Roman"/>
          <w:sz w:val="15"/>
          <w:szCs w:val="15"/>
          <w:color w:val="auto"/>
        </w:rPr>
        <w:t>” means the Issuance Date; (v) “</w:t>
      </w:r>
      <w:r>
        <w:rPr>
          <w:rFonts w:ascii="Times New Roman" w:cs="Times New Roman" w:eastAsia="Times New Roman" w:hAnsi="Times New Roman"/>
          <w:sz w:val="15"/>
          <w:szCs w:val="15"/>
          <w:b w:val="1"/>
          <w:bCs w:val="1"/>
          <w:color w:val="auto"/>
        </w:rPr>
        <w:t>Expiration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Date</w:t>
      </w:r>
      <w:r>
        <w:rPr>
          <w:rFonts w:ascii="Times New Roman" w:cs="Times New Roman" w:eastAsia="Times New Roman" w:hAnsi="Times New Roman"/>
          <w:sz w:val="15"/>
          <w:szCs w:val="15"/>
          <w:color w:val="auto"/>
        </w:rPr>
        <w:t>” means the earlier of (i)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day following the date of the Milestone Event, or if such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day falls on a day other than a Business Day, the next day that is a Business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Day or (ii) June [ ], 2031; (vi) “</w:t>
      </w:r>
      <w:r>
        <w:rPr>
          <w:rFonts w:ascii="Times New Roman" w:cs="Times New Roman" w:eastAsia="Times New Roman" w:hAnsi="Times New Roman"/>
          <w:sz w:val="15"/>
          <w:szCs w:val="15"/>
          <w:b w:val="1"/>
          <w:bCs w:val="1"/>
          <w:color w:val="auto"/>
        </w:rPr>
        <w:t>Trading Day</w:t>
      </w:r>
      <w:r>
        <w:rPr>
          <w:rFonts w:ascii="Times New Roman" w:cs="Times New Roman" w:eastAsia="Times New Roman" w:hAnsi="Times New Roman"/>
          <w:sz w:val="15"/>
          <w:szCs w:val="15"/>
          <w:color w:val="auto"/>
        </w:rPr>
        <w:t>” means any day on which the Common Shares are traded (or available for trading) on their principal trading market in the United States; (vii) “</w:t>
      </w:r>
      <w:r>
        <w:rPr>
          <w:rFonts w:ascii="Times New Roman" w:cs="Times New Roman" w:eastAsia="Times New Roman" w:hAnsi="Times New Roman"/>
          <w:sz w:val="15"/>
          <w:szCs w:val="15"/>
          <w:b w:val="1"/>
          <w:bCs w:val="1"/>
          <w:color w:val="auto"/>
        </w:rPr>
        <w:t>Affiliate</w:t>
      </w:r>
      <w:r>
        <w:rPr>
          <w:rFonts w:ascii="Times New Roman" w:cs="Times New Roman" w:eastAsia="Times New Roman" w:hAnsi="Times New Roman"/>
          <w:sz w:val="15"/>
          <w:szCs w:val="15"/>
          <w:color w:val="auto"/>
        </w:rPr>
        <w:t>” means, with respect to any specified person, any other person who, directly or indirectly, controls, is controlled by, or is under common control with such person; and (viii) “</w:t>
      </w:r>
      <w:r>
        <w:rPr>
          <w:rFonts w:ascii="Times New Roman" w:cs="Times New Roman" w:eastAsia="Times New Roman" w:hAnsi="Times New Roman"/>
          <w:sz w:val="15"/>
          <w:szCs w:val="15"/>
          <w:b w:val="1"/>
          <w:bCs w:val="1"/>
          <w:color w:val="auto"/>
        </w:rPr>
        <w:t>Registration Rights Agreement</w:t>
      </w:r>
      <w:r>
        <w:rPr>
          <w:rFonts w:ascii="Times New Roman" w:cs="Times New Roman" w:eastAsia="Times New Roman" w:hAnsi="Times New Roman"/>
          <w:sz w:val="15"/>
          <w:szCs w:val="15"/>
          <w:color w:val="auto"/>
        </w:rPr>
        <w:t>” means that certain Registration Rights Agreement among the Company and each of the Holders as contemplated in the Purchase Agreement. As used herein, “</w:t>
      </w:r>
      <w:r>
        <w:rPr>
          <w:rFonts w:ascii="Times New Roman" w:cs="Times New Roman" w:eastAsia="Times New Roman" w:hAnsi="Times New Roman"/>
          <w:sz w:val="15"/>
          <w:szCs w:val="15"/>
          <w:b w:val="1"/>
          <w:bCs w:val="1"/>
          <w:color w:val="auto"/>
        </w:rPr>
        <w:t>Milestone Event</w:t>
      </w:r>
      <w:r>
        <w:rPr>
          <w:rFonts w:ascii="Times New Roman" w:cs="Times New Roman" w:eastAsia="Times New Roman" w:hAnsi="Times New Roman"/>
          <w:sz w:val="15"/>
          <w:szCs w:val="15"/>
          <w:color w:val="auto"/>
        </w:rPr>
        <w:t>” means the later of (a) the date the Company provides the Holder a notice of the Company’s receipt of formal written approval from the Medicines and Healthcare products Regulatory Agency to conduct a Phase 2a human challenge trial in the United Kingdom (which interim data readout is consistent in all material respects with the Company’s previously issued public guidance regarding the timing and scope of such interim data) and (b) the date on which the shareholders of the Company approve a proposal to approve the exercise of the Series A Warrants to Purchase Common Stock, the Series B Warrants to Purchase Common Stock and the Series C Warrants to Purchase Common Stock, as may be required by the applicable rules and regulations of the Nasdaq Stock Market LLC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76095631.1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508635</wp:posOffset>
            </wp:positionV>
            <wp:extent cx="717486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9"/>
          <w:szCs w:val="19"/>
          <w:b w:val="1"/>
          <w:bCs w:val="1"/>
          <w:color w:val="auto"/>
        </w:rPr>
        <w:t>Exhibit 4.3</w:t>
      </w:r>
    </w:p>
    <w:p>
      <w:pPr>
        <w:spacing w:after="0" w:line="360" w:lineRule="exact"/>
        <w:rPr>
          <w:sz w:val="20"/>
          <w:szCs w:val="20"/>
          <w:color w:val="auto"/>
        </w:rPr>
      </w:pPr>
    </w:p>
    <w:p>
      <w:pPr>
        <w:jc w:val="both"/>
        <w:ind w:left="5" w:right="20"/>
        <w:spacing w:after="0" w:line="276" w:lineRule="auto"/>
        <w:rPr>
          <w:sz w:val="20"/>
          <w:szCs w:val="20"/>
          <w:color w:val="auto"/>
        </w:rPr>
      </w:pPr>
      <w:r>
        <w:rPr>
          <w:rFonts w:ascii="Times New Roman" w:cs="Times New Roman" w:eastAsia="Times New Roman" w:hAnsi="Times New Roman"/>
          <w:sz w:val="16"/>
          <w:szCs w:val="16"/>
          <w:color w:val="auto"/>
        </w:rPr>
        <w:t>successor entity); provided that, if such shareholder approval is not obtained, the Company shall (i) call and hold a special meeting of shareholders within 90 days after such vote to again seek such approval and (ii) continue to seek such approval at least once every 90 days thereafter until such approval is obtained.</w:t>
      </w:r>
    </w:p>
    <w:p>
      <w:pPr>
        <w:spacing w:after="0" w:line="168" w:lineRule="exact"/>
        <w:rPr>
          <w:sz w:val="20"/>
          <w:szCs w:val="20"/>
          <w:color w:val="auto"/>
        </w:rPr>
      </w:pPr>
    </w:p>
    <w:p>
      <w:pPr>
        <w:ind w:left="405" w:hanging="405"/>
        <w:spacing w:after="0"/>
        <w:tabs>
          <w:tab w:leader="none" w:pos="405"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DURATION AND EXERCISE OF WARRANTS</w:t>
      </w:r>
    </w:p>
    <w:p>
      <w:pPr>
        <w:spacing w:after="0" w:line="194" w:lineRule="exact"/>
        <w:rPr>
          <w:rFonts w:ascii="Times New Roman" w:cs="Times New Roman" w:eastAsia="Times New Roman" w:hAnsi="Times New Roman"/>
          <w:sz w:val="16"/>
          <w:szCs w:val="16"/>
          <w:color w:val="auto"/>
        </w:rPr>
      </w:pPr>
    </w:p>
    <w:p>
      <w:pPr>
        <w:jc w:val="both"/>
        <w:ind w:left="5" w:right="20" w:firstLine="745"/>
        <w:spacing w:after="0" w:line="261" w:lineRule="auto"/>
        <w:tabs>
          <w:tab w:leader="none" w:pos="970"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Period</w:t>
      </w:r>
      <w:r>
        <w:rPr>
          <w:rFonts w:ascii="Times New Roman" w:cs="Times New Roman" w:eastAsia="Times New Roman" w:hAnsi="Times New Roman"/>
          <w:sz w:val="16"/>
          <w:szCs w:val="16"/>
          <w:color w:val="auto"/>
        </w:rPr>
        <w:t>. Commencing on the Exercise Commencement Date, the Holder may, upon the terms and subject to the limitations on exercise and the conditions hereinafter set forth, exercise this Warrant in whole or in part on any Business Day on or before 11:59 P.M., Eastern Time, on the Expiration Date, at which time this Warrant shall become void and of no value.</w:t>
      </w:r>
    </w:p>
    <w:p>
      <w:pPr>
        <w:spacing w:after="0" w:line="156" w:lineRule="exact"/>
        <w:rPr>
          <w:rFonts w:ascii="Times New Roman" w:cs="Times New Roman" w:eastAsia="Times New Roman" w:hAnsi="Times New Roman"/>
          <w:sz w:val="16"/>
          <w:szCs w:val="16"/>
          <w:color w:val="auto"/>
        </w:rPr>
      </w:pPr>
    </w:p>
    <w:p>
      <w:pPr>
        <w:ind w:left="965" w:hanging="215"/>
        <w:spacing w:after="0"/>
        <w:tabs>
          <w:tab w:leader="none" w:pos="965"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Procedures.</w:t>
      </w:r>
    </w:p>
    <w:p>
      <w:pPr>
        <w:spacing w:after="0" w:line="194" w:lineRule="exact"/>
        <w:rPr>
          <w:rFonts w:ascii="Times New Roman" w:cs="Times New Roman" w:eastAsia="Times New Roman" w:hAnsi="Times New Roman"/>
          <w:sz w:val="16"/>
          <w:szCs w:val="16"/>
          <w:color w:val="auto"/>
        </w:rPr>
      </w:pPr>
    </w:p>
    <w:p>
      <w:pPr>
        <w:jc w:val="both"/>
        <w:ind w:left="5" w:firstLine="1496"/>
        <w:spacing w:after="0" w:line="249" w:lineRule="auto"/>
        <w:tabs>
          <w:tab w:leader="none" w:pos="1700" w:val="left"/>
        </w:tabs>
        <w:numPr>
          <w:ilvl w:val="2"/>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While this Warrant remains outstanding and exercisable in accordance with Section 1(a), in addition to the manner set forth in Section 1(b)(ii) below, the Holder may exercise this Warrant in whole or in part at any time and from time to time by delivery to the Company of a duly executed copy of the Notice of Exercise attached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Notice of Exercise</w:t>
      </w:r>
      <w:r>
        <w:rPr>
          <w:rFonts w:ascii="Times New Roman" w:cs="Times New Roman" w:eastAsia="Times New Roman" w:hAnsi="Times New Roman"/>
          <w:sz w:val="16"/>
          <w:szCs w:val="16"/>
          <w:color w:val="auto"/>
        </w:rPr>
        <w:t>”). Within the earlier of (i) two (2) Trading Days and (ii) the number of Trading Days comprising the Standard Settlement Period (as defined below) following the date of exercise as aforesaid (the “</w:t>
      </w:r>
      <w:r>
        <w:rPr>
          <w:rFonts w:ascii="Times New Roman" w:cs="Times New Roman" w:eastAsia="Times New Roman" w:hAnsi="Times New Roman"/>
          <w:sz w:val="16"/>
          <w:szCs w:val="16"/>
          <w:b w:val="1"/>
          <w:bCs w:val="1"/>
          <w:color w:val="auto"/>
        </w:rPr>
        <w:t>Warrant Share Delivery Date</w:t>
      </w:r>
      <w:r>
        <w:rPr>
          <w:rFonts w:ascii="Times New Roman" w:cs="Times New Roman" w:eastAsia="Times New Roman" w:hAnsi="Times New Roman"/>
          <w:sz w:val="16"/>
          <w:szCs w:val="16"/>
          <w:color w:val="auto"/>
        </w:rPr>
        <w:t>”), the Holder shall deliver the aggregate Exercise Price for the shares specified in the applicable Notice of Exercise by wire transfer or cashier’s check drawn on a United States bank unless the cashless exercise procedure specified in Section 1(b)(ii)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As used herein, “</w:t>
      </w:r>
      <w:r>
        <w:rPr>
          <w:rFonts w:ascii="Times New Roman" w:cs="Times New Roman" w:eastAsia="Times New Roman" w:hAnsi="Times New Roman"/>
          <w:sz w:val="16"/>
          <w:szCs w:val="16"/>
          <w:b w:val="1"/>
          <w:bCs w:val="1"/>
          <w:color w:val="auto"/>
        </w:rPr>
        <w:t>Standard Settlement Period</w:t>
      </w:r>
      <w:r>
        <w:rPr>
          <w:rFonts w:ascii="Times New Roman" w:cs="Times New Roman" w:eastAsia="Times New Roman" w:hAnsi="Times New Roman"/>
          <w:sz w:val="16"/>
          <w:szCs w:val="16"/>
          <w:color w:val="auto"/>
        </w:rPr>
        <w:t>” means the standard settlement period, expressed in a number of Trading Days, on the Company’s primary trading market with respect to the Common Shares as in effect on the date of delivery of the Notice of Exercise.</w:t>
      </w:r>
    </w:p>
    <w:p>
      <w:pPr>
        <w:spacing w:after="0" w:line="165" w:lineRule="exact"/>
        <w:rPr>
          <w:rFonts w:ascii="Times New Roman" w:cs="Times New Roman" w:eastAsia="Times New Roman" w:hAnsi="Times New Roman"/>
          <w:sz w:val="16"/>
          <w:szCs w:val="16"/>
          <w:color w:val="auto"/>
        </w:rPr>
      </w:pPr>
    </w:p>
    <w:p>
      <w:pPr>
        <w:jc w:val="both"/>
        <w:ind w:left="5" w:firstLine="1496"/>
        <w:spacing w:after="0" w:line="256" w:lineRule="auto"/>
        <w:tabs>
          <w:tab w:leader="none" w:pos="1738" w:val="left"/>
        </w:tabs>
        <w:numPr>
          <w:ilvl w:val="2"/>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at any time a registration statement is not effective or available (as provided in the Registration Rights Agreement) for the resale by the Holder of all of the Warrant Shares, then the Holder may, in its sole discretion, exercise all or any part of the Warrant in a “cashless” or “net-issue” exercise (a “</w:t>
      </w:r>
      <w:r>
        <w:rPr>
          <w:rFonts w:ascii="Times New Roman" w:cs="Times New Roman" w:eastAsia="Times New Roman" w:hAnsi="Times New Roman"/>
          <w:sz w:val="16"/>
          <w:szCs w:val="16"/>
          <w:b w:val="1"/>
          <w:bCs w:val="1"/>
          <w:color w:val="auto"/>
        </w:rPr>
        <w:t>Cashless Exercise</w:t>
      </w:r>
      <w:r>
        <w:rPr>
          <w:rFonts w:ascii="Times New Roman" w:cs="Times New Roman" w:eastAsia="Times New Roman" w:hAnsi="Times New Roman"/>
          <w:sz w:val="16"/>
          <w:szCs w:val="16"/>
          <w:color w:val="auto"/>
        </w:rPr>
        <w:t>”) by delivering to the Company a Notice of Exercise, in which case, the number of Warrant Shares to be issued to the Holder upon such exercise shall be calculated using the following formula:</w:t>
      </w:r>
    </w:p>
    <w:p>
      <w:pPr>
        <w:spacing w:after="0" w:line="161" w:lineRule="exact"/>
        <w:rPr>
          <w:sz w:val="20"/>
          <w:szCs w:val="20"/>
          <w:color w:val="auto"/>
        </w:rPr>
      </w:pPr>
    </w:p>
    <w:p>
      <w:pPr>
        <w:ind w:left="425"/>
        <w:spacing w:after="0"/>
        <w:tabs>
          <w:tab w:leader="none" w:pos="965" w:val="left"/>
        </w:tabs>
        <w:rPr>
          <w:sz w:val="20"/>
          <w:szCs w:val="20"/>
          <w:color w:val="auto"/>
        </w:rPr>
      </w:pPr>
      <w:r>
        <w:rPr>
          <w:rFonts w:ascii="Times New Roman" w:cs="Times New Roman" w:eastAsia="Times New Roman" w:hAnsi="Times New Roman"/>
          <w:sz w:val="16"/>
          <w:szCs w:val="16"/>
          <w:color w:val="auto"/>
        </w:rPr>
        <w:t>X =</w:t>
      </w:r>
      <w:r>
        <w:rPr>
          <w:sz w:val="20"/>
          <w:szCs w:val="20"/>
          <w:color w:val="auto"/>
        </w:rPr>
        <w:tab/>
      </w:r>
      <w:r>
        <w:rPr>
          <w:rFonts w:ascii="Times New Roman" w:cs="Times New Roman" w:eastAsia="Times New Roman" w:hAnsi="Times New Roman"/>
          <w:sz w:val="15"/>
          <w:szCs w:val="15"/>
          <w:u w:val="single" w:color="auto"/>
          <w:color w:val="auto"/>
        </w:rPr>
        <w:t>Y * (A - B)</w:t>
      </w:r>
    </w:p>
    <w:p>
      <w:pPr>
        <w:spacing w:after="0" w:line="22" w:lineRule="exact"/>
        <w:rPr>
          <w:sz w:val="20"/>
          <w:szCs w:val="20"/>
          <w:color w:val="auto"/>
        </w:rPr>
      </w:pPr>
    </w:p>
    <w:p>
      <w:pPr>
        <w:ind w:left="2025"/>
        <w:spacing w:after="0"/>
        <w:rPr>
          <w:sz w:val="20"/>
          <w:szCs w:val="20"/>
          <w:color w:val="auto"/>
        </w:rPr>
      </w:pPr>
      <w:r>
        <w:rPr>
          <w:rFonts w:ascii="Times New Roman" w:cs="Times New Roman" w:eastAsia="Times New Roman" w:hAnsi="Times New Roman"/>
          <w:sz w:val="16"/>
          <w:szCs w:val="16"/>
          <w:color w:val="auto"/>
        </w:rPr>
        <w:t>A</w:t>
      </w:r>
    </w:p>
    <w:p>
      <w:pPr>
        <w:spacing w:after="0" w:line="177" w:lineRule="exact"/>
        <w:rPr>
          <w:sz w:val="20"/>
          <w:szCs w:val="20"/>
          <w:color w:val="auto"/>
        </w:rPr>
      </w:pPr>
    </w:p>
    <w:p>
      <w:pPr>
        <w:ind w:left="5"/>
        <w:spacing w:after="0"/>
        <w:tabs>
          <w:tab w:leader="none" w:pos="885" w:val="left"/>
          <w:tab w:leader="none" w:pos="1545" w:val="left"/>
        </w:tabs>
        <w:rPr>
          <w:sz w:val="20"/>
          <w:szCs w:val="20"/>
          <w:color w:val="auto"/>
        </w:rPr>
      </w:pPr>
      <w:r>
        <w:rPr>
          <w:rFonts w:ascii="Times New Roman" w:cs="Times New Roman" w:eastAsia="Times New Roman" w:hAnsi="Times New Roman"/>
          <w:sz w:val="16"/>
          <w:szCs w:val="16"/>
          <w:color w:val="auto"/>
        </w:rPr>
        <w:t>with:</w:t>
      </w:r>
      <w:r>
        <w:rPr>
          <w:sz w:val="20"/>
          <w:szCs w:val="20"/>
          <w:color w:val="auto"/>
        </w:rPr>
        <w:tab/>
      </w:r>
      <w:r>
        <w:rPr>
          <w:rFonts w:ascii="Times New Roman" w:cs="Times New Roman" w:eastAsia="Times New Roman" w:hAnsi="Times New Roman"/>
          <w:sz w:val="16"/>
          <w:szCs w:val="16"/>
          <w:color w:val="auto"/>
        </w:rPr>
        <w:t>X =</w:t>
      </w:r>
      <w:r>
        <w:rPr>
          <w:sz w:val="20"/>
          <w:szCs w:val="20"/>
          <w:color w:val="auto"/>
        </w:rPr>
        <w:tab/>
      </w:r>
      <w:r>
        <w:rPr>
          <w:rFonts w:ascii="Times New Roman" w:cs="Times New Roman" w:eastAsia="Times New Roman" w:hAnsi="Times New Roman"/>
          <w:sz w:val="15"/>
          <w:szCs w:val="15"/>
          <w:color w:val="auto"/>
        </w:rPr>
        <w:t>the number of Warrant Shares to be issued to the Holder</w:t>
      </w:r>
    </w:p>
    <w:p>
      <w:pPr>
        <w:spacing w:after="0" w:line="194" w:lineRule="exact"/>
        <w:rPr>
          <w:sz w:val="20"/>
          <w:szCs w:val="20"/>
          <w:color w:val="auto"/>
        </w:rPr>
      </w:pPr>
    </w:p>
    <w:p>
      <w:pPr>
        <w:ind w:left="125"/>
        <w:spacing w:after="0"/>
        <w:tabs>
          <w:tab w:leader="none" w:pos="585" w:val="left"/>
        </w:tabs>
        <w:rPr>
          <w:sz w:val="20"/>
          <w:szCs w:val="20"/>
          <w:color w:val="auto"/>
        </w:rPr>
      </w:pPr>
      <w:r>
        <w:rPr>
          <w:rFonts w:ascii="Times New Roman" w:cs="Times New Roman" w:eastAsia="Times New Roman" w:hAnsi="Times New Roman"/>
          <w:sz w:val="16"/>
          <w:szCs w:val="16"/>
          <w:color w:val="auto"/>
        </w:rPr>
        <w:t>Y =</w:t>
      </w:r>
      <w:r>
        <w:rPr>
          <w:sz w:val="20"/>
          <w:szCs w:val="20"/>
          <w:color w:val="auto"/>
        </w:rPr>
        <w:tab/>
      </w:r>
      <w:r>
        <w:rPr>
          <w:rFonts w:ascii="Times New Roman" w:cs="Times New Roman" w:eastAsia="Times New Roman" w:hAnsi="Times New Roman"/>
          <w:sz w:val="15"/>
          <w:szCs w:val="15"/>
          <w:color w:val="auto"/>
        </w:rPr>
        <w:t>the number of Warrant Shares with respect to which the Warrant is being exercised</w:t>
      </w:r>
    </w:p>
    <w:p>
      <w:pPr>
        <w:spacing w:after="0" w:line="301" w:lineRule="exact"/>
        <w:rPr>
          <w:sz w:val="20"/>
          <w:szCs w:val="20"/>
          <w:color w:val="auto"/>
        </w:rPr>
      </w:pPr>
    </w:p>
    <w:p>
      <w:pPr>
        <w:ind w:left="125"/>
        <w:spacing w:after="0"/>
        <w:tabs>
          <w:tab w:leader="none" w:pos="665" w:val="left"/>
        </w:tabs>
        <w:rPr>
          <w:sz w:val="20"/>
          <w:szCs w:val="20"/>
          <w:color w:val="auto"/>
        </w:rPr>
      </w:pPr>
      <w:r>
        <w:rPr>
          <w:rFonts w:ascii="Times New Roman" w:cs="Times New Roman" w:eastAsia="Times New Roman" w:hAnsi="Times New Roman"/>
          <w:sz w:val="16"/>
          <w:szCs w:val="16"/>
          <w:color w:val="auto"/>
        </w:rPr>
        <w:t>A =</w:t>
      </w:r>
      <w:r>
        <w:rPr>
          <w:sz w:val="20"/>
          <w:szCs w:val="20"/>
          <w:color w:val="auto"/>
        </w:rPr>
        <w:tab/>
      </w:r>
      <w:r>
        <w:rPr>
          <w:rFonts w:ascii="Times New Roman" w:cs="Times New Roman" w:eastAsia="Times New Roman" w:hAnsi="Times New Roman"/>
          <w:sz w:val="15"/>
          <w:szCs w:val="15"/>
          <w:color w:val="auto"/>
        </w:rPr>
        <w:t>the fair value per Common Share on the date of exercise of this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5"/>
        <w:spacing w:after="0"/>
        <w:rPr>
          <w:sz w:val="20"/>
          <w:szCs w:val="20"/>
          <w:color w:val="auto"/>
        </w:rPr>
      </w:pPr>
      <w:r>
        <w:rPr>
          <w:rFonts w:ascii="Times New Roman" w:cs="Times New Roman" w:eastAsia="Times New Roman" w:hAnsi="Times New Roman"/>
          <w:sz w:val="14"/>
          <w:szCs w:val="14"/>
          <w:color w:val="auto"/>
        </w:rPr>
        <w:t>DOCPROPERTY "CUS_DocIDChunk0" 76095631.1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508635</wp:posOffset>
            </wp:positionV>
            <wp:extent cx="717486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0" w:right="31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9"/>
          <w:szCs w:val="19"/>
          <w:b w:val="1"/>
          <w:bCs w:val="1"/>
          <w:color w:val="auto"/>
        </w:rPr>
        <w:t>Exhibit 4.3</w:t>
      </w:r>
    </w:p>
    <w:p>
      <w:pPr>
        <w:spacing w:after="0" w:line="360"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6"/>
          <w:szCs w:val="16"/>
          <w:color w:val="auto"/>
        </w:rPr>
        <w:t>B =</w:t>
      </w:r>
      <w:r>
        <w:rPr>
          <w:sz w:val="20"/>
          <w:szCs w:val="20"/>
          <w:color w:val="auto"/>
        </w:rPr>
        <w:tab/>
      </w:r>
      <w:r>
        <w:rPr>
          <w:rFonts w:ascii="Times New Roman" w:cs="Times New Roman" w:eastAsia="Times New Roman" w:hAnsi="Times New Roman"/>
          <w:sz w:val="15"/>
          <w:szCs w:val="15"/>
          <w:color w:val="auto"/>
        </w:rPr>
        <w:t>the then-current Exercise Price of the Warrant</w:t>
      </w:r>
    </w:p>
    <w:p>
      <w:pPr>
        <w:spacing w:after="0" w:line="299" w:lineRule="exact"/>
        <w:rPr>
          <w:sz w:val="20"/>
          <w:szCs w:val="20"/>
          <w:color w:val="auto"/>
        </w:rPr>
      </w:pPr>
    </w:p>
    <w:p>
      <w:pPr>
        <w:jc w:val="both"/>
        <w:ind w:firstLine="751"/>
        <w:spacing w:after="0" w:line="253" w:lineRule="auto"/>
        <w:rPr>
          <w:sz w:val="20"/>
          <w:szCs w:val="20"/>
          <w:color w:val="auto"/>
        </w:rPr>
      </w:pPr>
      <w:r>
        <w:rPr>
          <w:rFonts w:ascii="Times New Roman" w:cs="Times New Roman" w:eastAsia="Times New Roman" w:hAnsi="Times New Roman"/>
          <w:sz w:val="16"/>
          <w:szCs w:val="16"/>
          <w:color w:val="auto"/>
        </w:rPr>
        <w:t>Solely for the purposes of this paragraph, “</w:t>
      </w:r>
      <w:r>
        <w:rPr>
          <w:rFonts w:ascii="Times New Roman" w:cs="Times New Roman" w:eastAsia="Times New Roman" w:hAnsi="Times New Roman"/>
          <w:sz w:val="16"/>
          <w:szCs w:val="16"/>
          <w:b w:val="1"/>
          <w:bCs w:val="1"/>
          <w:color w:val="auto"/>
        </w:rPr>
        <w:t>fair value</w:t>
      </w:r>
      <w:r>
        <w:rPr>
          <w:rFonts w:ascii="Times New Roman" w:cs="Times New Roman" w:eastAsia="Times New Roman" w:hAnsi="Times New Roman"/>
          <w:sz w:val="16"/>
          <w:szCs w:val="16"/>
          <w:color w:val="auto"/>
        </w:rPr>
        <w:t>” per Common Share shall mean the Closing Price (as defined below) per Common Share for the Trading Day immediately preceding the date on which the Notice of Exercise is deemed to have been sent to the Company. “</w:t>
      </w:r>
      <w:r>
        <w:rPr>
          <w:rFonts w:ascii="Times New Roman" w:cs="Times New Roman" w:eastAsia="Times New Roman" w:hAnsi="Times New Roman"/>
          <w:sz w:val="16"/>
          <w:szCs w:val="16"/>
          <w:b w:val="1"/>
          <w:bCs w:val="1"/>
          <w:color w:val="auto"/>
        </w:rPr>
        <w:t>Closing Price</w:t>
      </w:r>
      <w:r>
        <w:rPr>
          <w:rFonts w:ascii="Times New Roman" w:cs="Times New Roman" w:eastAsia="Times New Roman" w:hAnsi="Times New Roman"/>
          <w:sz w:val="16"/>
          <w:szCs w:val="16"/>
          <w:color w:val="auto"/>
        </w:rPr>
        <w:t>” means, for any date, the price determined by the first of the following clauses that applies: (a) if the Common Shares are then listed on a U.S. national securities exchange, the closing price per Common Share for such date (or the nearest preceding date) on the primary exchange in the United States on which the Common Shares are then listed; (b) if prices for the Common Shares are then quoted on the OTC Bulletin Board or any tier of the OTC Markets in the United States, the closing bid price per Common Share for such date (or the nearest preceding date) so quoted; or (c) if prices for the Common Shares are then reported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 the “Pink Sheets” published by the National Quotation Bureau Incorporated (or a similar organization or agency succeeding to its functions of reporting prices) in the United States, the most recent closing bid price per share of the Common Shares so reported. If the Common Shares are not publicly traded as set forth above, the “fair value” per Common Share shall be reasonably and in good faith determined by the board of directors of the Company (the “</w:t>
      </w:r>
      <w:r>
        <w:rPr>
          <w:rFonts w:ascii="Times New Roman" w:cs="Times New Roman" w:eastAsia="Times New Roman" w:hAnsi="Times New Roman"/>
          <w:sz w:val="16"/>
          <w:szCs w:val="16"/>
          <w:b w:val="1"/>
          <w:bCs w:val="1"/>
          <w:color w:val="auto"/>
        </w:rPr>
        <w:t>Board of Directors</w:t>
      </w:r>
      <w:r>
        <w:rPr>
          <w:rFonts w:ascii="Times New Roman" w:cs="Times New Roman" w:eastAsia="Times New Roman" w:hAnsi="Times New Roman"/>
          <w:sz w:val="16"/>
          <w:szCs w:val="16"/>
          <w:color w:val="auto"/>
        </w:rPr>
        <w:t>”) as of the date which the Notice of Exercise is deemed to have been sent to the Company.</w:t>
      </w:r>
    </w:p>
    <w:p>
      <w:pPr>
        <w:spacing w:after="0" w:line="159" w:lineRule="exact"/>
        <w:rPr>
          <w:sz w:val="20"/>
          <w:szCs w:val="20"/>
          <w:color w:val="auto"/>
        </w:rPr>
      </w:pPr>
    </w:p>
    <w:p>
      <w:pPr>
        <w:jc w:val="both"/>
        <w:ind w:firstLine="751"/>
        <w:spacing w:after="0" w:line="262" w:lineRule="auto"/>
        <w:rPr>
          <w:sz w:val="20"/>
          <w:szCs w:val="20"/>
          <w:color w:val="auto"/>
        </w:rPr>
      </w:pPr>
      <w:r>
        <w:rPr>
          <w:rFonts w:ascii="Times New Roman" w:cs="Times New Roman" w:eastAsia="Times New Roman" w:hAnsi="Times New Roman"/>
          <w:sz w:val="16"/>
          <w:szCs w:val="16"/>
          <w:color w:val="auto"/>
        </w:rPr>
        <w:t>For purposes of Rule 144 promulgated under the U.S.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it is intended, understood and acknowledged that the Warrant Shares issued in a Cashless Exercise transaction shall be deemed to have been acquired by the Holder, and the holding period for such shares shall be deemed to have commenced, on the date this Warrant was originally issued.</w:t>
      </w:r>
    </w:p>
    <w:p>
      <w:pPr>
        <w:spacing w:after="0" w:line="156" w:lineRule="exact"/>
        <w:rPr>
          <w:sz w:val="20"/>
          <w:szCs w:val="20"/>
          <w:color w:val="auto"/>
        </w:rPr>
      </w:pPr>
    </w:p>
    <w:p>
      <w:pPr>
        <w:jc w:val="both"/>
        <w:ind w:firstLine="1496"/>
        <w:spacing w:after="0" w:line="248" w:lineRule="auto"/>
        <w:tabs>
          <w:tab w:leader="none" w:pos="1778"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exercise of this Warrant in compliance with the provisions of this Section 1(b), the Company shall, on or before the Warrant Share Delivery Date, cause the Warrant Shares purchased hereunder to be transmitted by the Company’s transfer agent, Equiniti Trust Company, LLC, (the “</w:t>
      </w:r>
      <w:r>
        <w:rPr>
          <w:rFonts w:ascii="Times New Roman" w:cs="Times New Roman" w:eastAsia="Times New Roman" w:hAnsi="Times New Roman"/>
          <w:sz w:val="16"/>
          <w:szCs w:val="16"/>
          <w:b w:val="1"/>
          <w:bCs w:val="1"/>
          <w:color w:val="auto"/>
        </w:rPr>
        <w:t>Transfer Agent</w:t>
      </w:r>
      <w:r>
        <w:rPr>
          <w:rFonts w:ascii="Times New Roman" w:cs="Times New Roman" w:eastAsia="Times New Roman" w:hAnsi="Times New Roman"/>
          <w:sz w:val="16"/>
          <w:szCs w:val="16"/>
          <w:color w:val="auto"/>
        </w:rPr>
        <w:t>”) to the Holder by crediting the account of the Holder’s or its designee’s balance account with The Depository Trust Company (the “</w:t>
      </w:r>
      <w:r>
        <w:rPr>
          <w:rFonts w:ascii="Times New Roman" w:cs="Times New Roman" w:eastAsia="Times New Roman" w:hAnsi="Times New Roman"/>
          <w:sz w:val="16"/>
          <w:szCs w:val="16"/>
          <w:b w:val="1"/>
          <w:bCs w:val="1"/>
          <w:color w:val="auto"/>
        </w:rPr>
        <w:t>DTC</w:t>
      </w:r>
      <w:r>
        <w:rPr>
          <w:rFonts w:ascii="Times New Roman" w:cs="Times New Roman" w:eastAsia="Times New Roman" w:hAnsi="Times New Roman"/>
          <w:sz w:val="16"/>
          <w:szCs w:val="16"/>
          <w:color w:val="auto"/>
        </w:rPr>
        <w:t>”) through its Deposit or Withdrawal at Custodian system (“</w:t>
      </w:r>
      <w:r>
        <w:rPr>
          <w:rFonts w:ascii="Times New Roman" w:cs="Times New Roman" w:eastAsia="Times New Roman" w:hAnsi="Times New Roman"/>
          <w:sz w:val="16"/>
          <w:szCs w:val="16"/>
          <w:b w:val="1"/>
          <w:bCs w:val="1"/>
          <w:color w:val="auto"/>
        </w:rPr>
        <w:t>DWAC</w:t>
      </w:r>
      <w:r>
        <w:rPr>
          <w:rFonts w:ascii="Times New Roman" w:cs="Times New Roman" w:eastAsia="Times New Roman" w:hAnsi="Times New Roman"/>
          <w:sz w:val="16"/>
          <w:szCs w:val="16"/>
          <w:color w:val="auto"/>
        </w:rPr>
        <w:t>”), if the Transfer Agent is then a participant in such system, and either (A) there is an effective and available registration statement permitting the resale of the Warrant Shares by the Holder (as provided in the Registration Rights Agreement) and the Holder has contracted for such a resale, or (B) the Warrant Shares are eligible for resale by the Holder without volume or manner-of-sale limitations pursuant to Rule 144 (assuming Cashless Exercise of the Warrants), and otherwise, at the election of the Holder, by physical delivery of a certificate or a direct registration system account statement (“</w:t>
      </w:r>
      <w:r>
        <w:rPr>
          <w:rFonts w:ascii="Times New Roman" w:cs="Times New Roman" w:eastAsia="Times New Roman" w:hAnsi="Times New Roman"/>
          <w:sz w:val="16"/>
          <w:szCs w:val="16"/>
          <w:b w:val="1"/>
          <w:bCs w:val="1"/>
          <w:color w:val="auto"/>
        </w:rPr>
        <w:t>DRS Statement</w:t>
      </w:r>
      <w:r>
        <w:rPr>
          <w:rFonts w:ascii="Times New Roman" w:cs="Times New Roman" w:eastAsia="Times New Roman" w:hAnsi="Times New Roman"/>
          <w:sz w:val="16"/>
          <w:szCs w:val="16"/>
          <w:color w:val="auto"/>
        </w:rPr>
        <w:t>”), registered in the Company’s share register in the name of the Holder or its designee, for the number of Warrant Shares to which the Holder is entitled pursuant to such exercise by the Holder. Each exercise of this Warrant shall be effective immediately prior to the close of business on the date (the “</w:t>
      </w:r>
      <w:r>
        <w:rPr>
          <w:rFonts w:ascii="Times New Roman" w:cs="Times New Roman" w:eastAsia="Times New Roman" w:hAnsi="Times New Roman"/>
          <w:sz w:val="16"/>
          <w:szCs w:val="16"/>
          <w:b w:val="1"/>
          <w:bCs w:val="1"/>
          <w:color w:val="auto"/>
        </w:rPr>
        <w:t>Date of Exercise</w:t>
      </w:r>
      <w:r>
        <w:rPr>
          <w:rFonts w:ascii="Times New Roman" w:cs="Times New Roman" w:eastAsia="Times New Roman" w:hAnsi="Times New Roman"/>
          <w:sz w:val="16"/>
          <w:szCs w:val="16"/>
          <w:color w:val="auto"/>
        </w:rPr>
        <w:t>”) that the Notice of Exercise has been delivered, so long as the Aggregate Exercise Price (if any) has been delivered within one Trading Day of the delivery of the Notice of Exercise. On or before the first (1st) Trading Day following the date on which the Company has received a Notice of Exercise, the Company shall transmit by electronic mail an acknowledgment of confirmation of receipt of such Notice of Exercise, in the form attached hereto as Exhibit B, to the Holder and the Transfer Agent, which confirmation shall constitute an instruction to the Transfer Agent to process such Notice of Exercise in accordance with the terms herein. On or before the Warrant Share Delivery Date, the Company shall cause the Transfer Agent to issue and deliver via DWAC in connection with any resale of such Warrant Shares with respect to which the Holder has instructed a broker to sell such Warrant Shares, and for which the Holder has not yet settled (or via reputable overnight courier to the address as specified in the Notice of Exercise, a certificate or a DRS Statement, registered in the name of the Holder or its designee), for the number of Warrant Shares to which the Holder shall be entitled pursuant to such exercise, the Company shall cause the Transfer Agent to deliver the Warrant Shares to the Holder (or its designee). From the Issuance Date through and including the Expiration Date, the Company shall maintain a transfer agent that participates in DTC’s Fast Automated Securities Transfer (“</w:t>
      </w:r>
      <w:r>
        <w:rPr>
          <w:rFonts w:ascii="Times New Roman" w:cs="Times New Roman" w:eastAsia="Times New Roman" w:hAnsi="Times New Roman"/>
          <w:sz w:val="16"/>
          <w:szCs w:val="16"/>
          <w:b w:val="1"/>
          <w:bCs w:val="1"/>
          <w:color w:val="auto"/>
        </w:rPr>
        <w:t>FAST</w:t>
      </w:r>
      <w:r>
        <w:rPr>
          <w:rFonts w:ascii="Times New Roman" w:cs="Times New Roman" w:eastAsia="Times New Roman" w:hAnsi="Times New Roman"/>
          <w:sz w:val="16"/>
          <w:szCs w:val="16"/>
          <w:color w:val="auto"/>
        </w:rPr>
        <w:t>”) Program. Upon delivery of a Notice of Exercise; provided that the payment of the Aggregate Exercise Price (if any) has been made within one (1) Trading Day of the Notice of Exercise, the Holder shall be deemed for all corporate purposes to have become the holder of record of the Warrant Shares with respect to which this Warrant has been exercised, irrespective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76095631.1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508635</wp:posOffset>
            </wp:positionV>
            <wp:extent cx="717486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9"/>
          <w:szCs w:val="19"/>
          <w:b w:val="1"/>
          <w:bCs w:val="1"/>
          <w:color w:val="auto"/>
        </w:rPr>
        <w:t>Exhibit 4.3</w:t>
      </w:r>
    </w:p>
    <w:p>
      <w:pPr>
        <w:spacing w:after="0" w:line="36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of the date of delivery of the certificates or DRS Statements evidencing such Warrant Shares, or crediting of such Holder’s (or designee’s) account with DTC (as the case may be).</w:t>
      </w:r>
    </w:p>
    <w:p>
      <w:pPr>
        <w:spacing w:after="0" w:line="145" w:lineRule="exact"/>
        <w:rPr>
          <w:sz w:val="20"/>
          <w:szCs w:val="20"/>
          <w:color w:val="auto"/>
        </w:rPr>
      </w:pPr>
    </w:p>
    <w:p>
      <w:pPr>
        <w:jc w:val="both"/>
        <w:ind w:firstLine="1496"/>
        <w:spacing w:after="0" w:line="249" w:lineRule="auto"/>
        <w:tabs>
          <w:tab w:leader="none" w:pos="177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shall fail, for any reason or for no reason, on or prior to the Warrant Share Delivery Date, to deliver to the Holder the Warrant Shares subject to a Notice of Exercise and the applicable Aggregate Exercise Price has been delivered (other than in the case of a Cashless Exercise), then the Company shall pay to the Holder, in cash, as liquidated damages and not as a penalty, for each US$1,000 of Warrant Shares subject to such exercise (based on the fair value of the Common Shares on the date of the applicable Notice of Exercise), US$10 per Trading Day for each Trading Day after such Warrant Share Delivery Date until such Warrant Shares are delivered or Holder rescinds such exercise; provided that such liquidated damages shall not begin to accrue until the first Trading Day after the Warrant Share Delivery Date and shall not exceed, in the aggregate, the aggregate Exercise Price in respect of the Warrant Shares subject to such exercise. In addition to the foregoing, if the Company fails to deliver the Warrant Shares in accordance with the provisions of Section 1(b)(iii) above pursuant to an exercise on or before the Warrant Share Delivery Date, and if on or after such Warrant Share Delivery Date the Holder acquires (in an open market transaction, stock loan or otherwise) Common Shares corresponding to all or any portion of the number of Warrant Shares issuable upon such exercise that the Holder is entitled to receive from the Company and has not received from the Company in connection with such failure to deliver (a “</w:t>
      </w:r>
      <w:r>
        <w:rPr>
          <w:rFonts w:ascii="Times New Roman" w:cs="Times New Roman" w:eastAsia="Times New Roman" w:hAnsi="Times New Roman"/>
          <w:sz w:val="16"/>
          <w:szCs w:val="16"/>
          <w:b w:val="1"/>
          <w:bCs w:val="1"/>
          <w:color w:val="auto"/>
        </w:rPr>
        <w:t>Buy-In</w:t>
      </w:r>
      <w:r>
        <w:rPr>
          <w:rFonts w:ascii="Times New Roman" w:cs="Times New Roman" w:eastAsia="Times New Roman" w:hAnsi="Times New Roman"/>
          <w:sz w:val="16"/>
          <w:szCs w:val="16"/>
          <w:color w:val="auto"/>
        </w:rPr>
        <w:t>”), then, in addition to all other remedies available to the Holder, the Company shall, within two (2) Business Days after the Holder’s request and in the Holder’s discretion, either (i)</w:t>
      </w:r>
    </w:p>
    <w:p>
      <w:pPr>
        <w:spacing w:after="0" w:line="19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pay cash to the Holder in an amount equal to the Holder’s total purchase price (including brokerage commissions, stock loan costs and other out-of-pocket expenses, if any) for the Common Shares so acquired (including, without limitation, by any other Person in respect, or on behalf, of the Holder) (the “</w:t>
      </w:r>
      <w:r>
        <w:rPr>
          <w:rFonts w:ascii="Times New Roman" w:cs="Times New Roman" w:eastAsia="Times New Roman" w:hAnsi="Times New Roman"/>
          <w:sz w:val="15"/>
          <w:szCs w:val="15"/>
          <w:b w:val="1"/>
          <w:bCs w:val="1"/>
          <w:color w:val="auto"/>
        </w:rPr>
        <w:t>Buy-In Price</w:t>
      </w:r>
      <w:r>
        <w:rPr>
          <w:rFonts w:ascii="Times New Roman" w:cs="Times New Roman" w:eastAsia="Times New Roman" w:hAnsi="Times New Roman"/>
          <w:sz w:val="15"/>
          <w:szCs w:val="15"/>
          <w:color w:val="auto"/>
        </w:rPr>
        <w:t>”), at which point the Company’s obligation to so issue and deliver such certificate or DRS Statement (and to issue such Warrant Shares)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DRS Statement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price at which the sell order giving rise to such purchase obligation was executed. Nothing shall limit the Holder’s right to pursue any other remedies available to it hereunder, at law or in equity, including, without limitation, a decree of specific performance and/or injunctive relief with respect to the Company’s failure to timely deliver certificates or DRS Statements representing Warrant Shares (or to electronically deliver such Warrant Shares) upon the exercise of this Warrant as required pursuant to the terms hereof. In addition to the foregoing rights, (i) if the Company fails to deliver the applicable number of Warrant Shares upon an exercise pursuant to Section 1 by the applicable Warrant Share Delivery Date, then the Holder shall have the right to rescind such exercise in whole or in part and retain and/or have the Company return, as the case may be, any portion of this Warrant that has not been exercised pursuant to such Notice of Exercise; provided that the rescission of an exercise shall not affect the Company’s obligation to make any payments that have accrued prior to the date of such Notice of Exercise pursuant to this Section 1(b) or otherwise, and (ii) if a registration statement covering the resale of the Warrant Shares that are subject to a Notice of Exercise is not available for the resale of such Warrant Shares and the Holder has submitted a Notice of Exercise prior to receiving notice of the non-availability of such registration statement and the Company has not already delivered the Warrant Shares underlying such Notice of Exercise electronically without any restrictive legend by crediting such aggregate number of Warrant Shares to which the Holder is entitled pursuant to such exercise to the Holder’s or its designee’s balance account with DTC through its DWAC system, the Holder shall have the option, by delivery of notice to the Company, to (x) rescind such Notice of Exercise in whole or in part and retain or have returned, as the case may be, any portion of this Warrant that has not been exercised pursuant to such Notice of Exercise; provided that the rescission of a Notice of Exercise shall not affect the Company’s obligation to make any payments that have accrued prior to the date of such notice pursuant to this Section 1(b) or otherwise, and/or (y) switch some or all of such Notice of Exercise from a cash exercise to a Cashless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76095631.1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508635</wp:posOffset>
            </wp:positionV>
            <wp:extent cx="717486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9"/>
          <w:szCs w:val="19"/>
          <w:b w:val="1"/>
          <w:bCs w:val="1"/>
          <w:color w:val="auto"/>
        </w:rPr>
        <w:t>Exhibit 4.3</w:t>
      </w:r>
    </w:p>
    <w:p>
      <w:pPr>
        <w:spacing w:after="0" w:line="200" w:lineRule="exact"/>
        <w:rPr>
          <w:sz w:val="20"/>
          <w:szCs w:val="20"/>
          <w:color w:val="auto"/>
        </w:rPr>
      </w:pPr>
    </w:p>
    <w:p>
      <w:pPr>
        <w:spacing w:after="0" w:line="349" w:lineRule="exact"/>
        <w:rPr>
          <w:sz w:val="20"/>
          <w:szCs w:val="20"/>
          <w:color w:val="auto"/>
        </w:rPr>
      </w:pPr>
    </w:p>
    <w:p>
      <w:pPr>
        <w:jc w:val="both"/>
        <w:ind w:left="5" w:firstLine="1496"/>
        <w:spacing w:after="0" w:line="256" w:lineRule="auto"/>
        <w:tabs>
          <w:tab w:leader="none" w:pos="1733" w:val="left"/>
        </w:tabs>
        <w:numPr>
          <w:ilvl w:val="2"/>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the foregoing, the Holder may, in its sole and absolute discretion, elect to exercise this Warrant into pre-funded warrants to purchase same number of Warrant Shares as to which this Warrant is being exercised in the form of a pre-funded warrant attached as </w:t>
      </w:r>
      <w:r>
        <w:rPr>
          <w:rFonts w:ascii="Times New Roman" w:cs="Times New Roman" w:eastAsia="Times New Roman" w:hAnsi="Times New Roman"/>
          <w:sz w:val="16"/>
          <w:szCs w:val="16"/>
          <w:u w:val="single" w:color="auto"/>
          <w:color w:val="auto"/>
        </w:rPr>
        <w:t>Exhibit D</w:t>
      </w:r>
      <w:r>
        <w:rPr>
          <w:rFonts w:ascii="Times New Roman" w:cs="Times New Roman" w:eastAsia="Times New Roman" w:hAnsi="Times New Roman"/>
          <w:sz w:val="16"/>
          <w:szCs w:val="16"/>
          <w:color w:val="auto"/>
        </w:rPr>
        <w:t xml:space="preserve"> hereto (a “</w:t>
      </w:r>
      <w:r>
        <w:rPr>
          <w:rFonts w:ascii="Times New Roman" w:cs="Times New Roman" w:eastAsia="Times New Roman" w:hAnsi="Times New Roman"/>
          <w:sz w:val="16"/>
          <w:szCs w:val="16"/>
          <w:b w:val="1"/>
          <w:bCs w:val="1"/>
          <w:color w:val="auto"/>
        </w:rPr>
        <w:t>Pre-Funded Warrant</w:t>
      </w:r>
      <w:r>
        <w:rPr>
          <w:rFonts w:ascii="Times New Roman" w:cs="Times New Roman" w:eastAsia="Times New Roman" w:hAnsi="Times New Roman"/>
          <w:sz w:val="16"/>
          <w:szCs w:val="16"/>
          <w:color w:val="auto"/>
        </w:rPr>
        <w:t>”) (as subject to adjustment hereunder), with an exercise price of $0.0001 per Common Share (the “</w:t>
      </w:r>
      <w:r>
        <w:rPr>
          <w:rFonts w:ascii="Times New Roman" w:cs="Times New Roman" w:eastAsia="Times New Roman" w:hAnsi="Times New Roman"/>
          <w:sz w:val="16"/>
          <w:szCs w:val="16"/>
          <w:b w:val="1"/>
          <w:bCs w:val="1"/>
          <w:color w:val="auto"/>
        </w:rPr>
        <w:t>Pre-Funded Warrant Exercise Price</w:t>
      </w:r>
      <w:r>
        <w:rPr>
          <w:rFonts w:ascii="Times New Roman" w:cs="Times New Roman" w:eastAsia="Times New Roman" w:hAnsi="Times New Roman"/>
          <w:sz w:val="16"/>
          <w:szCs w:val="16"/>
          <w:color w:val="auto"/>
        </w:rPr>
        <w:t>”). The purchase price of one Pre-Funded Warrant shall be the Exercise Price minus the Pre-Funded Warrant Exercise Price.</w:t>
      </w:r>
    </w:p>
    <w:p>
      <w:pPr>
        <w:spacing w:after="0" w:line="161" w:lineRule="exact"/>
        <w:rPr>
          <w:rFonts w:ascii="Times New Roman" w:cs="Times New Roman" w:eastAsia="Times New Roman" w:hAnsi="Times New Roman"/>
          <w:sz w:val="16"/>
          <w:szCs w:val="16"/>
          <w:color w:val="auto"/>
        </w:rPr>
      </w:pPr>
    </w:p>
    <w:p>
      <w:pPr>
        <w:jc w:val="both"/>
        <w:ind w:left="5" w:firstLine="745"/>
        <w:spacing w:after="0" w:line="275" w:lineRule="auto"/>
        <w:tabs>
          <w:tab w:leader="none" w:pos="970" w:val="left"/>
        </w:tabs>
        <w:numPr>
          <w:ilvl w:val="1"/>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Partial Exercise</w:t>
      </w:r>
      <w:r>
        <w:rPr>
          <w:rFonts w:ascii="Times New Roman" w:cs="Times New Roman" w:eastAsia="Times New Roman" w:hAnsi="Times New Roman"/>
          <w:sz w:val="15"/>
          <w:szCs w:val="15"/>
          <w:color w:val="auto"/>
        </w:rPr>
        <w:t>. This Warrant shall be exercisable, either in its entirety or, from time to time, for part of the number of Warrant Shares referenced by this Warrant. If this Warrant is submitted in connection with any exercise pursuant to Section 1 and the number of Warrant Shares represented by this Warrant submitted for exercise is greater than the actual number of Warrant Shares being acquired upon such an exercise and the Holder elects to receive a replacement Warrant, then the Company shall as soon as practicable and in no event later than ten (10) Business Days after any exercise and at its own expense, issue a new Warrant of like tenor representing the right to purchase the number of Warrant Shares purchasable immediately prior to such exercise under this Warrant, less the number of Warrant Shares with respect to which this Warrant is exercised.</w:t>
      </w:r>
    </w:p>
    <w:p>
      <w:pPr>
        <w:spacing w:after="0" w:line="147" w:lineRule="exact"/>
        <w:rPr>
          <w:rFonts w:ascii="Times New Roman" w:cs="Times New Roman" w:eastAsia="Times New Roman" w:hAnsi="Times New Roman"/>
          <w:sz w:val="15"/>
          <w:szCs w:val="15"/>
          <w:color w:val="auto"/>
        </w:rPr>
      </w:pPr>
    </w:p>
    <w:p>
      <w:pPr>
        <w:ind w:left="5" w:right="20" w:firstLine="745"/>
        <w:spacing w:after="0" w:line="276" w:lineRule="auto"/>
        <w:tabs>
          <w:tab w:leader="none" w:pos="979"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Disputes</w:t>
      </w:r>
      <w:r>
        <w:rPr>
          <w:rFonts w:ascii="Times New Roman" w:cs="Times New Roman" w:eastAsia="Times New Roman" w:hAnsi="Times New Roman"/>
          <w:sz w:val="16"/>
          <w:szCs w:val="16"/>
          <w:color w:val="auto"/>
        </w:rPr>
        <w:t>. In the case of a dispute as to the determination of the Exercise Price or the arithmetic calculation of the Warrant Shares, the Company shall promptly issue to the Holder the number of Warrant Shares that are not disputed and resolve such dispute in accordance with Section 16.</w:t>
      </w:r>
    </w:p>
    <w:p>
      <w:pPr>
        <w:spacing w:after="0" w:line="357" w:lineRule="exact"/>
        <w:rPr>
          <w:rFonts w:ascii="Times New Roman" w:cs="Times New Roman" w:eastAsia="Times New Roman" w:hAnsi="Times New Roman"/>
          <w:sz w:val="16"/>
          <w:szCs w:val="16"/>
          <w:color w:val="auto"/>
        </w:rPr>
      </w:pPr>
    </w:p>
    <w:p>
      <w:pPr>
        <w:ind w:left="525" w:hanging="525"/>
        <w:spacing w:after="0"/>
        <w:tabs>
          <w:tab w:leader="none" w:pos="52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ISSUANCE OF WARRANT SHARES</w:t>
      </w:r>
    </w:p>
    <w:p>
      <w:pPr>
        <w:spacing w:after="0" w:line="194" w:lineRule="exact"/>
        <w:rPr>
          <w:rFonts w:ascii="Times New Roman" w:cs="Times New Roman" w:eastAsia="Times New Roman" w:hAnsi="Times New Roman"/>
          <w:sz w:val="16"/>
          <w:szCs w:val="16"/>
          <w:color w:val="auto"/>
        </w:rPr>
      </w:pPr>
    </w:p>
    <w:p>
      <w:pPr>
        <w:jc w:val="both"/>
        <w:ind w:left="5" w:right="20" w:firstLine="745"/>
        <w:spacing w:after="0" w:line="261" w:lineRule="auto"/>
        <w:tabs>
          <w:tab w:leader="none" w:pos="986"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covenants that all Warrant Shares will, upon issuance in accordance with the terms of this Warrant, be (i) duly authorized, fully paid and non-assessable, and (ii) free from all liens, charges and security interests, with the exception of claims arising through the acts or omissions of any Holder and except as arising from applicable U.S. federal and state securities laws, or applicable Canadian provincial securities laws.</w:t>
      </w:r>
    </w:p>
    <w:p>
      <w:pPr>
        <w:spacing w:after="0" w:line="156" w:lineRule="exact"/>
        <w:rPr>
          <w:rFonts w:ascii="Times New Roman" w:cs="Times New Roman" w:eastAsia="Times New Roman" w:hAnsi="Times New Roman"/>
          <w:sz w:val="16"/>
          <w:szCs w:val="16"/>
          <w:color w:val="auto"/>
        </w:rPr>
      </w:pPr>
    </w:p>
    <w:p>
      <w:pPr>
        <w:jc w:val="both"/>
        <w:ind w:left="5" w:firstLine="745"/>
        <w:spacing w:after="0" w:line="261" w:lineRule="auto"/>
        <w:tabs>
          <w:tab w:leader="none" w:pos="984"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register this Warrant upon records to be maintained by the Company for that purpose in the name of the record Holder of such Warrant from time to time. The Company may deem and treat the record Holder of this Warrant as the absolute owner thereof for the purpose of any exercise thereof, any distribution to the Holder thereof and for all other purposes.</w:t>
      </w:r>
    </w:p>
    <w:p>
      <w:pPr>
        <w:spacing w:after="0" w:line="156" w:lineRule="exact"/>
        <w:rPr>
          <w:rFonts w:ascii="Times New Roman" w:cs="Times New Roman" w:eastAsia="Times New Roman" w:hAnsi="Times New Roman"/>
          <w:sz w:val="16"/>
          <w:szCs w:val="16"/>
          <w:color w:val="auto"/>
        </w:rPr>
      </w:pPr>
    </w:p>
    <w:p>
      <w:pPr>
        <w:jc w:val="both"/>
        <w:ind w:left="5" w:right="20" w:firstLine="745"/>
        <w:spacing w:after="0" w:line="256" w:lineRule="auto"/>
        <w:tabs>
          <w:tab w:leader="none" w:pos="1001"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not, by amendment of its certificate of incorporation, by-laws or through any reorganization, transfer of assets, consolidation, merger, amalgamation, arrangement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the taking of all action necessary or appropriate in order to protect the rights of the Holder to exercise this Warrant, or against impairment of such rights.</w:t>
      </w:r>
    </w:p>
    <w:p>
      <w:pPr>
        <w:spacing w:after="0" w:line="161" w:lineRule="exact"/>
        <w:rPr>
          <w:rFonts w:ascii="Times New Roman" w:cs="Times New Roman" w:eastAsia="Times New Roman" w:hAnsi="Times New Roman"/>
          <w:sz w:val="16"/>
          <w:szCs w:val="16"/>
          <w:color w:val="auto"/>
        </w:rPr>
      </w:pPr>
    </w:p>
    <w:p>
      <w:pPr>
        <w:ind w:left="225" w:hanging="225"/>
        <w:spacing w:after="0"/>
        <w:tabs>
          <w:tab w:leader="none" w:pos="22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ADJUSTMENTS OF EXERCISE PRICE, NUMBER AND TYPE OF WARRANT SHARES</w:t>
      </w:r>
    </w:p>
    <w:p>
      <w:pPr>
        <w:spacing w:after="0" w:line="194" w:lineRule="exact"/>
        <w:rPr>
          <w:rFonts w:ascii="Times New Roman" w:cs="Times New Roman" w:eastAsia="Times New Roman" w:hAnsi="Times New Roman"/>
          <w:sz w:val="16"/>
          <w:szCs w:val="16"/>
          <w:color w:val="auto"/>
        </w:rPr>
      </w:pPr>
    </w:p>
    <w:p>
      <w:pPr>
        <w:jc w:val="both"/>
        <w:ind w:left="5" w:right="20" w:firstLine="745"/>
        <w:spacing w:after="0" w:line="256" w:lineRule="auto"/>
        <w:tabs>
          <w:tab w:leader="none" w:pos="991"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Exercise Price and the number of Warrant Shares issuable upon the exercise of this Warrant shall be subject to adjustment from time to time upon the occurrence of certain events described in this Section 3. If the Company does not have the requisite number of authorized but unissued Common Shares to make any adjustment, then the Company shall, as soon as reasonably practicable, take all action necessary to increase the Company’s authorized Common Shares to an amount sufficient to allow the Company to have the requisite number of authorized Common Shares to allow for such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5"/>
        <w:spacing w:after="0"/>
        <w:rPr>
          <w:sz w:val="20"/>
          <w:szCs w:val="20"/>
          <w:color w:val="auto"/>
        </w:rPr>
      </w:pPr>
      <w:r>
        <w:rPr>
          <w:rFonts w:ascii="Times New Roman" w:cs="Times New Roman" w:eastAsia="Times New Roman" w:hAnsi="Times New Roman"/>
          <w:sz w:val="14"/>
          <w:szCs w:val="14"/>
          <w:color w:val="auto"/>
        </w:rPr>
        <w:t>DOCPROPERTY "CUS_DocIDChunk0" 76095631.1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508635</wp:posOffset>
            </wp:positionV>
            <wp:extent cx="717486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0" w:right="31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9"/>
          <w:szCs w:val="19"/>
          <w:b w:val="1"/>
          <w:bCs w:val="1"/>
          <w:color w:val="auto"/>
        </w:rPr>
        <w:t>Exhibit 4.3</w:t>
      </w:r>
    </w:p>
    <w:p>
      <w:pPr>
        <w:spacing w:after="0" w:line="360" w:lineRule="exact"/>
        <w:rPr>
          <w:sz w:val="20"/>
          <w:szCs w:val="20"/>
          <w:color w:val="auto"/>
        </w:rPr>
      </w:pPr>
    </w:p>
    <w:p>
      <w:pPr>
        <w:jc w:val="both"/>
        <w:ind w:left="160" w:hanging="1"/>
        <w:spacing w:after="0" w:line="252" w:lineRule="auto"/>
        <w:tabs>
          <w:tab w:leader="none" w:pos="372" w:val="left"/>
        </w:tabs>
        <w:numPr>
          <w:ilvl w:val="0"/>
          <w:numId w:val="54"/>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u w:val="single" w:color="auto"/>
          <w:color w:val="auto"/>
        </w:rPr>
        <w:t>Subdivision or Combination of Common Shares</w:t>
      </w:r>
      <w:r>
        <w:rPr>
          <w:rFonts w:ascii="Times New Roman" w:cs="Times New Roman" w:eastAsia="Times New Roman" w:hAnsi="Times New Roman"/>
          <w:sz w:val="16"/>
          <w:szCs w:val="16"/>
          <w:color w:val="auto"/>
        </w:rPr>
        <w:t>. In case the Company shall at any time subdivide (whether by way of stock dividend, stock split or otherwise) its outstanding Common Shares into a greater number of shares, the Exercise Price in effect immediately prior to such subdivision shall be proportionately reduced and the number of Warrant Shares shall be proportionately increased, and conversely, in case the outstanding Common Shares othe Company shall be combined (whether by way of stock combination, reverse stock split or otherwise) into a smaller number of shares, the Exercise Price in effect immediately prior to such combination shall be proportionately increased and the number of Warrant Shares shall be proportionately decreased. The Exercise Price and the Warrant Shares, as so adjusted, shall be readjusted in the same manner upon the happening of any successive event or events described in this Section 3(a)(i).</w:t>
      </w:r>
    </w:p>
    <w:p>
      <w:pPr>
        <w:spacing w:after="0" w:line="165" w:lineRule="exact"/>
        <w:rPr>
          <w:rFonts w:ascii="Times New Roman" w:cs="Times New Roman" w:eastAsia="Times New Roman" w:hAnsi="Times New Roman"/>
          <w:sz w:val="16"/>
          <w:szCs w:val="16"/>
          <w:u w:val="single" w:color="auto"/>
          <w:color w:val="auto"/>
        </w:rPr>
      </w:pPr>
    </w:p>
    <w:p>
      <w:pPr>
        <w:jc w:val="both"/>
        <w:ind w:left="160" w:hanging="1"/>
        <w:spacing w:after="0" w:line="250" w:lineRule="auto"/>
        <w:tabs>
          <w:tab w:leader="none" w:pos="412" w:val="left"/>
        </w:tabs>
        <w:numPr>
          <w:ilvl w:val="0"/>
          <w:numId w:val="54"/>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u w:val="single" w:color="auto"/>
          <w:color w:val="auto"/>
        </w:rPr>
        <w:t>Subsequent Rights Offerings</w:t>
      </w:r>
      <w:r>
        <w:rPr>
          <w:rFonts w:ascii="Times New Roman" w:cs="Times New Roman" w:eastAsia="Times New Roman" w:hAnsi="Times New Roman"/>
          <w:sz w:val="16"/>
          <w:szCs w:val="16"/>
          <w:color w:val="auto"/>
        </w:rPr>
        <w:t>. In addition to any adjustments pursuant to Section 3(a) above, if at any time the Company grants, issues or sells any Common Share Equivalents or rights to purchase stock, warrants, securities or other property pro rata to the record holders of any class of Common Shares (the “</w:t>
      </w:r>
      <w:r>
        <w:rPr>
          <w:rFonts w:ascii="Times New Roman" w:cs="Times New Roman" w:eastAsia="Times New Roman" w:hAnsi="Times New Roman"/>
          <w:sz w:val="16"/>
          <w:szCs w:val="16"/>
          <w:b w:val="1"/>
          <w:bCs w:val="1"/>
          <w:color w:val="auto"/>
        </w:rPr>
        <w:t>Purchase Rights</w:t>
      </w:r>
      <w:r>
        <w:rPr>
          <w:rFonts w:ascii="Times New Roman" w:cs="Times New Roman" w:eastAsia="Times New Roman" w:hAnsi="Times New Roman"/>
          <w:sz w:val="16"/>
          <w:szCs w:val="16"/>
          <w:color w:val="auto"/>
        </w:rPr>
        <w:t>”), then the Holder will be entitled to acquire, upon the terms applicable to such Purchase Rights, the aggregate Purchase Rights which the Holder could have acquired if the Holder had held the number of Common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Shares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Common Shares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64" w:lineRule="exact"/>
        <w:rPr>
          <w:rFonts w:ascii="Times New Roman" w:cs="Times New Roman" w:eastAsia="Times New Roman" w:hAnsi="Times New Roman"/>
          <w:sz w:val="16"/>
          <w:szCs w:val="16"/>
          <w:u w:val="single" w:color="auto"/>
          <w:color w:val="auto"/>
        </w:rPr>
      </w:pPr>
    </w:p>
    <w:p>
      <w:pPr>
        <w:jc w:val="both"/>
        <w:ind w:left="160" w:hanging="1"/>
        <w:spacing w:after="0" w:line="249" w:lineRule="auto"/>
        <w:tabs>
          <w:tab w:leader="none" w:pos="436" w:val="left"/>
        </w:tabs>
        <w:numPr>
          <w:ilvl w:val="0"/>
          <w:numId w:val="54"/>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u w:val="single" w:color="auto"/>
          <w:color w:val="auto"/>
        </w:rPr>
        <w:t>Pro Rata Distributions</w:t>
      </w:r>
      <w:r>
        <w:rPr>
          <w:rFonts w:ascii="Times New Roman" w:cs="Times New Roman" w:eastAsia="Times New Roman" w:hAnsi="Times New Roman"/>
          <w:sz w:val="16"/>
          <w:szCs w:val="16"/>
          <w:color w:val="auto"/>
        </w:rPr>
        <w:t>. During such time as this Warrant is outstanding, if the Company shall declare or make any dividend or other distribution of its assets (or rights to acquire its assets) to holders of Common Shares,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6"/>
          <w:szCs w:val="16"/>
          <w:b w:val="1"/>
          <w:bCs w:val="1"/>
          <w:color w:val="auto"/>
        </w:rPr>
        <w:t>Distribution</w:t>
      </w:r>
      <w:r>
        <w:rPr>
          <w:rFonts w:ascii="Times New Roman" w:cs="Times New Roman" w:eastAsia="Times New Roman" w:hAnsi="Times New Roman"/>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Common Shares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Common Shares are to be determined for the participation in such Distribution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Common Shares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"CUS_DocIDChunk0" 76095631.1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508635</wp:posOffset>
            </wp:positionV>
            <wp:extent cx="717486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680" w:right="31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9"/>
          <w:szCs w:val="19"/>
          <w:b w:val="1"/>
          <w:bCs w:val="1"/>
          <w:color w:val="auto"/>
        </w:rPr>
        <w:t>Exhibit 4.3</w:t>
      </w:r>
    </w:p>
    <w:p>
      <w:pPr>
        <w:spacing w:after="0" w:line="360" w:lineRule="exact"/>
        <w:rPr>
          <w:sz w:val="20"/>
          <w:szCs w:val="20"/>
          <w:color w:val="auto"/>
        </w:rPr>
      </w:pPr>
    </w:p>
    <w:p>
      <w:pPr>
        <w:jc w:val="both"/>
        <w:ind w:left="60" w:right="360" w:hanging="7"/>
        <w:spacing w:after="0" w:line="264" w:lineRule="auto"/>
        <w:tabs>
          <w:tab w:leader="none" w:pos="339" w:val="left"/>
        </w:tabs>
        <w:numPr>
          <w:ilvl w:val="0"/>
          <w:numId w:val="55"/>
        </w:numPr>
        <w:rPr>
          <w:rFonts w:ascii="Times New Roman" w:cs="Times New Roman" w:eastAsia="Times New Roman" w:hAnsi="Times New Roman"/>
          <w:sz w:val="15"/>
          <w:szCs w:val="15"/>
          <w:u w:val="single" w:color="auto"/>
          <w:color w:val="auto"/>
        </w:rPr>
      </w:pPr>
      <w:r>
        <w:rPr>
          <w:rFonts w:ascii="Times New Roman" w:cs="Times New Roman" w:eastAsia="Times New Roman" w:hAnsi="Times New Roman"/>
          <w:sz w:val="15"/>
          <w:szCs w:val="15"/>
          <w:u w:val="single" w:color="auto"/>
          <w:color w:val="auto"/>
        </w:rPr>
        <w:t>Fundamental Transaction</w:t>
      </w:r>
      <w:r>
        <w:rPr>
          <w:rFonts w:ascii="Times New Roman" w:cs="Times New Roman" w:eastAsia="Times New Roman" w:hAnsi="Times New Roman"/>
          <w:sz w:val="15"/>
          <w:szCs w:val="15"/>
          <w:color w:val="auto"/>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Shares are permitted to sell, tender or exchange their shares for other securities, cash or property and has been accepted by the holders of greater than 50% of the outstanding Common Shares or greater than 50% of the voting power of the common equity of the Company, (iv) the Company, directly or indirectly, in one or more related transactions effects any reclassification, reorganization or recapitalization of the Common Shares or any compulsory share exchange pursuant to which the Common Shares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Common Shares or greater than 50% of the voting power of the common equity of the Company (each a “Fundamental Transaction”),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on the exercise of this Warrant), the number of Common Shares of the successor or acquiring corporation or of the Company, if it is the surviving corporation, and any additional consideration (the “Alternate Consideration”) receivable as a result of such Fundamental Transaction by a holder of the number of Common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contemplated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(i) the Fundamental Transaction is not within the Company's control, including not approved by the Company's Board of Directors or (ii) the consideration issuable in such Fundamental Transaction is all stock or other securities consideration, then, in each case, the Holder, in connection with the Holder’s option to cause the Company or any Successor Entity to purchase this Warrant from the Holder, which option shall be exercisable at any time concurrently with, or within 30 days after, the consummation of the Fundamental Transaction (or, if later, the date of the public announcement of the applicable contemplated Fundamental Transaction), shall only be entitled to receive from the Company or any Successor Entity the same type or form of consideration (and in the same proportion), at the Black Scholes Value of the unexercised portion of this Warrant, that is being offered and paid to the holders of Common Shares of the Company in connection with the Fundamental Transaction, whether that consideration be in the form of cash, stock or any combination thereof, or whether the holders of Common Shares are given the choice to receive from among alternative forms of consideration in connection with the Fundamental Transaction; provided, further, that if holders of Common Shares of the Company are not offered or paid any consideration in such Fundamental Transaction, such holders of Common Shares will be deemed to have received common stock of the Successor Entity (which Successor Entity may be the Company following such Fundamental Transaction) in such Fundamental Transaction. “Black Scholes Value” means the value of this Warrant based on the Black Scholes Option Pricing Model obtained from the “OV” function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"CUS_DocIDChunk0" 76095631.1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508635</wp:posOffset>
            </wp:positionV>
            <wp:extent cx="717486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680" w:right="31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9"/>
          <w:szCs w:val="19"/>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120" w:right="340"/>
        <w:spacing w:after="0" w:line="248" w:lineRule="auto"/>
        <w:rPr>
          <w:sz w:val="20"/>
          <w:szCs w:val="20"/>
          <w:color w:val="auto"/>
        </w:rPr>
      </w:pPr>
      <w:r>
        <w:rPr>
          <w:rFonts w:ascii="Times New Roman" w:cs="Times New Roman" w:eastAsia="Times New Roman" w:hAnsi="Times New Roman"/>
          <w:sz w:val="16"/>
          <w:szCs w:val="16"/>
          <w:color w:val="auto"/>
        </w:rPr>
        <w:t>Bloomberg, L.P. (“Bloomberg”) determined as of the day of consummation of the applicable Fundamental Transaction for pricing purposes and reflecting (i) a risk-free interest rate corresponding to the U.S. Treasury rate for a period equal to the remaining term of this Warrant as of such date of request, (ii) an expected volatility equal to the remaining term of this Warrant obtained from the HVT function on Bloomberg as of the Trading Day immediately prior to the public announcement of the applicable Fundamental Transaction or, if the Fundamental Transaction is not publicly announced, the date the Fundamental Transaction is consummated, (iii) the underlying price per share used in such calculation shall be the greater of (A) the sum of the price per share being offered in cash, if any, plus the per share value of any non-cash consideration, if any, being offered in such Fundamental Transaction and (B) the greater of (x) the last weighted average price of the Common Shares immediately prior to the public announcement of such Fundamental Transaction and (y) the last weighted average price of the Common Shares immediately prior to the consummation of such Fundamental Transaction, (iv) a zero cost of borrow and (v) a 360 day annualization factor. The payment of the Black Scholes Value will be made by wire transfer of immediately available funds (or such other consideration) within the later of (i) five Business Days of the Holder’s election and (ii) the effective date of the Fundamental Transaction. The Company shall cause any successor entity in a Fundamental Transaction in which the Company is not the survivor (the “Successor Entity”) to assume in writing all of the obligations of the Company under this Warrant in accordance with the provisions of this Section 3(a)(iv)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745"/>
        <w:spacing w:after="0" w:line="254" w:lineRule="auto"/>
        <w:tabs>
          <w:tab w:leader="none" w:pos="985"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Certificate as to Adjustments</w:t>
      </w:r>
      <w:r>
        <w:rPr>
          <w:rFonts w:ascii="Times New Roman" w:cs="Times New Roman" w:eastAsia="Times New Roman" w:hAnsi="Times New Roman"/>
          <w:sz w:val="16"/>
          <w:szCs w:val="16"/>
          <w:color w:val="auto"/>
        </w:rPr>
        <w:t>. Upon the occurrence of each adjustment or readjustment pursuant to this Section 3, the Company at its expense shall promptly compute such adjustment or readjustment in accordance with the terms hereof and furnish to the Holder of this Warrant a certificate setting forth such adjustment or readjustment and showing in detail the facts upon which such adjustment or readjustment is based. The Company shall promptly furnish or cause to be furnished to such Holder a like certificate setting forth: (i) such adjustments and readjustments; and (ii) the number of shares and/or the amount, if any, of other securities, assets or property which at the time would be received upon the exercise of the Warrant.</w:t>
      </w:r>
    </w:p>
    <w:p>
      <w:pPr>
        <w:spacing w:after="0" w:line="161" w:lineRule="exact"/>
        <w:rPr>
          <w:rFonts w:ascii="Times New Roman" w:cs="Times New Roman" w:eastAsia="Times New Roman" w:hAnsi="Times New Roman"/>
          <w:sz w:val="16"/>
          <w:szCs w:val="16"/>
          <w:color w:val="auto"/>
        </w:rPr>
      </w:pPr>
    </w:p>
    <w:p>
      <w:pPr>
        <w:jc w:val="both"/>
        <w:ind w:right="20" w:firstLine="745"/>
        <w:spacing w:after="0" w:line="254" w:lineRule="auto"/>
        <w:tabs>
          <w:tab w:leader="none" w:pos="965"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Events</w:t>
      </w:r>
      <w:r>
        <w:rPr>
          <w:rFonts w:ascii="Times New Roman" w:cs="Times New Roman" w:eastAsia="Times New Roman" w:hAnsi="Times New Roman"/>
          <w:sz w:val="16"/>
          <w:szCs w:val="16"/>
          <w:color w:val="auto"/>
        </w:rPr>
        <w:t xml:space="preserve">. If any event occurs as to which the other provisions of this Section 3 are not strictly applicable but the lack of any adjustment would not fairly protect the purchase rights of the Holder under this Warrant in accordance with the basic intent and principles of such provisions, or if strictly applicable would not fairly protect the purchase rights of the Holder under this Warrant in accordance with the basic intent and principles of such provisions, then the Board of Directors will, in good faith, make an appropriate adjustment to protect the rights of the Holder,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such adjustment pursuant to this Section 3(c) will increase the Exercise Price or decrease the number of Warrant Shares except as determined pursuant to this Section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76095631.1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508635</wp:posOffset>
            </wp:positionV>
            <wp:extent cx="717486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46" w:name="page47"/>
    <w:bookmarkEnd w:id="46"/>
    <w:p>
      <w:pPr>
        <w:ind w:left="10385"/>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00" w:lineRule="exact"/>
        <w:rPr>
          <w:sz w:val="20"/>
          <w:szCs w:val="20"/>
          <w:color w:val="auto"/>
        </w:rPr>
      </w:pPr>
    </w:p>
    <w:p>
      <w:pPr>
        <w:spacing w:after="0" w:line="360" w:lineRule="exact"/>
        <w:rPr>
          <w:sz w:val="20"/>
          <w:szCs w:val="20"/>
          <w:color w:val="auto"/>
        </w:rPr>
      </w:pPr>
    </w:p>
    <w:p>
      <w:pPr>
        <w:ind w:left="605" w:hanging="605"/>
        <w:spacing w:after="0"/>
        <w:tabs>
          <w:tab w:leader="none" w:pos="605"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 ON EXERCISE</w:t>
      </w:r>
    </w:p>
    <w:p>
      <w:pPr>
        <w:spacing w:after="0" w:line="194" w:lineRule="exact"/>
        <w:rPr>
          <w:rFonts w:ascii="Times New Roman" w:cs="Times New Roman" w:eastAsia="Times New Roman" w:hAnsi="Times New Roman"/>
          <w:sz w:val="16"/>
          <w:szCs w:val="16"/>
          <w:color w:val="auto"/>
        </w:rPr>
      </w:pPr>
    </w:p>
    <w:p>
      <w:pPr>
        <w:jc w:val="both"/>
        <w:ind w:left="5" w:firstLine="745"/>
        <w:spacing w:after="0" w:line="250" w:lineRule="auto"/>
        <w:tabs>
          <w:tab w:leader="none" w:pos="987"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contained herein, the Company shall not effect any exercise of this Warrant, and the Holder shall not be entitled to exercise this Warrant for a number of Warrant Shares in excess of that number of Warrant Shares that, upon giving effect or immediately prior to such exercise, would cause (i) the aggregate number of Common Shares beneficially owned by the Holder, its Affiliates and any other Persons whose beneficial ownership of Common Shares would be aggregated with the Holder’s for purposes of Section 13(d) of the Exchange Act to exceed [4.99][9.99]% (the “Maximum Percentage”) of the total number of issued and outstanding Common Shares of the Company following such exercise, or (ii) the combined voting power of the securities of the Company beneficially owned by the Holder and its Affiliates and any other Persons whose beneficial ownership of Common Shares would be aggregated with the Holder’s for purposes of Section 13(d) of the Exchange Act to exceed [4.99][9.99]% of the combined voting power of all of the securities of the Company then outstanding following such exercise. For purposes of this Warrant, in determining the number of outstanding Common Shares, the Holder may rely on the number of outstanding Common Shares as reflected in (x) the Company’s most recent Form 10-Q or Form 10-K, as the case may be, filed with the Commission prior to the date hereof, (y) a more recent public announcement by the Company or (z) any other notice by the Company or its transfer agent setting forth the number of Common Shares outstanding. Upon the written request of the Holder, the Company shall within three (3) Trading Days confirm in writing or by electronic mail to the Holder the number of Common Shares then outstanding. In any case, the number of outstanding Common Shares shall be determined after giving effect to the conversion or exercise of securities of the Company, including this Warrant, by the Holder since the date as of which such number of outstanding Common Shares was reported. By written notice to the Company, the Holder may from time to time increase or decrease the Maximum Percentage to any other percentage specified in such notice; provided that such Maximum Percentage shall not exceed 9.99% (or upon the election of the Holder prior to the issuance of this Warrant, 19.99%); provided, further, that any such increase will not be effective until the sixty-first (61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day after such notice is delivered to the Company.</w:t>
      </w:r>
    </w:p>
    <w:p>
      <w:pPr>
        <w:spacing w:after="0" w:line="128" w:lineRule="exact"/>
        <w:rPr>
          <w:sz w:val="20"/>
          <w:szCs w:val="20"/>
          <w:color w:val="auto"/>
        </w:rPr>
      </w:pPr>
    </w:p>
    <w:p>
      <w:pPr>
        <w:jc w:val="both"/>
        <w:ind w:left="5"/>
        <w:spacing w:after="0" w:line="250" w:lineRule="auto"/>
        <w:rPr>
          <w:sz w:val="20"/>
          <w:szCs w:val="20"/>
          <w:color w:val="auto"/>
        </w:rPr>
      </w:pPr>
      <w:r>
        <w:rPr>
          <w:rFonts w:ascii="Times New Roman" w:cs="Times New Roman" w:eastAsia="Times New Roman" w:hAnsi="Times New Roman"/>
          <w:sz w:val="16"/>
          <w:szCs w:val="16"/>
          <w:color w:val="auto"/>
        </w:rPr>
        <w:t>For purposes of this Section 4(a), the aggregate number of Common Shares or voting securities beneficially owned by the Holder and its Affiliates and any other Persons whose beneficial ownership of Common Shares would be aggregated with the Holder’s for purposes of Section 13(d) of the Exchange Act shall include the Common Shares issuable upon the exercise of this Warrant with respect to which such determination is being made, but shall exclude the number of Common Shares that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that would entitle the holder thereof to acquire at any time Common Shares, including without limitation any debt, preferred stock, right, option, warrant or other instrument that is at any time convertible into or exercisable or exchangeable for, or otherwise entitles the holder thereof to receive, Common Shares), is subject to a limitation on conversion or exercise analogous to the limitation contained herein and is beneficially owned by the Holder or any of its Affiliates and other Persons whose beneficial ownership of Common Shares would be aggregated with the Holder’s for purposes of Section 13(d) of the Exchange Act.</w:t>
      </w:r>
    </w:p>
    <w:p>
      <w:pPr>
        <w:spacing w:after="0" w:line="167" w:lineRule="exact"/>
        <w:rPr>
          <w:sz w:val="20"/>
          <w:szCs w:val="20"/>
          <w:color w:val="auto"/>
        </w:rPr>
      </w:pPr>
    </w:p>
    <w:p>
      <w:pPr>
        <w:ind w:left="5" w:right="20" w:firstLine="745"/>
        <w:spacing w:after="0" w:line="276" w:lineRule="auto"/>
        <w:tabs>
          <w:tab w:leader="none" w:pos="989"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Section 4 shall not restrict the number of Common Shares that a Holder may receive or beneficially own in order to determine the amount of securities or other consideration that such Holder may receive in the event of a Fundamental Transaction as contemplated in Section 3(a)(iv) of this Warrant.</w:t>
      </w:r>
    </w:p>
    <w:p>
      <w:pPr>
        <w:spacing w:after="0" w:line="144" w:lineRule="exact"/>
        <w:rPr>
          <w:rFonts w:ascii="Times New Roman" w:cs="Times New Roman" w:eastAsia="Times New Roman" w:hAnsi="Times New Roman"/>
          <w:sz w:val="16"/>
          <w:szCs w:val="16"/>
          <w:color w:val="auto"/>
        </w:rPr>
      </w:pPr>
    </w:p>
    <w:p>
      <w:pPr>
        <w:ind w:left="265" w:hanging="265"/>
        <w:spacing w:after="0"/>
        <w:tabs>
          <w:tab w:leader="none" w:pos="265"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TRANSFERS AND EXCHANGES OF WARRANT AND WARRANT SHARES</w:t>
      </w:r>
    </w:p>
    <w:p>
      <w:pPr>
        <w:spacing w:after="0" w:line="194" w:lineRule="exact"/>
        <w:rPr>
          <w:rFonts w:ascii="Times New Roman" w:cs="Times New Roman" w:eastAsia="Times New Roman" w:hAnsi="Times New Roman"/>
          <w:sz w:val="16"/>
          <w:szCs w:val="16"/>
          <w:color w:val="auto"/>
        </w:rPr>
      </w:pPr>
    </w:p>
    <w:p>
      <w:pPr>
        <w:jc w:val="both"/>
        <w:ind w:left="5" w:firstLine="745"/>
        <w:spacing w:after="0" w:line="256" w:lineRule="auto"/>
        <w:tabs>
          <w:tab w:leader="none" w:pos="994"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of Transfers and Exchanges</w:t>
      </w:r>
      <w:r>
        <w:rPr>
          <w:rFonts w:ascii="Times New Roman" w:cs="Times New Roman" w:eastAsia="Times New Roman" w:hAnsi="Times New Roman"/>
          <w:sz w:val="16"/>
          <w:szCs w:val="16"/>
          <w:color w:val="auto"/>
        </w:rPr>
        <w:t xml:space="preserve">. Subject to Section 5(c), upon the Holder’s surrender of this Warrant, with a duly executed copy of the Form of Assignment attached as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to the Chief Financial Officer of the Company at its principal offices or at such other office or agency as the Company may specify in writing to the Holder, the Company shall register the transfer of all or any portion of this Warrant. Upon such registration of transfer, the Company shall issue a new Warrant, in substantially the form of this Warrant, evidencing the acquisition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5"/>
        <w:spacing w:after="0"/>
        <w:rPr>
          <w:sz w:val="20"/>
          <w:szCs w:val="20"/>
          <w:color w:val="auto"/>
        </w:rPr>
      </w:pPr>
      <w:r>
        <w:rPr>
          <w:rFonts w:ascii="Times New Roman" w:cs="Times New Roman" w:eastAsia="Times New Roman" w:hAnsi="Times New Roman"/>
          <w:sz w:val="14"/>
          <w:szCs w:val="14"/>
          <w:color w:val="auto"/>
        </w:rPr>
        <w:t>DOCPROPERTY "CUS_DocIDChunk0" 76095631.1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508635</wp:posOffset>
            </wp:positionV>
            <wp:extent cx="717486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0" w:right="31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9"/>
          <w:szCs w:val="19"/>
          <w:b w:val="1"/>
          <w:bCs w:val="1"/>
          <w:color w:val="auto"/>
        </w:rPr>
        <w:t>Exhibit 4.3</w:t>
      </w:r>
    </w:p>
    <w:p>
      <w:pPr>
        <w:spacing w:after="0" w:line="36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transferred to the transferee and a new Warrant, in similar form, evidencing the remaining acquisition rights, if any, not transferred, to the Holder requesting the transfer.</w:t>
      </w:r>
    </w:p>
    <w:p>
      <w:pPr>
        <w:spacing w:after="0" w:line="194" w:lineRule="exact"/>
        <w:rPr>
          <w:sz w:val="20"/>
          <w:szCs w:val="20"/>
          <w:color w:val="auto"/>
        </w:rPr>
      </w:pPr>
    </w:p>
    <w:p>
      <w:pPr>
        <w:jc w:val="both"/>
        <w:ind w:left="5" w:firstLine="745"/>
        <w:spacing w:after="0" w:line="254" w:lineRule="auto"/>
        <w:tabs>
          <w:tab w:leader="none" w:pos="991"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Warrant Exchangeable for Different Denominations</w:t>
      </w:r>
      <w:r>
        <w:rPr>
          <w:rFonts w:ascii="Times New Roman" w:cs="Times New Roman" w:eastAsia="Times New Roman" w:hAnsi="Times New Roman"/>
          <w:sz w:val="16"/>
          <w:szCs w:val="16"/>
          <w:color w:val="auto"/>
        </w:rPr>
        <w:t>. The Holder may exchange this Warrant for a new Warrant or Warrants, in substantially the form of this Warrant, evidencing in the aggregate the right to purchase the number of Warrant Shares which may then be purchased hereunder, each of such new Warrants to be dated the date of such exchange and to represent the right to purchase such number of Warrant Shares as shall be designated by the Holder. The Holder shall surrender this Warrant with duly executed instructions regarding such re-certification of this Warrant to the Chief Financial Officer of the Company at its principal offices or at such other office or agency as the Company may specify in writing to the Holder.</w:t>
      </w:r>
    </w:p>
    <w:p>
      <w:pPr>
        <w:spacing w:after="0" w:line="161" w:lineRule="exact"/>
        <w:rPr>
          <w:rFonts w:ascii="Times New Roman" w:cs="Times New Roman" w:eastAsia="Times New Roman" w:hAnsi="Times New Roman"/>
          <w:sz w:val="16"/>
          <w:szCs w:val="16"/>
          <w:color w:val="auto"/>
        </w:rPr>
      </w:pPr>
    </w:p>
    <w:p>
      <w:pPr>
        <w:jc w:val="both"/>
        <w:ind w:left="5" w:firstLine="745"/>
        <w:spacing w:after="0" w:line="254" w:lineRule="auto"/>
        <w:tabs>
          <w:tab w:leader="none" w:pos="970"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Transfers</w:t>
      </w:r>
      <w:r>
        <w:rPr>
          <w:rFonts w:ascii="Times New Roman" w:cs="Times New Roman" w:eastAsia="Times New Roman" w:hAnsi="Times New Roman"/>
          <w:sz w:val="16"/>
          <w:szCs w:val="16"/>
          <w:color w:val="auto"/>
        </w:rPr>
        <w:t>. This Warrant may not be transferred at any time without (i) registration under the Securities Act and all applicable state securities laws, or (ii) the availability of an exemption from such registration; provided, however, that no opinion of counsel shall be required in connection with any transfer effected pursuant to Rule 144, and the Company shall accept customary Rule 144 seller representations in lieu thereof; and, in the case of any other exemption, delivery to the Company of a written opinion of legal counsel addressed to the Company that the proposed transfer of the Warrant may be effected without registration under the Securities Act, which opinion shall be in form and substance reasonably satisfactory to the Company.</w:t>
      </w:r>
    </w:p>
    <w:p>
      <w:pPr>
        <w:spacing w:after="0" w:line="161" w:lineRule="exact"/>
        <w:rPr>
          <w:rFonts w:ascii="Times New Roman" w:cs="Times New Roman" w:eastAsia="Times New Roman" w:hAnsi="Times New Roman"/>
          <w:sz w:val="16"/>
          <w:szCs w:val="16"/>
          <w:color w:val="auto"/>
        </w:rPr>
      </w:pPr>
    </w:p>
    <w:p>
      <w:pPr>
        <w:jc w:val="both"/>
        <w:ind w:left="5" w:right="20" w:firstLine="745"/>
        <w:spacing w:after="0" w:line="279" w:lineRule="auto"/>
        <w:tabs>
          <w:tab w:leader="none" w:pos="979" w:val="left"/>
        </w:tabs>
        <w:numPr>
          <w:ilvl w:val="1"/>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Permitted Transfers and Assignments</w:t>
      </w:r>
      <w:r>
        <w:rPr>
          <w:rFonts w:ascii="Times New Roman" w:cs="Times New Roman" w:eastAsia="Times New Roman" w:hAnsi="Times New Roman"/>
          <w:sz w:val="15"/>
          <w:szCs w:val="15"/>
          <w:color w:val="auto"/>
        </w:rPr>
        <w:t xml:space="preserve">. Notwithstanding any provision to the contrary in this Section 5, the Holder may transfer, with or without consideration, this Warrant or any of the Warrant Shares (or a portion thereof) to the Holder’s Affiliates without obtaining the opinion from counsel that may be required by Section 5(c)(ii),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Holder delivers to the Company and its counsel certifications, documentation, and other assurances, acceptable to the Company, and reasonably required by the Holder’s counsel to enable the Holder’s counsel to render an opinion to the Company’s Transfer Agent that such transfer does not violate applicable U.S. federal securities laws</w:t>
      </w:r>
    </w:p>
    <w:p>
      <w:pPr>
        <w:spacing w:after="0" w:line="167" w:lineRule="exact"/>
        <w:rPr>
          <w:rFonts w:ascii="Times New Roman" w:cs="Times New Roman" w:eastAsia="Times New Roman" w:hAnsi="Times New Roman"/>
          <w:sz w:val="15"/>
          <w:szCs w:val="15"/>
          <w:color w:val="auto"/>
        </w:rPr>
      </w:pPr>
    </w:p>
    <w:p>
      <w:pPr>
        <w:ind w:left="845" w:hanging="845"/>
        <w:spacing w:after="0"/>
        <w:tabs>
          <w:tab w:leader="none" w:pos="845"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MUTILATED OR MISSING WARRANT CERTIFICATE</w:t>
      </w:r>
    </w:p>
    <w:p>
      <w:pPr>
        <w:spacing w:after="0" w:line="194" w:lineRule="exact"/>
        <w:rPr>
          <w:sz w:val="20"/>
          <w:szCs w:val="20"/>
          <w:color w:val="auto"/>
        </w:rPr>
      </w:pPr>
    </w:p>
    <w:p>
      <w:pPr>
        <w:jc w:val="both"/>
        <w:ind w:left="5" w:right="20" w:firstLine="751"/>
        <w:spacing w:after="0" w:line="256" w:lineRule="auto"/>
        <w:rPr>
          <w:sz w:val="20"/>
          <w:szCs w:val="20"/>
          <w:color w:val="auto"/>
        </w:rPr>
      </w:pPr>
      <w:r>
        <w:rPr>
          <w:rFonts w:ascii="Times New Roman" w:cs="Times New Roman" w:eastAsia="Times New Roman" w:hAnsi="Times New Roman"/>
          <w:sz w:val="16"/>
          <w:szCs w:val="16"/>
          <w:color w:val="auto"/>
        </w:rPr>
        <w:t xml:space="preserve">If this Warrant is mutilated, lost, stolen or destroyed, upon request by the Holder, the Company will, at the Holder’s expense, issue, in exchange for and upon cancellation of the mutilated Warrant, or in substitution for the lost, stolen or destroyed Warrant, a new Warrant, in substantially the form of this Warrant, representing the right to acquire the equivalent number of Warrant Shares;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as a prerequisite to the issuance of a substitute Warrant, the Company may require satisfactory evidence of loss, theft or destruction as well as an indemnity from the Holder of a lost, stolen or destroyed Warrant.</w:t>
      </w:r>
    </w:p>
    <w:p>
      <w:pPr>
        <w:spacing w:after="0" w:line="161" w:lineRule="exact"/>
        <w:rPr>
          <w:sz w:val="20"/>
          <w:szCs w:val="20"/>
          <w:color w:val="auto"/>
        </w:rPr>
      </w:pPr>
    </w:p>
    <w:p>
      <w:pPr>
        <w:ind w:left="805" w:hanging="805"/>
        <w:spacing w:after="0"/>
        <w:tabs>
          <w:tab w:leader="none" w:pos="805"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OF TAXES</w:t>
      </w:r>
    </w:p>
    <w:p>
      <w:pPr>
        <w:spacing w:after="0" w:line="194" w:lineRule="exact"/>
        <w:rPr>
          <w:sz w:val="20"/>
          <w:szCs w:val="20"/>
          <w:color w:val="auto"/>
        </w:rPr>
      </w:pPr>
    </w:p>
    <w:p>
      <w:pPr>
        <w:jc w:val="both"/>
        <w:ind w:left="5" w:firstLine="751"/>
        <w:spacing w:after="0" w:line="261" w:lineRule="auto"/>
        <w:rPr>
          <w:sz w:val="20"/>
          <w:szCs w:val="20"/>
          <w:color w:val="auto"/>
        </w:rPr>
      </w:pPr>
      <w:r>
        <w:rPr>
          <w:rFonts w:ascii="Times New Roman" w:cs="Times New Roman" w:eastAsia="Times New Roman" w:hAnsi="Times New Roman"/>
          <w:sz w:val="16"/>
          <w:szCs w:val="16"/>
          <w:color w:val="auto"/>
        </w:rPr>
        <w:t xml:space="preserve">The Company will pay all transfer and stock issuance taxes attributable to the preparation, issuance and delivery of this Warrant and the Warrant Shares including, without limitation, all documentary and stamp taxes;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Company shall not be required to pay any tax in respect of the transfer of this Warrant, or the issuance or delivery of certificates for Warrant Shares or other securities in respect of the Warrant Shares to any person or entity other than to the Holder.</w:t>
      </w:r>
    </w:p>
    <w:p>
      <w:pPr>
        <w:spacing w:after="0" w:line="157" w:lineRule="exact"/>
        <w:rPr>
          <w:sz w:val="20"/>
          <w:szCs w:val="20"/>
          <w:color w:val="auto"/>
        </w:rPr>
      </w:pPr>
    </w:p>
    <w:p>
      <w:pPr>
        <w:ind w:left="685" w:hanging="685"/>
        <w:spacing w:after="0"/>
        <w:tabs>
          <w:tab w:leader="none" w:pos="685"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FRACTIONAL WARRANT SHARES</w:t>
      </w:r>
    </w:p>
    <w:p>
      <w:pPr>
        <w:spacing w:after="0" w:line="194" w:lineRule="exact"/>
        <w:rPr>
          <w:sz w:val="20"/>
          <w:szCs w:val="20"/>
          <w:color w:val="auto"/>
        </w:rPr>
      </w:pPr>
    </w:p>
    <w:p>
      <w:pPr>
        <w:ind w:left="5" w:firstLine="751"/>
        <w:spacing w:after="0" w:line="276" w:lineRule="auto"/>
        <w:rPr>
          <w:sz w:val="20"/>
          <w:szCs w:val="20"/>
          <w:color w:val="auto"/>
        </w:rPr>
      </w:pPr>
      <w:r>
        <w:rPr>
          <w:rFonts w:ascii="Times New Roman" w:cs="Times New Roman" w:eastAsia="Times New Roman" w:hAnsi="Times New Roman"/>
          <w:sz w:val="16"/>
          <w:szCs w:val="16"/>
          <w:color w:val="auto"/>
        </w:rPr>
        <w:t>No fractional Warrant Shares shall be issued upon exercise of this Warrant. The Company, in lieu of issuing any fractional Warrant Share, shall round up the number of Warrant Shares issuable to nearest whole share.</w:t>
      </w:r>
    </w:p>
    <w:p>
      <w:pPr>
        <w:spacing w:after="0" w:line="145" w:lineRule="exact"/>
        <w:rPr>
          <w:sz w:val="20"/>
          <w:szCs w:val="20"/>
          <w:color w:val="auto"/>
        </w:rPr>
      </w:pPr>
    </w:p>
    <w:p>
      <w:pPr>
        <w:ind w:left="605" w:hanging="605"/>
        <w:spacing w:after="0"/>
        <w:tabs>
          <w:tab w:leader="none" w:pos="605"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SHAREHOLDER RIGHTS; LEGEND</w:t>
      </w:r>
    </w:p>
    <w:p>
      <w:pPr>
        <w:spacing w:after="0" w:line="194" w:lineRule="exact"/>
        <w:rPr>
          <w:sz w:val="20"/>
          <w:szCs w:val="20"/>
          <w:color w:val="auto"/>
        </w:rPr>
      </w:pPr>
    </w:p>
    <w:p>
      <w:pPr>
        <w:ind w:left="5" w:firstLine="751"/>
        <w:spacing w:after="0" w:line="276" w:lineRule="auto"/>
        <w:rPr>
          <w:sz w:val="20"/>
          <w:szCs w:val="20"/>
          <w:color w:val="auto"/>
        </w:rPr>
      </w:pPr>
      <w:r>
        <w:rPr>
          <w:rFonts w:ascii="Times New Roman" w:cs="Times New Roman" w:eastAsia="Times New Roman" w:hAnsi="Times New Roman"/>
          <w:sz w:val="16"/>
          <w:szCs w:val="16"/>
          <w:color w:val="auto"/>
        </w:rPr>
        <w:t>No holder of this Warrant, as such, shall be entitled to vote or be deemed the holder of Common Shares or any other securities of the Company that may at any time be issuable on the exercise hereof, nor shall anything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5"/>
        <w:spacing w:after="0"/>
        <w:rPr>
          <w:sz w:val="20"/>
          <w:szCs w:val="20"/>
          <w:color w:val="auto"/>
        </w:rPr>
      </w:pPr>
      <w:r>
        <w:rPr>
          <w:rFonts w:ascii="Times New Roman" w:cs="Times New Roman" w:eastAsia="Times New Roman" w:hAnsi="Times New Roman"/>
          <w:sz w:val="14"/>
          <w:szCs w:val="14"/>
          <w:color w:val="auto"/>
        </w:rPr>
        <w:t>DOCPROPERTY "CUS_DocIDChunk0" 76095631.1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508635</wp:posOffset>
            </wp:positionV>
            <wp:extent cx="717486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0" w:right="31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9"/>
          <w:szCs w:val="19"/>
          <w:b w:val="1"/>
          <w:bCs w:val="1"/>
          <w:color w:val="auto"/>
        </w:rPr>
        <w:t>Exhibit 4.3</w:t>
      </w:r>
    </w:p>
    <w:p>
      <w:pPr>
        <w:spacing w:after="0" w:line="360" w:lineRule="exact"/>
        <w:rPr>
          <w:sz w:val="20"/>
          <w:szCs w:val="20"/>
          <w:color w:val="auto"/>
        </w:rPr>
      </w:pPr>
    </w:p>
    <w:p>
      <w:pPr>
        <w:jc w:val="both"/>
        <w:ind w:left="5" w:right="20"/>
        <w:spacing w:after="0" w:line="261" w:lineRule="auto"/>
        <w:rPr>
          <w:sz w:val="20"/>
          <w:szCs w:val="20"/>
          <w:color w:val="auto"/>
        </w:rPr>
      </w:pPr>
      <w:r>
        <w:rPr>
          <w:rFonts w:ascii="Times New Roman" w:cs="Times New Roman" w:eastAsia="Times New Roman" w:hAnsi="Times New Roman"/>
          <w:sz w:val="16"/>
          <w:szCs w:val="16"/>
          <w:color w:val="auto"/>
        </w:rPr>
        <w:t>contained herein be construed to confer upon the holder of this Warrant, as such, the rights of a shareholder of the Company or the right to vote for the election of directors or upon any matter submitted to shareholders at any meeting thereof, or give or withhold consent to any corporate action or to receive notice of meetings or other actions affecting shareholders (except as provided herein), or to receive dividends or subscription rights or otherwise (except as provide herein).</w:t>
      </w:r>
    </w:p>
    <w:p>
      <w:pPr>
        <w:spacing w:after="0" w:line="157" w:lineRule="exact"/>
        <w:rPr>
          <w:sz w:val="20"/>
          <w:szCs w:val="20"/>
          <w:color w:val="auto"/>
        </w:rPr>
      </w:pPr>
    </w:p>
    <w:p>
      <w:pPr>
        <w:jc w:val="both"/>
        <w:ind w:left="5" w:right="20" w:firstLine="751"/>
        <w:spacing w:after="0" w:line="276" w:lineRule="auto"/>
        <w:rPr>
          <w:sz w:val="20"/>
          <w:szCs w:val="20"/>
          <w:color w:val="auto"/>
        </w:rPr>
      </w:pPr>
      <w:r>
        <w:rPr>
          <w:rFonts w:ascii="Times New Roman" w:cs="Times New Roman" w:eastAsia="Times New Roman" w:hAnsi="Times New Roman"/>
          <w:sz w:val="16"/>
          <w:szCs w:val="16"/>
          <w:color w:val="auto"/>
        </w:rPr>
        <w:t>Each certificate or DRS Statement for Warrant Shares initially issued upon the exercise of this Warrant, and each certificate or DRS Statement for Warrant Shares issued to any subsequent transferee of any such certificate or DRS Statement, shall be stamped or otherwise imprinted with a legend in substantially the following form:</w:t>
      </w:r>
    </w:p>
    <w:p>
      <w:pPr>
        <w:spacing w:after="0" w:line="145" w:lineRule="exact"/>
        <w:rPr>
          <w:sz w:val="20"/>
          <w:szCs w:val="20"/>
          <w:color w:val="auto"/>
        </w:rPr>
      </w:pPr>
    </w:p>
    <w:p>
      <w:pPr>
        <w:jc w:val="both"/>
        <w:ind w:left="5" w:firstLine="751"/>
        <w:spacing w:after="0" w:line="251" w:lineRule="auto"/>
        <w:rPr>
          <w:sz w:val="20"/>
          <w:szCs w:val="20"/>
          <w:color w:val="auto"/>
        </w:rPr>
      </w:pPr>
      <w:r>
        <w:rPr>
          <w:rFonts w:ascii="Times New Roman" w:cs="Times New Roman" w:eastAsia="Times New Roman" w:hAnsi="Times New Roman"/>
          <w:sz w:val="16"/>
          <w:szCs w:val="16"/>
          <w:color w:val="auto"/>
        </w:rPr>
        <w:t>“THE SECURITIES REPRESENTED HEREBY [AND THE SECURITIES ISSUABLE UPON THE EXERCISE OF THESE SECURITIES] HAVE NOT BEEN REGISTERED UNDER THE U.S. SECURITIES ACT OF 1933, AS AMENDED (THE “SECURITIES ACT”), OR ANY STATE SECURITIES LAWS, AND SUCH SECURITIES MAY NOT BE OFFERED, SOLD, PLEDGED OR OTHERWISE TRANSFERRED UNLESS (1) A REGISTRATION STATEMENT WITH RESPECT THERETO IS EFFECTIVE UNDER THE SECURITIES ACT AND ANY APPLICABLE STATE SECURITIES LAWS, OR (2) AN EXEMPTION FROM SUCH REGISTRATION REQUIREMENTS IS AVAILABLE AND THE COMPANY RECEIVES AN OPINION OF COUNSEL TO THE HOLDER OF SUCH SECURITIES, WHICH COUNSEL AND OPINION ARE SATISFACTORY TO THE COMPANY, THAT SUCH SECURITIES MAY BE OFFERED, SOLD, PLEDGED, OR OTHERWISE TRANSFERRED IN THE MANNER CONTEMPLATED WITHOUT AN EFFECTIVE REGISTRATION STATEMENT UNDER THE SECURITIES ACT OR APPLICABLE STATE SECURITIES LAWS.</w:t>
      </w:r>
    </w:p>
    <w:p>
      <w:pPr>
        <w:spacing w:after="0" w:line="16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foregoing legends shall be removed pursuant to the terms and conditions set forth in the Registration Rights Agreement.</w:t>
      </w:r>
    </w:p>
    <w:p>
      <w:pPr>
        <w:spacing w:after="0" w:line="194" w:lineRule="exact"/>
        <w:rPr>
          <w:sz w:val="20"/>
          <w:szCs w:val="20"/>
          <w:color w:val="auto"/>
        </w:rPr>
      </w:pPr>
    </w:p>
    <w:p>
      <w:pPr>
        <w:ind w:left="1145" w:hanging="1145"/>
        <w:spacing w:after="0"/>
        <w:tabs>
          <w:tab w:leader="none" w:pos="1145"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RIGHTS</w:t>
      </w:r>
    </w:p>
    <w:p>
      <w:pPr>
        <w:spacing w:after="0" w:line="194" w:lineRule="exact"/>
        <w:rPr>
          <w:sz w:val="20"/>
          <w:szCs w:val="20"/>
          <w:color w:val="auto"/>
        </w:rPr>
      </w:pPr>
    </w:p>
    <w:p>
      <w:pPr>
        <w:jc w:val="both"/>
        <w:ind w:left="5" w:right="20" w:firstLine="751"/>
        <w:spacing w:after="0" w:line="276" w:lineRule="auto"/>
        <w:rPr>
          <w:sz w:val="20"/>
          <w:szCs w:val="20"/>
          <w:color w:val="auto"/>
        </w:rPr>
      </w:pPr>
      <w:r>
        <w:rPr>
          <w:rFonts w:ascii="Times New Roman" w:cs="Times New Roman" w:eastAsia="Times New Roman" w:hAnsi="Times New Roman"/>
          <w:sz w:val="16"/>
          <w:szCs w:val="16"/>
          <w:color w:val="auto"/>
        </w:rPr>
        <w:t>The Holder shall be entitled to the registration rights as are contained in the Registration Rights Agreement with respect to the Warrant Shares, the provisions of which are deemed incorporated herein by reference.</w:t>
      </w:r>
    </w:p>
    <w:p>
      <w:pPr>
        <w:spacing w:after="0" w:line="145" w:lineRule="exact"/>
        <w:rPr>
          <w:sz w:val="20"/>
          <w:szCs w:val="20"/>
          <w:color w:val="auto"/>
        </w:rPr>
      </w:pPr>
    </w:p>
    <w:p>
      <w:pPr>
        <w:ind w:left="5"/>
        <w:spacing w:after="0"/>
        <w:tabs>
          <w:tab w:leader="none" w:pos="2305"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NOTICES</w:t>
      </w:r>
    </w:p>
    <w:p>
      <w:pPr>
        <w:spacing w:after="0" w:line="194" w:lineRule="exact"/>
        <w:rPr>
          <w:sz w:val="20"/>
          <w:szCs w:val="20"/>
          <w:color w:val="auto"/>
        </w:rPr>
      </w:pPr>
    </w:p>
    <w:p>
      <w:pPr>
        <w:jc w:val="both"/>
        <w:ind w:left="5" w:firstLine="751"/>
        <w:spacing w:after="0" w:line="252" w:lineRule="auto"/>
        <w:rPr>
          <w:sz w:val="20"/>
          <w:szCs w:val="20"/>
          <w:color w:val="auto"/>
        </w:rPr>
      </w:pPr>
      <w:r>
        <w:rPr>
          <w:rFonts w:ascii="Times New Roman" w:cs="Times New Roman" w:eastAsia="Times New Roman" w:hAnsi="Times New Roman"/>
          <w:sz w:val="16"/>
          <w:szCs w:val="16"/>
          <w:color w:val="auto"/>
        </w:rPr>
        <w:t>All notices, consents, waivers, and other communications under this Warrant must be in writing and will be deemed given to a party when (a) delivered to the appropriate address by hand or by nationally recognized overnight courier service (costs prepaid), (b) sent by facsimile with confirmation of transmission by the transmitting equipment, (c) sent by email so long as the sender does not receive an automated message by the transmitting equipment that the email was rejected or (d) received or rejected by the addressee, if sent by certified mail, return receipt requested, if to the registered Holder hereof; to the Holder at the address, facsimile number, or e-mail address furnished by the registered Holder to the Company in accordance with the Purchase Agreement or if to the Company, to Mark Rosenblum at mrosenblum@decoytx.com; copy to Annie Yan at ayan@decoytx.com (or to such other address, facsimile number, or e-mail address as the Holder or the Company may designate by notice the other party).</w:t>
      </w:r>
    </w:p>
    <w:p>
      <w:pPr>
        <w:spacing w:after="0" w:line="165" w:lineRule="exact"/>
        <w:rPr>
          <w:sz w:val="20"/>
          <w:szCs w:val="20"/>
          <w:color w:val="auto"/>
        </w:rPr>
      </w:pPr>
    </w:p>
    <w:p>
      <w:pPr>
        <w:ind w:left="1385" w:hanging="1385"/>
        <w:spacing w:after="0"/>
        <w:tabs>
          <w:tab w:leader="none" w:pos="1385"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SEVERABILITY</w:t>
      </w:r>
    </w:p>
    <w:p>
      <w:pPr>
        <w:spacing w:after="0" w:line="194" w:lineRule="exact"/>
        <w:rPr>
          <w:sz w:val="20"/>
          <w:szCs w:val="20"/>
          <w:color w:val="auto"/>
        </w:rPr>
      </w:pPr>
    </w:p>
    <w:p>
      <w:pPr>
        <w:ind w:left="5" w:right="20" w:firstLine="751"/>
        <w:spacing w:after="0" w:line="276" w:lineRule="auto"/>
        <w:rPr>
          <w:sz w:val="20"/>
          <w:szCs w:val="20"/>
          <w:color w:val="auto"/>
        </w:rPr>
      </w:pPr>
      <w:r>
        <w:rPr>
          <w:rFonts w:ascii="Times New Roman" w:cs="Times New Roman" w:eastAsia="Times New Roman" w:hAnsi="Times New Roman"/>
          <w:sz w:val="16"/>
          <w:szCs w:val="16"/>
          <w:color w:val="auto"/>
        </w:rPr>
        <w:t>If a court of competent jurisdiction holds any provision of this Warrant invalid or unenforceable, the other provisions of this Warrant will remain in full force and effect. Any provision of this Warrant held invalid or unenforceable only in part or degree will remain in full force and effect to the extent not held invalid or unenforceable.</w:t>
      </w:r>
    </w:p>
    <w:p>
      <w:pPr>
        <w:spacing w:after="0" w:line="145" w:lineRule="exact"/>
        <w:rPr>
          <w:sz w:val="20"/>
          <w:szCs w:val="20"/>
          <w:color w:val="auto"/>
        </w:rPr>
      </w:pPr>
    </w:p>
    <w:p>
      <w:pPr>
        <w:ind w:left="1425" w:hanging="1425"/>
        <w:spacing w:after="0"/>
        <w:tabs>
          <w:tab w:leader="none" w:pos="1425"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BINDING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5"/>
        <w:spacing w:after="0"/>
        <w:rPr>
          <w:sz w:val="20"/>
          <w:szCs w:val="20"/>
          <w:color w:val="auto"/>
        </w:rPr>
      </w:pPr>
      <w:r>
        <w:rPr>
          <w:rFonts w:ascii="Times New Roman" w:cs="Times New Roman" w:eastAsia="Times New Roman" w:hAnsi="Times New Roman"/>
          <w:sz w:val="14"/>
          <w:szCs w:val="14"/>
          <w:color w:val="auto"/>
        </w:rPr>
        <w:t>DOCPROPERTY "CUS_DocIDChunk0" 76095631.1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508635</wp:posOffset>
            </wp:positionV>
            <wp:extent cx="717486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0" w:right="31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9"/>
          <w:szCs w:val="19"/>
          <w:b w:val="1"/>
          <w:bCs w:val="1"/>
          <w:color w:val="auto"/>
        </w:rPr>
        <w:t>Exhibit 4.3</w:t>
      </w:r>
    </w:p>
    <w:p>
      <w:pPr>
        <w:spacing w:after="0" w:line="360" w:lineRule="exact"/>
        <w:rPr>
          <w:sz w:val="20"/>
          <w:szCs w:val="20"/>
          <w:color w:val="auto"/>
        </w:rPr>
      </w:pPr>
    </w:p>
    <w:p>
      <w:pPr>
        <w:jc w:val="both"/>
        <w:ind w:left="5" w:right="20" w:firstLine="751"/>
        <w:spacing w:after="0" w:line="276" w:lineRule="auto"/>
        <w:rPr>
          <w:sz w:val="20"/>
          <w:szCs w:val="20"/>
          <w:color w:val="auto"/>
        </w:rPr>
      </w:pPr>
      <w:r>
        <w:rPr>
          <w:rFonts w:ascii="Times New Roman" w:cs="Times New Roman" w:eastAsia="Times New Roman" w:hAnsi="Times New Roman"/>
          <w:sz w:val="16"/>
          <w:szCs w:val="16"/>
          <w:color w:val="auto"/>
        </w:rPr>
        <w:t>This Warrant shall be binding upon and inure to the sole and exclusive benefit of the Company, its successors and assigns, the registered Holder or Holders from time to time of this Warrant.</w:t>
      </w:r>
    </w:p>
    <w:p>
      <w:pPr>
        <w:spacing w:after="0" w:line="145" w:lineRule="exact"/>
        <w:rPr>
          <w:sz w:val="20"/>
          <w:szCs w:val="20"/>
          <w:color w:val="auto"/>
        </w:rPr>
      </w:pPr>
    </w:p>
    <w:p>
      <w:pPr>
        <w:ind w:left="785" w:hanging="785"/>
        <w:spacing w:after="0"/>
        <w:tabs>
          <w:tab w:leader="none" w:pos="785"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SURVIVAL OF RIGHTS AND DUTIES</w:t>
      </w:r>
    </w:p>
    <w:p>
      <w:pPr>
        <w:spacing w:after="0" w:line="194" w:lineRule="exact"/>
        <w:rPr>
          <w:sz w:val="20"/>
          <w:szCs w:val="20"/>
          <w:color w:val="auto"/>
        </w:rPr>
      </w:pPr>
    </w:p>
    <w:p>
      <w:pPr>
        <w:ind w:left="5" w:right="20" w:firstLine="751"/>
        <w:spacing w:after="0" w:line="276" w:lineRule="auto"/>
        <w:rPr>
          <w:sz w:val="20"/>
          <w:szCs w:val="20"/>
          <w:color w:val="auto"/>
        </w:rPr>
      </w:pPr>
      <w:r>
        <w:rPr>
          <w:rFonts w:ascii="Times New Roman" w:cs="Times New Roman" w:eastAsia="Times New Roman" w:hAnsi="Times New Roman"/>
          <w:sz w:val="16"/>
          <w:szCs w:val="16"/>
          <w:color w:val="auto"/>
        </w:rPr>
        <w:t>This Warrant shall terminate and be of no further force and effect on the earlier of 5:00 P.M., Eastern Time, on the Expiration Date or the date on which this Warrant has been exercised in full.</w:t>
      </w:r>
    </w:p>
    <w:p>
      <w:pPr>
        <w:spacing w:after="0" w:line="145" w:lineRule="exact"/>
        <w:rPr>
          <w:sz w:val="20"/>
          <w:szCs w:val="20"/>
          <w:color w:val="auto"/>
        </w:rPr>
      </w:pPr>
    </w:p>
    <w:p>
      <w:pPr>
        <w:ind w:left="1445" w:hanging="1445"/>
        <w:spacing w:after="0"/>
        <w:tabs>
          <w:tab w:leader="none" w:pos="1445"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GOVERNING LAW</w:t>
      </w:r>
    </w:p>
    <w:p>
      <w:pPr>
        <w:spacing w:after="0" w:line="194" w:lineRule="exact"/>
        <w:rPr>
          <w:sz w:val="20"/>
          <w:szCs w:val="20"/>
          <w:color w:val="auto"/>
        </w:rPr>
      </w:pPr>
    </w:p>
    <w:p>
      <w:pPr>
        <w:ind w:left="5" w:right="20" w:firstLine="751"/>
        <w:spacing w:after="0" w:line="276" w:lineRule="auto"/>
        <w:rPr>
          <w:sz w:val="20"/>
          <w:szCs w:val="20"/>
          <w:color w:val="auto"/>
        </w:rPr>
      </w:pPr>
      <w:r>
        <w:rPr>
          <w:rFonts w:ascii="Times New Roman" w:cs="Times New Roman" w:eastAsia="Times New Roman" w:hAnsi="Times New Roman"/>
          <w:sz w:val="16"/>
          <w:szCs w:val="16"/>
          <w:color w:val="auto"/>
        </w:rPr>
        <w:t>This Warrant will be governed by and construed under the laws of the State of New York without regard to conflicts of laws principles that would require the application of any other law.</w:t>
      </w:r>
    </w:p>
    <w:p>
      <w:pPr>
        <w:spacing w:after="0" w:line="145" w:lineRule="exact"/>
        <w:rPr>
          <w:sz w:val="20"/>
          <w:szCs w:val="20"/>
          <w:color w:val="auto"/>
        </w:rPr>
      </w:pPr>
    </w:p>
    <w:p>
      <w:pPr>
        <w:ind w:left="1185" w:hanging="1185"/>
        <w:spacing w:after="0"/>
        <w:tabs>
          <w:tab w:leader="none" w:pos="1185"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DISPUTE RESOLUTION</w:t>
      </w:r>
    </w:p>
    <w:p>
      <w:pPr>
        <w:spacing w:after="0" w:line="194" w:lineRule="exact"/>
        <w:rPr>
          <w:sz w:val="20"/>
          <w:szCs w:val="20"/>
          <w:color w:val="auto"/>
        </w:rPr>
      </w:pPr>
    </w:p>
    <w:p>
      <w:pPr>
        <w:jc w:val="both"/>
        <w:ind w:left="5" w:firstLine="751"/>
        <w:spacing w:after="0" w:line="250" w:lineRule="auto"/>
        <w:rPr>
          <w:sz w:val="20"/>
          <w:szCs w:val="20"/>
          <w:color w:val="auto"/>
        </w:rPr>
      </w:pPr>
      <w:r>
        <w:rPr>
          <w:rFonts w:ascii="Times New Roman" w:cs="Times New Roman" w:eastAsia="Times New Roman" w:hAnsi="Times New Roman"/>
          <w:sz w:val="16"/>
          <w:szCs w:val="16"/>
          <w:color w:val="auto"/>
        </w:rPr>
        <w:t>In the case of a dispute as to the determination of the Exercise Price or the arithmetic calculation of the Warrant Shares, the Company shall submit the disputed determinations or arithmetic calculations via facsimile or e-mail with confirmation of transmission by the transmitting equipment within two Business Days of receipt of the Notice of Exercise giving rise to such dispute, as the case may be, to the Holder. If the Holder and the Company are unable to agree upon such determination or calculation of the Exercise Price or the Warrant Shares within three Business Days of such disputed determination or arithmetic calculation being submitted to the Holder, then the Company shall, within two Business Days, submit via email or facsimile (a) the disputed determination of the Exercise Price to an independent, reputable investment bank selected by the Company and approved by the Holder (which approval shall not be unreasonably withheld) or (b)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167" w:lineRule="exact"/>
        <w:rPr>
          <w:sz w:val="20"/>
          <w:szCs w:val="20"/>
          <w:color w:val="auto"/>
        </w:rPr>
      </w:pPr>
    </w:p>
    <w:p>
      <w:pPr>
        <w:ind w:left="985" w:hanging="985"/>
        <w:spacing w:after="0"/>
        <w:tabs>
          <w:tab w:leader="none" w:pos="985"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NOTICES OF RECORD DATE</w:t>
      </w:r>
    </w:p>
    <w:p>
      <w:pPr>
        <w:spacing w:after="0" w:line="194" w:lineRule="exact"/>
        <w:rPr>
          <w:sz w:val="20"/>
          <w:szCs w:val="20"/>
          <w:color w:val="auto"/>
        </w:rPr>
      </w:pPr>
    </w:p>
    <w:p>
      <w:pPr>
        <w:jc w:val="both"/>
        <w:ind w:left="5" w:firstLine="751"/>
        <w:spacing w:after="0" w:line="250" w:lineRule="auto"/>
        <w:rPr>
          <w:sz w:val="20"/>
          <w:szCs w:val="20"/>
          <w:color w:val="auto"/>
        </w:rPr>
      </w:pPr>
      <w:r>
        <w:rPr>
          <w:rFonts w:ascii="Times New Roman" w:cs="Times New Roman" w:eastAsia="Times New Roman" w:hAnsi="Times New Roman"/>
          <w:sz w:val="16"/>
          <w:szCs w:val="16"/>
          <w:color w:val="auto"/>
        </w:rPr>
        <w:t>Upon (a) any establishment by the Company of a record date of the holders of any class of securities for the purpose of determining the holders thereof who are entitled to receive any dividend or other distribution, or right or option to acquire securities of the Company, or any other right, or (b) any capital reorganization, reclassification, recapitalization, merger or consolidation of the Company with or into any other corporation, any transfer of all or substantially all the assets of the Company, or any voluntary or involuntary dissolution, liquidation or winding up of the Company, or the sale, in a single transaction, of a majority of the Company’s voting shares (whether newly issued, or from treasury, or previously issued and then outstanding, or any combination thereof), the Company shall mail to the Holder at least ten (10) calendar days, or such longer period as may be required by law, prior to the record date specified therein, a notice specifying (i) the date established as the record date for the purpose of such dividend, distribution, option or right and a description of such dividend, distribution, option or right, (ii) the date on which any such reorganization, reclassification, recapitalization, merger, consolidation, transfer, dissolution, liquidation or winding up, or sale is expected to become effective and (iii) the date, if any, fixed as to when the holders of record of Common Shares shall be entitled to exchange their Common Shares for securities or other property deliverable upon such reorganization, reclassification, recapitalization, merger, consolidation, transfer, dissolution, liquidation or winding up.</w:t>
      </w:r>
    </w:p>
    <w:p>
      <w:pPr>
        <w:spacing w:after="0" w:line="165" w:lineRule="exact"/>
        <w:rPr>
          <w:sz w:val="20"/>
          <w:szCs w:val="20"/>
          <w:color w:val="auto"/>
        </w:rPr>
      </w:pPr>
    </w:p>
    <w:p>
      <w:pPr>
        <w:ind w:left="1025" w:hanging="1025"/>
        <w:spacing w:after="0"/>
        <w:tabs>
          <w:tab w:leader="none" w:pos="1025"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RESERVATION OF SHARES</w:t>
      </w:r>
    </w:p>
    <w:p>
      <w:pPr>
        <w:spacing w:after="0" w:line="194" w:lineRule="exact"/>
        <w:rPr>
          <w:sz w:val="20"/>
          <w:szCs w:val="20"/>
          <w:color w:val="auto"/>
        </w:rPr>
      </w:pPr>
    </w:p>
    <w:p>
      <w:pPr>
        <w:ind w:left="5" w:firstLine="751"/>
        <w:spacing w:after="0" w:line="276" w:lineRule="auto"/>
        <w:rPr>
          <w:sz w:val="20"/>
          <w:szCs w:val="20"/>
          <w:color w:val="auto"/>
        </w:rPr>
      </w:pPr>
      <w:r>
        <w:rPr>
          <w:rFonts w:ascii="Times New Roman" w:cs="Times New Roman" w:eastAsia="Times New Roman" w:hAnsi="Times New Roman"/>
          <w:sz w:val="16"/>
          <w:szCs w:val="16"/>
          <w:color w:val="auto"/>
        </w:rPr>
        <w:t>The Company shall reserve and keep available out of its authorized but unissued Common Shares for issuance upon the exercise of this Warrant, free from pre-emptive rights, such number of Common Shares for which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5"/>
        <w:spacing w:after="0"/>
        <w:rPr>
          <w:sz w:val="20"/>
          <w:szCs w:val="20"/>
          <w:color w:val="auto"/>
        </w:rPr>
      </w:pPr>
      <w:r>
        <w:rPr>
          <w:rFonts w:ascii="Times New Roman" w:cs="Times New Roman" w:eastAsia="Times New Roman" w:hAnsi="Times New Roman"/>
          <w:sz w:val="14"/>
          <w:szCs w:val="14"/>
          <w:color w:val="auto"/>
        </w:rPr>
        <w:t>DOCPROPERTY "CUS_DocIDChunk0" 76095631.1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508635</wp:posOffset>
            </wp:positionV>
            <wp:extent cx="717486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0" w:right="31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9"/>
          <w:szCs w:val="19"/>
          <w:b w:val="1"/>
          <w:bCs w:val="1"/>
          <w:color w:val="auto"/>
        </w:rPr>
        <w:t>Exhibit 4.3</w:t>
      </w:r>
    </w:p>
    <w:p>
      <w:pPr>
        <w:spacing w:after="0" w:line="360" w:lineRule="exact"/>
        <w:rPr>
          <w:sz w:val="20"/>
          <w:szCs w:val="20"/>
          <w:color w:val="auto"/>
        </w:rPr>
      </w:pPr>
    </w:p>
    <w:p>
      <w:pPr>
        <w:jc w:val="both"/>
        <w:ind w:left="5"/>
        <w:spacing w:after="0" w:line="252" w:lineRule="auto"/>
        <w:rPr>
          <w:sz w:val="20"/>
          <w:szCs w:val="20"/>
          <w:color w:val="auto"/>
        </w:rPr>
      </w:pPr>
      <w:r>
        <w:rPr>
          <w:rFonts w:ascii="Times New Roman" w:cs="Times New Roman" w:eastAsia="Times New Roman" w:hAnsi="Times New Roman"/>
          <w:sz w:val="16"/>
          <w:szCs w:val="16"/>
          <w:color w:val="auto"/>
        </w:rPr>
        <w:t>Warrant shall from time to time be exercisable. The Company will take all such commercially reasonable action as may be necessary to assure that such Warrant Shares may be issued as provided herein without violation of any applicable law or regulation. Without limiting the generality of the foregoing, the Company covenants that it will promptly take all such action as may be necessary or appropriate in order that the Company may validly and legally issue fully paid and nonassessable Warrant Shares upon the exercise of this Warrant and use best efforts to obtain all such authorizations, exemptions or consents, including but not limited to consents from the Board of Directors or any public regulatory body, as may be necessary to enable the Company to perform its obligations under this Warrant. In addition, the Company shall not amend its certificate of incorporation to impose any restriction on the number of Common Shares authorized for issuance.</w:t>
      </w:r>
    </w:p>
    <w:p>
      <w:pPr>
        <w:spacing w:after="0" w:line="165" w:lineRule="exact"/>
        <w:rPr>
          <w:sz w:val="20"/>
          <w:szCs w:val="20"/>
          <w:color w:val="auto"/>
        </w:rPr>
      </w:pPr>
    </w:p>
    <w:p>
      <w:pPr>
        <w:ind w:left="1045" w:hanging="1045"/>
        <w:spacing w:after="0"/>
        <w:tabs>
          <w:tab w:leader="none" w:pos="1045"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THIRD PARTY RIGHTS</w:t>
      </w:r>
    </w:p>
    <w:p>
      <w:pPr>
        <w:spacing w:after="0" w:line="194" w:lineRule="exact"/>
        <w:rPr>
          <w:sz w:val="20"/>
          <w:szCs w:val="20"/>
          <w:color w:val="auto"/>
        </w:rPr>
      </w:pPr>
    </w:p>
    <w:p>
      <w:pPr>
        <w:ind w:left="5" w:firstLine="751"/>
        <w:spacing w:after="0" w:line="276" w:lineRule="auto"/>
        <w:rPr>
          <w:sz w:val="20"/>
          <w:szCs w:val="20"/>
          <w:color w:val="auto"/>
        </w:rPr>
      </w:pPr>
      <w:r>
        <w:rPr>
          <w:rFonts w:ascii="Times New Roman" w:cs="Times New Roman" w:eastAsia="Times New Roman" w:hAnsi="Times New Roman"/>
          <w:sz w:val="16"/>
          <w:szCs w:val="16"/>
          <w:color w:val="auto"/>
        </w:rPr>
        <w:t>This Warrant is not intended, and will not be construed, to create any rights in any parties other than the Company and the Holder, and no person or entity may assert any rights as third-party beneficiary hereunder.</w:t>
      </w:r>
    </w:p>
    <w:p>
      <w:pPr>
        <w:spacing w:after="0" w:line="145" w:lineRule="exact"/>
        <w:rPr>
          <w:sz w:val="20"/>
          <w:szCs w:val="20"/>
          <w:color w:val="auto"/>
        </w:rPr>
      </w:pPr>
    </w:p>
    <w:p>
      <w:pPr>
        <w:ind w:left="1285" w:hanging="1285"/>
        <w:spacing w:after="0"/>
        <w:tabs>
          <w:tab w:leader="none" w:pos="1285"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COUNTERPARTS</w:t>
      </w:r>
    </w:p>
    <w:p>
      <w:pPr>
        <w:spacing w:after="0" w:line="194" w:lineRule="exact"/>
        <w:rPr>
          <w:sz w:val="20"/>
          <w:szCs w:val="20"/>
          <w:color w:val="auto"/>
        </w:rPr>
      </w:pPr>
    </w:p>
    <w:p>
      <w:pPr>
        <w:jc w:val="both"/>
        <w:ind w:left="5" w:firstLine="751"/>
        <w:spacing w:after="0" w:line="261" w:lineRule="auto"/>
        <w:rPr>
          <w:sz w:val="20"/>
          <w:szCs w:val="20"/>
          <w:color w:val="auto"/>
        </w:rPr>
      </w:pPr>
      <w:r>
        <w:rPr>
          <w:rFonts w:ascii="Times New Roman" w:cs="Times New Roman" w:eastAsia="Times New Roman" w:hAnsi="Times New Roman"/>
          <w:sz w:val="16"/>
          <w:szCs w:val="16"/>
          <w:color w:val="auto"/>
        </w:rPr>
        <w:t>This Warrant may be executed in two or more counterparts, each of which shall be deemed an original and all of which together shall constitute one instrument. Any counterpart delivered electronically (including without limitation by .pdf transmission) or by facsimile shall be binding to the same extent as an original counterpart with regard to any agreement subject to the terms hereof or any amendment thereto.</w:t>
      </w:r>
    </w:p>
    <w:p>
      <w:pPr>
        <w:spacing w:after="0" w:line="157" w:lineRule="exact"/>
        <w:rPr>
          <w:sz w:val="20"/>
          <w:szCs w:val="20"/>
          <w:color w:val="auto"/>
        </w:rPr>
      </w:pPr>
    </w:p>
    <w:p>
      <w:pPr>
        <w:ind w:left="1385" w:hanging="1385"/>
        <w:spacing w:after="0"/>
        <w:tabs>
          <w:tab w:leader="none" w:pos="1385"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AMENDMENTS</w:t>
      </w:r>
    </w:p>
    <w:p>
      <w:pPr>
        <w:spacing w:after="0" w:line="194" w:lineRule="exact"/>
        <w:rPr>
          <w:sz w:val="20"/>
          <w:szCs w:val="20"/>
          <w:color w:val="auto"/>
        </w:rPr>
      </w:pPr>
    </w:p>
    <w:p>
      <w:pPr>
        <w:ind w:left="5" w:firstLine="751"/>
        <w:spacing w:after="0" w:line="276" w:lineRule="auto"/>
        <w:rPr>
          <w:sz w:val="20"/>
          <w:szCs w:val="20"/>
          <w:color w:val="auto"/>
        </w:rPr>
      </w:pPr>
      <w:r>
        <w:rPr>
          <w:rFonts w:ascii="Times New Roman" w:cs="Times New Roman" w:eastAsia="Times New Roman" w:hAnsi="Times New Roman"/>
          <w:sz w:val="16"/>
          <w:szCs w:val="16"/>
          <w:color w:val="auto"/>
        </w:rPr>
        <w:t>Other than Section 4 and this Section 21, which may not be amended, neither this Warrant nor any term hereof may be amended, waived, discharged or terminated other than by a written instrument referencing this Warrant signed by the Company and the Holder.</w:t>
      </w:r>
    </w:p>
    <w:p>
      <w:pPr>
        <w:spacing w:after="0" w:line="14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5"/>
        <w:spacing w:after="0"/>
        <w:rPr>
          <w:sz w:val="20"/>
          <w:szCs w:val="20"/>
          <w:color w:val="auto"/>
        </w:rPr>
      </w:pPr>
      <w:r>
        <w:rPr>
          <w:rFonts w:ascii="Times New Roman" w:cs="Times New Roman" w:eastAsia="Times New Roman" w:hAnsi="Times New Roman"/>
          <w:sz w:val="14"/>
          <w:szCs w:val="14"/>
          <w:color w:val="auto"/>
        </w:rPr>
        <w:t>DOCPROPERTY "CUS_DocIDChunk0" 76095631.1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508635</wp:posOffset>
            </wp:positionV>
            <wp:extent cx="717486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0" w:right="31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9"/>
          <w:szCs w:val="19"/>
          <w:b w:val="1"/>
          <w:bCs w:val="1"/>
          <w:color w:val="auto"/>
        </w:rPr>
        <w:t>Exhibit 4.3</w:t>
      </w:r>
    </w:p>
    <w:p>
      <w:pPr>
        <w:spacing w:after="0" w:line="3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IN WITNESS WHEREOF, the Company has caused this Warrant to be duly executed as of the date first set forth above.</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DECOY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714946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76095631.1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508635</wp:posOffset>
            </wp:positionV>
            <wp:extent cx="717486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9"/>
          <w:szCs w:val="19"/>
          <w:b w:val="1"/>
          <w:bCs w:val="1"/>
          <w:color w:val="auto"/>
        </w:rPr>
        <w:t>Exhibit 4.3</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EXHIBIT A</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NOTICE OF EXERCISE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(To be executed by the Holder of Warrant if such Holder desires to exercise Warrant)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Decoy Therapeutics Inc.:</w:t>
      </w:r>
    </w:p>
    <w:p>
      <w:pPr>
        <w:spacing w:after="0" w:line="19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undersigned hereby irrevocably elects to exercise this Warrant and to purchase thereunder, ___________________ Decoy Therapeutics Inc. to purchase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 Decoy Therapeutics Inc. Common Shares, par value 0.0001 per share, issuable upon exercise of the Warrant and delivery of:</w:t>
      </w:r>
    </w:p>
    <w:p>
      <w:pPr>
        <w:spacing w:after="0" w:line="177" w:lineRule="exact"/>
        <w:rPr>
          <w:sz w:val="20"/>
          <w:szCs w:val="20"/>
          <w:color w:val="auto"/>
        </w:rPr>
      </w:pPr>
    </w:p>
    <w:p>
      <w:pPr>
        <w:ind w:left="960" w:hanging="215"/>
        <w:spacing w:after="0"/>
        <w:tabs>
          <w:tab w:leader="none" w:pos="9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$_________ (in cash as provided for in the foregoing Warrant) and any applicable taxes payable by the undersigned pursuant to such Warrant; and/or</w:t>
      </w:r>
    </w:p>
    <w:p>
      <w:pPr>
        <w:spacing w:after="0" w:line="194" w:lineRule="exact"/>
        <w:rPr>
          <w:rFonts w:ascii="Times New Roman" w:cs="Times New Roman" w:eastAsia="Times New Roman" w:hAnsi="Times New Roman"/>
          <w:sz w:val="16"/>
          <w:szCs w:val="16"/>
          <w:color w:val="auto"/>
        </w:rPr>
      </w:pPr>
    </w:p>
    <w:p>
      <w:pPr>
        <w:ind w:right="20" w:firstLine="745"/>
        <w:spacing w:after="0" w:line="276" w:lineRule="auto"/>
        <w:tabs>
          <w:tab w:leader="none" w:pos="989"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__________ Decoy Therapeutics Inc. Common Shares (pursuant to a Cashless Exercise in accordance with Section 1(b)(ii) of the Warrant) (check here if the undersigned desires to deliver an unspecified number of shares equal the number sufficient to effect a Cashless Exercise [___]).</w:t>
      </w:r>
    </w:p>
    <w:p>
      <w:pPr>
        <w:spacing w:after="0" w:line="1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undersigned requests that certificates or direct registration system account statement for such shares be issued in the name of:</w:t>
      </w:r>
    </w:p>
    <w:p>
      <w:pPr>
        <w:spacing w:after="0" w:line="19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color w:val="auto"/>
        </w:rPr>
        <w:t>_________________________________________</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(Please print name, address and social security or federal employer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identification number (if applicable))</w:t>
      </w:r>
    </w:p>
    <w:p>
      <w:pPr>
        <w:spacing w:after="0" w:line="17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color w:val="auto"/>
        </w:rPr>
        <w:t>_________________________________________</w:t>
      </w:r>
    </w:p>
    <w:p>
      <w:pPr>
        <w:spacing w:after="0" w:line="19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color w:val="auto"/>
        </w:rPr>
        <w:t>_________________________________________</w:t>
      </w:r>
    </w:p>
    <w:p>
      <w:pPr>
        <w:spacing w:after="0" w:line="194" w:lineRule="exact"/>
        <w:rPr>
          <w:sz w:val="20"/>
          <w:szCs w:val="20"/>
          <w:color w:val="auto"/>
        </w:rPr>
      </w:pPr>
    </w:p>
    <w:p>
      <w:pPr>
        <w:jc w:val="both"/>
        <w:ind w:firstLine="955"/>
        <w:spacing w:after="0" w:line="256" w:lineRule="auto"/>
        <w:rPr>
          <w:sz w:val="20"/>
          <w:szCs w:val="20"/>
          <w:color w:val="auto"/>
        </w:rPr>
      </w:pPr>
      <w:r>
        <w:rPr>
          <w:rFonts w:ascii="Times New Roman" w:cs="Times New Roman" w:eastAsia="Times New Roman" w:hAnsi="Times New Roman"/>
          <w:sz w:val="16"/>
          <w:szCs w:val="16"/>
          <w:color w:val="auto"/>
        </w:rPr>
        <w:t>Capitalized terms used herein without definition have the meaning ascribed to them in the Warrant. Except if this Warrant is being exercised pursuant to a Cashless Exercise in accordance with Section 1(b)(ii) of the Warrant, the undersigned hereby reaffirms that the undersigned is an “accredited investor” as defined under Rule 501(a) of Regulation D of the Securities Act of 1933, as amended. The undersigned understands that the Common Shares may bear one or more legends restricting transfers, as set forth in the Purchase Agreement.</w:t>
      </w:r>
    </w:p>
    <w:p>
      <w:pPr>
        <w:spacing w:after="0" w:line="161" w:lineRule="exact"/>
        <w:rPr>
          <w:sz w:val="20"/>
          <w:szCs w:val="20"/>
          <w:color w:val="auto"/>
        </w:rPr>
      </w:pPr>
    </w:p>
    <w:p>
      <w:pPr>
        <w:jc w:val="both"/>
        <w:ind w:firstLine="955"/>
        <w:spacing w:after="0" w:line="276" w:lineRule="auto"/>
        <w:rPr>
          <w:sz w:val="20"/>
          <w:szCs w:val="20"/>
          <w:color w:val="auto"/>
        </w:rPr>
      </w:pPr>
      <w:r>
        <w:rPr>
          <w:rFonts w:ascii="Times New Roman" w:cs="Times New Roman" w:eastAsia="Times New Roman" w:hAnsi="Times New Roman"/>
          <w:sz w:val="16"/>
          <w:szCs w:val="16"/>
          <w:color w:val="auto"/>
        </w:rPr>
        <w:t>If the shares issuable upon this exercise of the Warrant are not all of the Warrant Shares which the Holder is entitled to acquire upon the exercise of the Warrant, the undersigned, by checking here [ ] requests that a new Warrant evidencing the rights not so exercised be issued in the name of and delivered to:</w:t>
      </w:r>
    </w:p>
    <w:p>
      <w:pPr>
        <w:spacing w:after="0" w:line="14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color w:val="auto"/>
        </w:rPr>
        <w:t>_________________________________________</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(Please print name, address and social security or federal employer identification number (if applicable))</w:t>
      </w:r>
    </w:p>
    <w:p>
      <w:pPr>
        <w:spacing w:after="0" w:line="19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color w:val="auto"/>
        </w:rPr>
        <w:t>_________________________________________</w:t>
      </w:r>
    </w:p>
    <w:p>
      <w:pPr>
        <w:spacing w:after="0" w:line="19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color w:val="auto"/>
        </w:rPr>
        <w:t>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76095631.1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508635</wp:posOffset>
            </wp:positionV>
            <wp:extent cx="717486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9"/>
          <w:szCs w:val="19"/>
          <w:b w:val="1"/>
          <w:bCs w:val="1"/>
          <w:color w:val="auto"/>
        </w:rPr>
        <w:t>Exhibit 4.3</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Holder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1461135</wp:posOffset>
            </wp:positionH>
            <wp:positionV relativeFrom="paragraph">
              <wp:posOffset>6350</wp:posOffset>
            </wp:positionV>
            <wp:extent cx="232029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20290" cy="762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1461135</wp:posOffset>
            </wp:positionH>
            <wp:positionV relativeFrom="paragraph">
              <wp:posOffset>6350</wp:posOffset>
            </wp:positionV>
            <wp:extent cx="232029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20290" cy="762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1461135</wp:posOffset>
            </wp:positionH>
            <wp:positionV relativeFrom="paragraph">
              <wp:posOffset>6350</wp:posOffset>
            </wp:positionV>
            <wp:extent cx="232029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20290" cy="762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1461135</wp:posOffset>
            </wp:positionH>
            <wp:positionV relativeFrom="paragraph">
              <wp:posOffset>6350</wp:posOffset>
            </wp:positionV>
            <wp:extent cx="232029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20290" cy="762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1461135</wp:posOffset>
            </wp:positionH>
            <wp:positionV relativeFrom="paragraph">
              <wp:posOffset>6350</wp:posOffset>
            </wp:positionV>
            <wp:extent cx="232029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320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76095631.1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508635</wp:posOffset>
            </wp:positionV>
            <wp:extent cx="717486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9"/>
          <w:szCs w:val="19"/>
          <w:b w:val="1"/>
          <w:bCs w:val="1"/>
          <w:color w:val="auto"/>
        </w:rPr>
        <w:t>Exhibit 4.3</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EXHIBIT B</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ACKNOWLEDGMENT</w:t>
      </w:r>
    </w:p>
    <w:p>
      <w:pPr>
        <w:spacing w:after="0" w:line="17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Company hereby acknowledges this Notice of Exercise and hereby directs ______________ to issue the above indicated number of Common Shares 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accordance with the Transfer Agent Instructions dated _________, 202_, from the Company and acknowledged and agreed to by _______________.</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DECOY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714946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76095631.1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508635</wp:posOffset>
            </wp:positionV>
            <wp:extent cx="717486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9"/>
          <w:szCs w:val="19"/>
          <w:b w:val="1"/>
          <w:bCs w:val="1"/>
          <w:color w:val="auto"/>
        </w:rPr>
        <w:t>Exhibit 4.3</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EXHIBIT 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ASSIGNMENT</w:t>
      </w:r>
    </w:p>
    <w:p>
      <w:pPr>
        <w:spacing w:after="0" w:line="17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FOR VALUE RECEIVED, ___________________________________ hereby sells, assigns and transfers to each assignee set forth below all of the rights of the</w:t>
      </w:r>
    </w:p>
    <w:p>
      <w:pPr>
        <w:spacing w:after="0" w:line="2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6"/>
          <w:szCs w:val="16"/>
          <w:color w:val="auto"/>
        </w:rPr>
        <w:t>undersigned under the Warrant (as defined in and evidenced by the attached Warrant) to acquire the number of Warrant Shares set opposite the name of such assignee below and in and to the foregoing Warrant with respect to said acquisition rights and the shares issuable upon exercise of the Warrant:</w:t>
      </w:r>
    </w:p>
    <w:p>
      <w:pPr>
        <w:sectPr>
          <w:pgSz w:w="11900" w:h="16838" w:orient="portrait"/>
          <w:cols w:equalWidth="0" w:num="1">
            <w:col w:w="11260"/>
          </w:cols>
          <w:pgMar w:left="320" w:top="680" w:right="31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5"/>
          <w:szCs w:val="15"/>
          <w:color w:val="auto"/>
        </w:rPr>
        <w:t>Name of Assignee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jc w:val="center"/>
        <w:ind w:right="1820"/>
        <w:spacing w:after="0"/>
        <w:rPr>
          <w:sz w:val="20"/>
          <w:szCs w:val="20"/>
          <w:color w:val="auto"/>
        </w:rPr>
      </w:pPr>
      <w:r>
        <w:rPr>
          <w:rFonts w:ascii="Times New Roman" w:cs="Times New Roman" w:eastAsia="Times New Roman" w:hAnsi="Times New Roman"/>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-108585</wp:posOffset>
            </wp:positionV>
            <wp:extent cx="7152005" cy="11290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2005" cy="1129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Number of Shares</w:t>
      </w:r>
    </w:p>
    <w:p>
      <w:pPr>
        <w:spacing w:after="0" w:line="200" w:lineRule="exact"/>
        <w:rPr>
          <w:sz w:val="20"/>
          <w:szCs w:val="20"/>
          <w:color w:val="auto"/>
        </w:rPr>
      </w:pPr>
    </w:p>
    <w:p>
      <w:pPr>
        <w:sectPr>
          <w:pgSz w:w="11900" w:h="16838" w:orient="portrait"/>
          <w:cols w:equalWidth="0" w:num="3">
            <w:col w:w="4680" w:space="720"/>
            <w:col w:w="2340" w:space="720"/>
            <w:col w:w="2800"/>
          </w:cols>
          <w:pgMar w:left="320" w:top="68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751"/>
        <w:spacing w:after="0" w:line="261" w:lineRule="auto"/>
        <w:rPr>
          <w:sz w:val="20"/>
          <w:szCs w:val="20"/>
          <w:color w:val="auto"/>
        </w:rPr>
      </w:pPr>
      <w:r>
        <w:rPr>
          <w:rFonts w:ascii="Times New Roman" w:cs="Times New Roman" w:eastAsia="Times New Roman" w:hAnsi="Times New Roman"/>
          <w:sz w:val="16"/>
          <w:szCs w:val="16"/>
          <w:color w:val="auto"/>
        </w:rPr>
        <w:t>If the total of the Warrant Shares are not all of the Warrant Shares evidenced by the foregoing Warrant, the undersigned requests that a new Warrant evidencing the right to acquire the Warrant Shares not so assigned be issued in the name of and delivered to the undersigned. A written opinion of legal counsel addressed to the Company confirming that the proposed transfer of the Warrant may be effected without registration under the Securities Act of 1933, as amended, accompanies this Form of Assignment.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Holder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7078345</wp:posOffset>
            </wp:positionH>
            <wp:positionV relativeFrom="paragraph">
              <wp:posOffset>6350</wp:posOffset>
            </wp:positionV>
            <wp:extent cx="6731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7078345</wp:posOffset>
            </wp:positionH>
            <wp:positionV relativeFrom="paragraph">
              <wp:posOffset>6350</wp:posOffset>
            </wp:positionV>
            <wp:extent cx="6731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7078345</wp:posOffset>
            </wp:positionH>
            <wp:positionV relativeFrom="paragraph">
              <wp:posOffset>6350</wp:posOffset>
            </wp:positionV>
            <wp:extent cx="6731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7078345</wp:posOffset>
            </wp:positionH>
            <wp:positionV relativeFrom="paragraph">
              <wp:posOffset>6350</wp:posOffset>
            </wp:positionV>
            <wp:extent cx="6731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7078345</wp:posOffset>
            </wp:positionH>
            <wp:positionV relativeFrom="paragraph">
              <wp:posOffset>6350</wp:posOffset>
            </wp:positionV>
            <wp:extent cx="6731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76095631.1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508635</wp:posOffset>
            </wp:positionV>
            <wp:extent cx="717486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0" w:right="319" w:bottom="1440" w:gutter="0" w:footer="0" w:header="0"/>
          <w:type w:val="continuous"/>
        </w:sectPr>
      </w:pPr>
    </w:p>
    <w:bookmarkStart w:id="56" w:name="page57"/>
    <w:bookmarkEnd w:id="56"/>
    <w:p>
      <w:pPr>
        <w:jc w:val="right"/>
        <w:spacing w:after="0"/>
        <w:rPr>
          <w:sz w:val="20"/>
          <w:szCs w:val="20"/>
          <w:color w:val="auto"/>
        </w:rPr>
      </w:pPr>
      <w:r>
        <w:rPr>
          <w:rFonts w:ascii="Times New Roman" w:cs="Times New Roman" w:eastAsia="Times New Roman" w:hAnsi="Times New Roman"/>
          <w:sz w:val="19"/>
          <w:szCs w:val="19"/>
          <w:b w:val="1"/>
          <w:bCs w:val="1"/>
          <w:color w:val="auto"/>
        </w:rPr>
        <w:t>Exhibit 4.3</w:t>
      </w:r>
    </w:p>
    <w:p>
      <w:pPr>
        <w:spacing w:after="0" w:line="36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EXHIBIT D</w:t>
      </w:r>
    </w:p>
    <w:p>
      <w:pPr>
        <w:spacing w:after="0" w:line="2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PRE-FUNDED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"CUS_DocIDChunk0" 76095631.1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508635</wp:posOffset>
            </wp:positionV>
            <wp:extent cx="717486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680" w:right="319" w:bottom="1440" w:gutter="0" w:footer="0" w:header="0"/>
        </w:sectPr>
      </w:pPr>
    </w:p>
    <w:bookmarkStart w:id="57" w:name="page58"/>
    <w:bookmarkEnd w:id="57"/>
    <w:p>
      <w:pPr>
        <w:ind w:left="10520"/>
        <w:spacing w:after="0"/>
        <w:rPr>
          <w:sz w:val="20"/>
          <w:szCs w:val="20"/>
          <w:color w:val="auto"/>
        </w:rPr>
      </w:pPr>
      <w:r>
        <w:rPr>
          <w:rFonts w:ascii="Times New Roman" w:cs="Times New Roman" w:eastAsia="Times New Roman" w:hAnsi="Times New Roman"/>
          <w:sz w:val="15"/>
          <w:szCs w:val="15"/>
          <w:b w:val="1"/>
          <w:bCs w:val="1"/>
          <w:color w:val="auto"/>
        </w:rPr>
        <w:t>Exhibit 4.4</w:t>
      </w:r>
    </w:p>
    <w:p>
      <w:pPr>
        <w:spacing w:after="0" w:line="208"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6"/>
          <w:szCs w:val="16"/>
          <w:color w:val="auto"/>
        </w:rPr>
        <w:t>Warrant Certificate No.</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SECURITIES REPRESENTED HEREBY AND THE SECURITIES ISSUABLE UPON EXERCISE OF THESE SECURITIES HAVE NOT BEEN REGISTERED UNDER THE U.S. SECURITIES ACT OF 1933, AS AMENDED (THE “SECURITIES ACT”), OR ANY STATE SECURITIES LAWS, AND SUCH SECURITIES MAY NOT BE OFFERED, SOLD, PLEDGED OR OTHERWISE TRANSFERRED UNLESS (1) A REGISTRATION STATEMENT WITH RESPECT THERETO IS EFFECTIVE UNDER THE SECURITIES ACT AND ANY APPLICABLE STATE SECURITIES LAWS, OR (2) AN EXEMPTION FROM SUCH REGISTRATION REQUIREMENTS IS AVAILABLE AND THE COMPANY RECEIVES AN OPINION OF COUNSEL TO THE HOLDER OF SUCH SECURITIES, WHICH COUNSEL AND OPINION ARE SATISFACTORY TO THE COMPANY, THAT SUCH SECURITIES MAY BE OFFERED, SOLD, PLEDGED, OR OTHERWISE TRANSFERRED IN THE MANNER CONTEMPLATED WITHOUT AN EFFECTIVE REGISTRATION STATEMENT UNDER THE SECURITIES ACT LAWS.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Issuance Date: [ ], 2026</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DECOY THERAPEUTICS INC.</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OF SERIES C WARRANT TO PURCHASE COMMON SHARES OR PRE-FUNDED WARRANTS</w:t>
      </w:r>
    </w:p>
    <w:p>
      <w:pPr>
        <w:spacing w:after="0" w:line="192" w:lineRule="exact"/>
        <w:rPr>
          <w:sz w:val="20"/>
          <w:szCs w:val="20"/>
          <w:color w:val="auto"/>
        </w:rPr>
      </w:pPr>
    </w:p>
    <w:p>
      <w:pPr>
        <w:jc w:val="both"/>
        <w:ind w:firstLine="751"/>
        <w:spacing w:after="0" w:line="251" w:lineRule="auto"/>
        <w:rPr>
          <w:sz w:val="20"/>
          <w:szCs w:val="20"/>
          <w:color w:val="auto"/>
        </w:rPr>
      </w:pPr>
      <w:r>
        <w:rPr>
          <w:rFonts w:ascii="Times New Roman" w:cs="Times New Roman" w:eastAsia="Times New Roman" w:hAnsi="Times New Roman"/>
          <w:sz w:val="16"/>
          <w:szCs w:val="16"/>
          <w:b w:val="1"/>
          <w:bCs w:val="1"/>
          <w:color w:val="auto"/>
        </w:rPr>
        <w:t>Decoy Therapeutics Inc.</w:t>
      </w:r>
      <w:r>
        <w:rPr>
          <w:rFonts w:ascii="Times New Roman" w:cs="Times New Roman" w:eastAsia="Times New Roman" w:hAnsi="Times New Roman"/>
          <w:sz w:val="16"/>
          <w:szCs w:val="16"/>
          <w:color w:val="auto"/>
        </w:rPr>
        <w:t>, a Delaware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for value received on June [ ], 2026 (the “</w:t>
      </w:r>
      <w:r>
        <w:rPr>
          <w:rFonts w:ascii="Times New Roman" w:cs="Times New Roman" w:eastAsia="Times New Roman" w:hAnsi="Times New Roman"/>
          <w:sz w:val="16"/>
          <w:szCs w:val="16"/>
          <w:b w:val="1"/>
          <w:bCs w:val="1"/>
          <w:color w:val="auto"/>
        </w:rPr>
        <w:t>Issuance Date</w:t>
      </w:r>
      <w:r>
        <w:rPr>
          <w:rFonts w:ascii="Times New Roman" w:cs="Times New Roman" w:eastAsia="Times New Roman" w:hAnsi="Times New Roman"/>
          <w:sz w:val="16"/>
          <w:szCs w:val="16"/>
          <w:color w:val="auto"/>
        </w:rPr>
        <w:t>”), hereby issues to</w:t>
      </w:r>
      <w:r>
        <w:rPr>
          <w:rFonts w:ascii="Times New Roman" w:cs="Times New Roman" w:eastAsia="Times New Roman" w:hAnsi="Times New Roman"/>
          <w:sz w:val="16"/>
          <w:szCs w:val="16"/>
          <w:b w:val="1"/>
          <w:bCs w:val="1"/>
          <w:color w:val="auto"/>
        </w:rPr>
        <w:t xml:space="preserve"> [ ] </w:t>
      </w: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color w:val="auto"/>
        </w:rPr>
        <w:t>Holder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Warrant (the “</w:t>
      </w:r>
      <w:r>
        <w:rPr>
          <w:rFonts w:ascii="Times New Roman" w:cs="Times New Roman" w:eastAsia="Times New Roman" w:hAnsi="Times New Roman"/>
          <w:sz w:val="16"/>
          <w:szCs w:val="16"/>
          <w:b w:val="1"/>
          <w:bCs w:val="1"/>
          <w:color w:val="auto"/>
        </w:rPr>
        <w:t>Warrant</w:t>
      </w:r>
      <w:r>
        <w:rPr>
          <w:rFonts w:ascii="Times New Roman" w:cs="Times New Roman" w:eastAsia="Times New Roman" w:hAnsi="Times New Roman"/>
          <w:sz w:val="16"/>
          <w:szCs w:val="16"/>
          <w:color w:val="auto"/>
        </w:rPr>
        <w:t xml:space="preserve">”) to purchase </w:t>
      </w:r>
      <w:r>
        <w:rPr>
          <w:rFonts w:ascii="Times New Roman" w:cs="Times New Roman" w:eastAsia="Times New Roman" w:hAnsi="Times New Roman"/>
          <w:sz w:val="16"/>
          <w:szCs w:val="16"/>
          <w:b w:val="1"/>
          <w:bCs w:val="1"/>
          <w:color w:val="auto"/>
        </w:rPr>
        <w:t>[ ]</w:t>
      </w:r>
      <w:r>
        <w:rPr>
          <w:rFonts w:ascii="Times New Roman" w:cs="Times New Roman" w:eastAsia="Times New Roman" w:hAnsi="Times New Roman"/>
          <w:sz w:val="16"/>
          <w:szCs w:val="16"/>
          <w:color w:val="auto"/>
        </w:rPr>
        <w:t xml:space="preserve"> Common Shares (as hereinafter defined) (each such share as from time to time adjusted as hereinafter provided being a “</w:t>
      </w:r>
      <w:r>
        <w:rPr>
          <w:rFonts w:ascii="Times New Roman" w:cs="Times New Roman" w:eastAsia="Times New Roman" w:hAnsi="Times New Roman"/>
          <w:sz w:val="16"/>
          <w:szCs w:val="16"/>
          <w:b w:val="1"/>
          <w:bCs w:val="1"/>
          <w:color w:val="auto"/>
        </w:rPr>
        <w:t>Warrant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Share</w:t>
      </w:r>
      <w:r>
        <w:rPr>
          <w:rFonts w:ascii="Times New Roman" w:cs="Times New Roman" w:eastAsia="Times New Roman" w:hAnsi="Times New Roman"/>
          <w:sz w:val="16"/>
          <w:szCs w:val="16"/>
          <w:color w:val="auto"/>
        </w:rPr>
        <w:t>” and all such shares being the “</w:t>
      </w:r>
      <w:r>
        <w:rPr>
          <w:rFonts w:ascii="Times New Roman" w:cs="Times New Roman" w:eastAsia="Times New Roman" w:hAnsi="Times New Roman"/>
          <w:sz w:val="16"/>
          <w:szCs w:val="16"/>
          <w:b w:val="1"/>
          <w:bCs w:val="1"/>
          <w:color w:val="auto"/>
        </w:rPr>
        <w:t>Warrant Shares</w:t>
      </w:r>
      <w:r>
        <w:rPr>
          <w:rFonts w:ascii="Times New Roman" w:cs="Times New Roman" w:eastAsia="Times New Roman" w:hAnsi="Times New Roman"/>
          <w:sz w:val="16"/>
          <w:szCs w:val="16"/>
          <w:color w:val="auto"/>
        </w:rPr>
        <w:t>”), at the Exercise Price (as defined below), as from time to time adjusted as hereinafter provided, on or before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Expiration Date (as defined below), all subject to the following terms and conditions. This Warrant is one of a series of warrants of like tenor that have been issued in connection with the Company’s private offering solely to accredited investors (as defined under applicable U.S. federal securities laws) of units of Common Shares and Warrants in accordance with, and subject to, the terms and conditions described in that certain Securities Purchase Agreement between the Company and each purchaser thereunder, inclusive of all exhibits and all amendments, supplements and appendices thereto (the “</w:t>
      </w:r>
      <w:r>
        <w:rPr>
          <w:rFonts w:ascii="Times New Roman" w:cs="Times New Roman" w:eastAsia="Times New Roman" w:hAnsi="Times New Roman"/>
          <w:sz w:val="16"/>
          <w:szCs w:val="16"/>
          <w:b w:val="1"/>
          <w:bCs w:val="1"/>
          <w:color w:val="auto"/>
        </w:rPr>
        <w:t>Purchase Agreement</w:t>
      </w:r>
      <w:r>
        <w:rPr>
          <w:rFonts w:ascii="Times New Roman" w:cs="Times New Roman" w:eastAsia="Times New Roman" w:hAnsi="Times New Roman"/>
          <w:sz w:val="16"/>
          <w:szCs w:val="16"/>
          <w:color w:val="auto"/>
        </w:rPr>
        <w:t>”). Capitalized terms used, but not defined herein, shall have the meanings given to such terms in the Purchase Agreement.</w:t>
      </w:r>
    </w:p>
    <w:p>
      <w:pPr>
        <w:spacing w:after="0" w:line="164" w:lineRule="exact"/>
        <w:rPr>
          <w:sz w:val="20"/>
          <w:szCs w:val="20"/>
          <w:color w:val="auto"/>
        </w:rPr>
      </w:pPr>
    </w:p>
    <w:p>
      <w:pPr>
        <w:jc w:val="both"/>
        <w:ind w:firstLine="751"/>
        <w:spacing w:after="0" w:line="244" w:lineRule="auto"/>
        <w:rPr>
          <w:sz w:val="20"/>
          <w:szCs w:val="20"/>
          <w:color w:val="auto"/>
        </w:rPr>
      </w:pPr>
      <w:r>
        <w:rPr>
          <w:rFonts w:ascii="Times New Roman" w:cs="Times New Roman" w:eastAsia="Times New Roman" w:hAnsi="Times New Roman"/>
          <w:sz w:val="16"/>
          <w:szCs w:val="16"/>
          <w:color w:val="auto"/>
        </w:rPr>
        <w:t>As used in this Warrant, (i) “</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means any day other than Saturday, Sunday or any other day on which commercial banks in the City of New York, New York, are authorized or required by law or executive order to close; (ii) “</w:t>
      </w:r>
      <w:r>
        <w:rPr>
          <w:rFonts w:ascii="Times New Roman" w:cs="Times New Roman" w:eastAsia="Times New Roman" w:hAnsi="Times New Roman"/>
          <w:sz w:val="16"/>
          <w:szCs w:val="16"/>
          <w:b w:val="1"/>
          <w:bCs w:val="1"/>
          <w:color w:val="auto"/>
        </w:rPr>
        <w:t>Common Shares</w:t>
      </w:r>
      <w:r>
        <w:rPr>
          <w:rFonts w:ascii="Times New Roman" w:cs="Times New Roman" w:eastAsia="Times New Roman" w:hAnsi="Times New Roman"/>
          <w:sz w:val="16"/>
          <w:szCs w:val="16"/>
          <w:color w:val="auto"/>
        </w:rPr>
        <w:t>” means the shares of the Company’s common stock, par value 0.0001 per share; (iii) “</w:t>
      </w:r>
      <w:r>
        <w:rPr>
          <w:rFonts w:ascii="Times New Roman" w:cs="Times New Roman" w:eastAsia="Times New Roman" w:hAnsi="Times New Roman"/>
          <w:sz w:val="16"/>
          <w:szCs w:val="16"/>
          <w:b w:val="1"/>
          <w:bCs w:val="1"/>
          <w:color w:val="auto"/>
        </w:rPr>
        <w:t>Exercise Price</w:t>
      </w:r>
      <w:r>
        <w:rPr>
          <w:rFonts w:ascii="Times New Roman" w:cs="Times New Roman" w:eastAsia="Times New Roman" w:hAnsi="Times New Roman"/>
          <w:sz w:val="16"/>
          <w:szCs w:val="16"/>
          <w:color w:val="auto"/>
        </w:rPr>
        <w:t>” means U.S. $[ ] per Warrant Share, subject to adjustment as provided herein; (iv) “</w:t>
      </w:r>
      <w:r>
        <w:rPr>
          <w:rFonts w:ascii="Times New Roman" w:cs="Times New Roman" w:eastAsia="Times New Roman" w:hAnsi="Times New Roman"/>
          <w:sz w:val="16"/>
          <w:szCs w:val="16"/>
          <w:b w:val="1"/>
          <w:bCs w:val="1"/>
          <w:color w:val="auto"/>
        </w:rPr>
        <w:t>Exercise Commencement Date</w:t>
      </w:r>
      <w:r>
        <w:rPr>
          <w:rFonts w:ascii="Times New Roman" w:cs="Times New Roman" w:eastAsia="Times New Roman" w:hAnsi="Times New Roman"/>
          <w:sz w:val="16"/>
          <w:szCs w:val="16"/>
          <w:color w:val="auto"/>
        </w:rPr>
        <w:t>” means the Issuance Date; (v) “</w:t>
      </w:r>
      <w:r>
        <w:rPr>
          <w:rFonts w:ascii="Times New Roman" w:cs="Times New Roman" w:eastAsia="Times New Roman" w:hAnsi="Times New Roman"/>
          <w:sz w:val="16"/>
          <w:szCs w:val="16"/>
          <w:b w:val="1"/>
          <w:bCs w:val="1"/>
          <w:color w:val="auto"/>
        </w:rPr>
        <w:t>Expiration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Date</w:t>
      </w:r>
      <w:r>
        <w:rPr>
          <w:rFonts w:ascii="Times New Roman" w:cs="Times New Roman" w:eastAsia="Times New Roman" w:hAnsi="Times New Roman"/>
          <w:sz w:val="16"/>
          <w:szCs w:val="16"/>
          <w:color w:val="auto"/>
        </w:rPr>
        <w:t>” means the earlier of (i) the 90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day following the date of the Milestone Event, or if such 90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day falls on a day other than a Business Day, the next day that is a Business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Day or (ii) June [ ], 2031; (vi) “</w:t>
      </w:r>
      <w:r>
        <w:rPr>
          <w:rFonts w:ascii="Times New Roman" w:cs="Times New Roman" w:eastAsia="Times New Roman" w:hAnsi="Times New Roman"/>
          <w:sz w:val="16"/>
          <w:szCs w:val="16"/>
          <w:b w:val="1"/>
          <w:bCs w:val="1"/>
          <w:color w:val="auto"/>
        </w:rPr>
        <w:t>Trading Day</w:t>
      </w:r>
      <w:r>
        <w:rPr>
          <w:rFonts w:ascii="Times New Roman" w:cs="Times New Roman" w:eastAsia="Times New Roman" w:hAnsi="Times New Roman"/>
          <w:sz w:val="16"/>
          <w:szCs w:val="16"/>
          <w:color w:val="auto"/>
        </w:rPr>
        <w:t>” means any day on which the Common Shares are traded (or available for trading) on their principal trading market in the United States; (vii) “</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means, with respect to any specified person, any other person who, directly or indirectly, controls, is controlled by, or is under common control with such person; and (viii) “</w:t>
      </w:r>
      <w:r>
        <w:rPr>
          <w:rFonts w:ascii="Times New Roman" w:cs="Times New Roman" w:eastAsia="Times New Roman" w:hAnsi="Times New Roman"/>
          <w:sz w:val="16"/>
          <w:szCs w:val="16"/>
          <w:b w:val="1"/>
          <w:bCs w:val="1"/>
          <w:color w:val="auto"/>
        </w:rPr>
        <w:t>Registration Rights Agreement</w:t>
      </w:r>
      <w:r>
        <w:rPr>
          <w:rFonts w:ascii="Times New Roman" w:cs="Times New Roman" w:eastAsia="Times New Roman" w:hAnsi="Times New Roman"/>
          <w:sz w:val="16"/>
          <w:szCs w:val="16"/>
          <w:color w:val="auto"/>
        </w:rPr>
        <w:t>” means that certain Registration Rights Agreement among the Company and each of the Holders as contemplated in the Purchase Agreement. As used herein, “</w:t>
      </w:r>
      <w:r>
        <w:rPr>
          <w:rFonts w:ascii="Times New Roman" w:cs="Times New Roman" w:eastAsia="Times New Roman" w:hAnsi="Times New Roman"/>
          <w:sz w:val="16"/>
          <w:szCs w:val="16"/>
          <w:b w:val="1"/>
          <w:bCs w:val="1"/>
          <w:color w:val="auto"/>
        </w:rPr>
        <w:t>Milestone Event</w:t>
      </w:r>
      <w:r>
        <w:rPr>
          <w:rFonts w:ascii="Times New Roman" w:cs="Times New Roman" w:eastAsia="Times New Roman" w:hAnsi="Times New Roman"/>
          <w:sz w:val="16"/>
          <w:szCs w:val="16"/>
          <w:color w:val="auto"/>
        </w:rPr>
        <w:t>” means the later of (a) the Company’s public announcement that the Phase 2a human challenge trial conducted in the United Kingdom met its primary endpoint and (b) the date on which the shareholders of the Company approve a proposal to approve the exercise of the Series A Warrants to Purchase Common Stock, the Series B Warrants to Purchase Common Stock and the Series C Warrants to Purchase Common Stock, as may be required by the applicable rules and regulations of the Nasdaq Stock Market LLC (or any successor entity); provided that, if such shareholder approval is not obtained, the Company shall (i) call and hold a special meeting of shareholders within 90 days after such vote to again seek such approval and (ii) continue to seek such approval at least once every 90 days thereafter until such approval is obtained.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4912-9653-0358, 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6" w:right="319" w:bottom="1440" w:gutter="0" w:footer="0" w:header="0"/>
        </w:sectPr>
      </w:pPr>
    </w:p>
    <w:bookmarkStart w:id="58" w:name="page59"/>
    <w:bookmarkEnd w:id="58"/>
    <w:p>
      <w:pPr>
        <w:spacing w:after="0" w:line="32" w:lineRule="exact"/>
        <w:rPr>
          <w:sz w:val="20"/>
          <w:szCs w:val="20"/>
          <w:color w:val="auto"/>
        </w:rPr>
      </w:pPr>
    </w:p>
    <w:p>
      <w:pPr>
        <w:ind w:left="405" w:hanging="405"/>
        <w:spacing w:after="0"/>
        <w:tabs>
          <w:tab w:leader="none" w:pos="405"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DURATION AND EXERCISE OF WARRANTS</w:t>
      </w:r>
    </w:p>
    <w:p>
      <w:pPr>
        <w:spacing w:after="0" w:line="194" w:lineRule="exact"/>
        <w:rPr>
          <w:rFonts w:ascii="Times New Roman" w:cs="Times New Roman" w:eastAsia="Times New Roman" w:hAnsi="Times New Roman"/>
          <w:sz w:val="16"/>
          <w:szCs w:val="16"/>
          <w:color w:val="auto"/>
        </w:rPr>
      </w:pPr>
    </w:p>
    <w:p>
      <w:pPr>
        <w:jc w:val="both"/>
        <w:ind w:left="5" w:right="20" w:firstLine="745"/>
        <w:spacing w:after="0" w:line="261" w:lineRule="auto"/>
        <w:tabs>
          <w:tab w:leader="none" w:pos="970"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Period</w:t>
      </w:r>
      <w:r>
        <w:rPr>
          <w:rFonts w:ascii="Times New Roman" w:cs="Times New Roman" w:eastAsia="Times New Roman" w:hAnsi="Times New Roman"/>
          <w:sz w:val="16"/>
          <w:szCs w:val="16"/>
          <w:color w:val="auto"/>
        </w:rPr>
        <w:t>. Commencing on the Exercise Commencement Date, the Holder may, upon the terms and subject to the limitations on exercise and the conditions hereinafter set forth, exercise this Warrant in whole or in part on any Business Day on or before 11:59 P.M., Eastern Time, on the Expiration Date, at which time this Warrant shall become void and of no value.</w:t>
      </w:r>
    </w:p>
    <w:p>
      <w:pPr>
        <w:spacing w:after="0" w:line="156" w:lineRule="exact"/>
        <w:rPr>
          <w:rFonts w:ascii="Times New Roman" w:cs="Times New Roman" w:eastAsia="Times New Roman" w:hAnsi="Times New Roman"/>
          <w:sz w:val="16"/>
          <w:szCs w:val="16"/>
          <w:color w:val="auto"/>
        </w:rPr>
      </w:pPr>
    </w:p>
    <w:p>
      <w:pPr>
        <w:ind w:left="965" w:hanging="215"/>
        <w:spacing w:after="0"/>
        <w:tabs>
          <w:tab w:leader="none" w:pos="965"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Procedures.</w:t>
      </w:r>
    </w:p>
    <w:p>
      <w:pPr>
        <w:spacing w:after="0" w:line="194" w:lineRule="exact"/>
        <w:rPr>
          <w:rFonts w:ascii="Times New Roman" w:cs="Times New Roman" w:eastAsia="Times New Roman" w:hAnsi="Times New Roman"/>
          <w:sz w:val="16"/>
          <w:szCs w:val="16"/>
          <w:color w:val="auto"/>
        </w:rPr>
      </w:pPr>
    </w:p>
    <w:p>
      <w:pPr>
        <w:jc w:val="both"/>
        <w:ind w:left="5" w:firstLine="1496"/>
        <w:spacing w:after="0" w:line="249" w:lineRule="auto"/>
        <w:tabs>
          <w:tab w:leader="none" w:pos="1700" w:val="left"/>
        </w:tabs>
        <w:numPr>
          <w:ilvl w:val="2"/>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While this Warrant remains outstanding and exercisable in accordance with Section 1(a), in addition to the manner set forth in Section 1(b)(ii) below, the Holder may exercise this Warrant in whole or in part at any time and from time to time by delivery to the Company of a duly executed copy of the Notice of Exercise attached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Notice of Exercise</w:t>
      </w:r>
      <w:r>
        <w:rPr>
          <w:rFonts w:ascii="Times New Roman" w:cs="Times New Roman" w:eastAsia="Times New Roman" w:hAnsi="Times New Roman"/>
          <w:sz w:val="16"/>
          <w:szCs w:val="16"/>
          <w:color w:val="auto"/>
        </w:rPr>
        <w:t>”). Within the earlier of (i) two (2) Trading Days and (ii) the number of Trading Days comprising the Standard Settlement Period (as defined below) following the date of exercise as aforesaid (the “</w:t>
      </w:r>
      <w:r>
        <w:rPr>
          <w:rFonts w:ascii="Times New Roman" w:cs="Times New Roman" w:eastAsia="Times New Roman" w:hAnsi="Times New Roman"/>
          <w:sz w:val="16"/>
          <w:szCs w:val="16"/>
          <w:b w:val="1"/>
          <w:bCs w:val="1"/>
          <w:color w:val="auto"/>
        </w:rPr>
        <w:t>Warrant Share Delivery Date</w:t>
      </w:r>
      <w:r>
        <w:rPr>
          <w:rFonts w:ascii="Times New Roman" w:cs="Times New Roman" w:eastAsia="Times New Roman" w:hAnsi="Times New Roman"/>
          <w:sz w:val="16"/>
          <w:szCs w:val="16"/>
          <w:color w:val="auto"/>
        </w:rPr>
        <w:t>”), the Holder shall deliver the aggregate Exercise Price for the shares specified in the applicable Notice of Exercise by wire transfer or cashier’s check drawn on a United States bank unless the cashless exercise procedure specified in Section 1(b)(ii)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As used herein, “</w:t>
      </w:r>
      <w:r>
        <w:rPr>
          <w:rFonts w:ascii="Times New Roman" w:cs="Times New Roman" w:eastAsia="Times New Roman" w:hAnsi="Times New Roman"/>
          <w:sz w:val="16"/>
          <w:szCs w:val="16"/>
          <w:b w:val="1"/>
          <w:bCs w:val="1"/>
          <w:color w:val="auto"/>
        </w:rPr>
        <w:t>Standard Settlement Period</w:t>
      </w:r>
      <w:r>
        <w:rPr>
          <w:rFonts w:ascii="Times New Roman" w:cs="Times New Roman" w:eastAsia="Times New Roman" w:hAnsi="Times New Roman"/>
          <w:sz w:val="16"/>
          <w:szCs w:val="16"/>
          <w:color w:val="auto"/>
        </w:rPr>
        <w:t>” means the standard settlement period, expressed in a number of Trading Days, on the Company’s primary trading market with respect to the Common Shares as in effect on the date of delivery of the Notice of Exercise.</w:t>
      </w:r>
    </w:p>
    <w:p>
      <w:pPr>
        <w:spacing w:after="0" w:line="165" w:lineRule="exact"/>
        <w:rPr>
          <w:rFonts w:ascii="Times New Roman" w:cs="Times New Roman" w:eastAsia="Times New Roman" w:hAnsi="Times New Roman"/>
          <w:sz w:val="16"/>
          <w:szCs w:val="16"/>
          <w:color w:val="auto"/>
        </w:rPr>
      </w:pPr>
    </w:p>
    <w:p>
      <w:pPr>
        <w:jc w:val="both"/>
        <w:ind w:left="5" w:firstLine="1496"/>
        <w:spacing w:after="0" w:line="256" w:lineRule="auto"/>
        <w:tabs>
          <w:tab w:leader="none" w:pos="1738" w:val="left"/>
        </w:tabs>
        <w:numPr>
          <w:ilvl w:val="2"/>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at any time a registration statement is not effective or available (as provided in the Registration Rights Agreement) for the resale by the Holder of all of the Warrant Shares, then the Holder may, in its sole discretion, exercise all or any part of the Warrant in a “cashless” or “net-issue” exercise (a “</w:t>
      </w:r>
      <w:r>
        <w:rPr>
          <w:rFonts w:ascii="Times New Roman" w:cs="Times New Roman" w:eastAsia="Times New Roman" w:hAnsi="Times New Roman"/>
          <w:sz w:val="16"/>
          <w:szCs w:val="16"/>
          <w:b w:val="1"/>
          <w:bCs w:val="1"/>
          <w:color w:val="auto"/>
        </w:rPr>
        <w:t>Cashless Exercise</w:t>
      </w:r>
      <w:r>
        <w:rPr>
          <w:rFonts w:ascii="Times New Roman" w:cs="Times New Roman" w:eastAsia="Times New Roman" w:hAnsi="Times New Roman"/>
          <w:sz w:val="16"/>
          <w:szCs w:val="16"/>
          <w:color w:val="auto"/>
        </w:rPr>
        <w:t>”) by delivering to the Company a Notice of Exercise, in which case, the number of Warrant Shares to be issued to the Holder upon such exercise shall be calculated using the following formula:</w:t>
      </w:r>
    </w:p>
    <w:p>
      <w:pPr>
        <w:spacing w:after="0" w:line="161" w:lineRule="exact"/>
        <w:rPr>
          <w:sz w:val="20"/>
          <w:szCs w:val="20"/>
          <w:color w:val="auto"/>
        </w:rPr>
      </w:pPr>
    </w:p>
    <w:p>
      <w:pPr>
        <w:ind w:left="425"/>
        <w:spacing w:after="0"/>
        <w:tabs>
          <w:tab w:leader="none" w:pos="1085" w:val="left"/>
        </w:tabs>
        <w:rPr>
          <w:sz w:val="20"/>
          <w:szCs w:val="20"/>
          <w:color w:val="auto"/>
        </w:rPr>
      </w:pPr>
      <w:r>
        <w:rPr>
          <w:rFonts w:ascii="Times New Roman" w:cs="Times New Roman" w:eastAsia="Times New Roman" w:hAnsi="Times New Roman"/>
          <w:sz w:val="16"/>
          <w:szCs w:val="16"/>
          <w:color w:val="auto"/>
        </w:rPr>
        <w:t>X =</w:t>
      </w:r>
      <w:r>
        <w:rPr>
          <w:sz w:val="20"/>
          <w:szCs w:val="20"/>
          <w:color w:val="auto"/>
        </w:rPr>
        <w:tab/>
      </w:r>
      <w:r>
        <w:rPr>
          <w:rFonts w:ascii="Times New Roman" w:cs="Times New Roman" w:eastAsia="Times New Roman" w:hAnsi="Times New Roman"/>
          <w:sz w:val="16"/>
          <w:szCs w:val="16"/>
          <w:u w:val="single" w:color="auto"/>
          <w:color w:val="auto"/>
        </w:rPr>
        <w:t>Y * (A - B)</w:t>
      </w:r>
    </w:p>
    <w:p>
      <w:pPr>
        <w:spacing w:after="0" w:line="22" w:lineRule="exact"/>
        <w:rPr>
          <w:sz w:val="20"/>
          <w:szCs w:val="20"/>
          <w:color w:val="auto"/>
        </w:rPr>
      </w:pPr>
    </w:p>
    <w:p>
      <w:pPr>
        <w:ind w:left="1425"/>
        <w:spacing w:after="0"/>
        <w:rPr>
          <w:sz w:val="20"/>
          <w:szCs w:val="20"/>
          <w:color w:val="auto"/>
        </w:rPr>
      </w:pPr>
      <w:r>
        <w:rPr>
          <w:rFonts w:ascii="Times New Roman" w:cs="Times New Roman" w:eastAsia="Times New Roman" w:hAnsi="Times New Roman"/>
          <w:sz w:val="16"/>
          <w:szCs w:val="16"/>
          <w:color w:val="auto"/>
        </w:rPr>
        <w:t>A</w:t>
      </w:r>
    </w:p>
    <w:p>
      <w:pPr>
        <w:spacing w:after="0" w:line="177" w:lineRule="exact"/>
        <w:rPr>
          <w:sz w:val="20"/>
          <w:szCs w:val="20"/>
          <w:color w:val="auto"/>
        </w:rPr>
      </w:pPr>
    </w:p>
    <w:p>
      <w:pPr>
        <w:ind w:left="5"/>
        <w:spacing w:after="0"/>
        <w:tabs>
          <w:tab w:leader="none" w:pos="885" w:val="left"/>
          <w:tab w:leader="none" w:pos="1545" w:val="left"/>
        </w:tabs>
        <w:rPr>
          <w:sz w:val="20"/>
          <w:szCs w:val="20"/>
          <w:color w:val="auto"/>
        </w:rPr>
      </w:pPr>
      <w:r>
        <w:rPr>
          <w:rFonts w:ascii="Times New Roman" w:cs="Times New Roman" w:eastAsia="Times New Roman" w:hAnsi="Times New Roman"/>
          <w:sz w:val="16"/>
          <w:szCs w:val="16"/>
          <w:color w:val="auto"/>
        </w:rPr>
        <w:t>with:</w:t>
      </w:r>
      <w:r>
        <w:rPr>
          <w:sz w:val="20"/>
          <w:szCs w:val="20"/>
          <w:color w:val="auto"/>
        </w:rPr>
        <w:tab/>
      </w:r>
      <w:r>
        <w:rPr>
          <w:rFonts w:ascii="Times New Roman" w:cs="Times New Roman" w:eastAsia="Times New Roman" w:hAnsi="Times New Roman"/>
          <w:sz w:val="16"/>
          <w:szCs w:val="16"/>
          <w:color w:val="auto"/>
        </w:rPr>
        <w:t>X =</w:t>
      </w:r>
      <w:r>
        <w:rPr>
          <w:sz w:val="20"/>
          <w:szCs w:val="20"/>
          <w:color w:val="auto"/>
        </w:rPr>
        <w:tab/>
      </w:r>
      <w:r>
        <w:rPr>
          <w:rFonts w:ascii="Times New Roman" w:cs="Times New Roman" w:eastAsia="Times New Roman" w:hAnsi="Times New Roman"/>
          <w:sz w:val="15"/>
          <w:szCs w:val="15"/>
          <w:color w:val="auto"/>
        </w:rPr>
        <w:t>the number of Warrant Shares to be issued to the Holder</w:t>
      </w:r>
    </w:p>
    <w:p>
      <w:pPr>
        <w:spacing w:after="0" w:line="194" w:lineRule="exact"/>
        <w:rPr>
          <w:sz w:val="20"/>
          <w:szCs w:val="20"/>
          <w:color w:val="auto"/>
        </w:rPr>
      </w:pPr>
    </w:p>
    <w:p>
      <w:pPr>
        <w:ind w:left="125"/>
        <w:spacing w:after="0"/>
        <w:tabs>
          <w:tab w:leader="none" w:pos="585" w:val="left"/>
        </w:tabs>
        <w:rPr>
          <w:sz w:val="20"/>
          <w:szCs w:val="20"/>
          <w:color w:val="auto"/>
        </w:rPr>
      </w:pPr>
      <w:r>
        <w:rPr>
          <w:rFonts w:ascii="Times New Roman" w:cs="Times New Roman" w:eastAsia="Times New Roman" w:hAnsi="Times New Roman"/>
          <w:sz w:val="16"/>
          <w:szCs w:val="16"/>
          <w:color w:val="auto"/>
        </w:rPr>
        <w:t>Y =</w:t>
      </w:r>
      <w:r>
        <w:rPr>
          <w:sz w:val="20"/>
          <w:szCs w:val="20"/>
          <w:color w:val="auto"/>
        </w:rPr>
        <w:tab/>
      </w:r>
      <w:r>
        <w:rPr>
          <w:rFonts w:ascii="Times New Roman" w:cs="Times New Roman" w:eastAsia="Times New Roman" w:hAnsi="Times New Roman"/>
          <w:sz w:val="15"/>
          <w:szCs w:val="15"/>
          <w:color w:val="auto"/>
        </w:rPr>
        <w:t>the number of Warrant Shares with respect to which the Warrant is being exercised</w:t>
      </w:r>
    </w:p>
    <w:p>
      <w:pPr>
        <w:spacing w:after="0" w:line="301" w:lineRule="exact"/>
        <w:rPr>
          <w:sz w:val="20"/>
          <w:szCs w:val="20"/>
          <w:color w:val="auto"/>
        </w:rPr>
      </w:pPr>
    </w:p>
    <w:p>
      <w:pPr>
        <w:ind w:left="125"/>
        <w:spacing w:after="0"/>
        <w:tabs>
          <w:tab w:leader="none" w:pos="665" w:val="left"/>
        </w:tabs>
        <w:rPr>
          <w:sz w:val="20"/>
          <w:szCs w:val="20"/>
          <w:color w:val="auto"/>
        </w:rPr>
      </w:pPr>
      <w:r>
        <w:rPr>
          <w:rFonts w:ascii="Times New Roman" w:cs="Times New Roman" w:eastAsia="Times New Roman" w:hAnsi="Times New Roman"/>
          <w:sz w:val="16"/>
          <w:szCs w:val="16"/>
          <w:color w:val="auto"/>
        </w:rPr>
        <w:t>A =</w:t>
      </w:r>
      <w:r>
        <w:rPr>
          <w:sz w:val="20"/>
          <w:szCs w:val="20"/>
          <w:color w:val="auto"/>
        </w:rPr>
        <w:tab/>
      </w:r>
      <w:r>
        <w:rPr>
          <w:rFonts w:ascii="Times New Roman" w:cs="Times New Roman" w:eastAsia="Times New Roman" w:hAnsi="Times New Roman"/>
          <w:sz w:val="15"/>
          <w:szCs w:val="15"/>
          <w:color w:val="auto"/>
        </w:rPr>
        <w:t>the fair value per Common Share on the date of exercise of this Warrant</w:t>
      </w:r>
    </w:p>
    <w:p>
      <w:pPr>
        <w:spacing w:after="0" w:line="301" w:lineRule="exact"/>
        <w:rPr>
          <w:sz w:val="20"/>
          <w:szCs w:val="20"/>
          <w:color w:val="auto"/>
        </w:rPr>
      </w:pPr>
    </w:p>
    <w:p>
      <w:pPr>
        <w:ind w:left="105"/>
        <w:spacing w:after="0"/>
        <w:tabs>
          <w:tab w:leader="none" w:pos="585" w:val="left"/>
        </w:tabs>
        <w:rPr>
          <w:sz w:val="20"/>
          <w:szCs w:val="20"/>
          <w:color w:val="auto"/>
        </w:rPr>
      </w:pPr>
      <w:r>
        <w:rPr>
          <w:rFonts w:ascii="Times New Roman" w:cs="Times New Roman" w:eastAsia="Times New Roman" w:hAnsi="Times New Roman"/>
          <w:sz w:val="16"/>
          <w:szCs w:val="16"/>
          <w:color w:val="auto"/>
        </w:rPr>
        <w:t>B =</w:t>
      </w:r>
      <w:r>
        <w:rPr>
          <w:sz w:val="20"/>
          <w:szCs w:val="20"/>
          <w:color w:val="auto"/>
        </w:rPr>
        <w:tab/>
      </w:r>
      <w:r>
        <w:rPr>
          <w:rFonts w:ascii="Times New Roman" w:cs="Times New Roman" w:eastAsia="Times New Roman" w:hAnsi="Times New Roman"/>
          <w:sz w:val="15"/>
          <w:szCs w:val="15"/>
          <w:color w:val="auto"/>
        </w:rPr>
        <w:t>the then-current Exercise Price of the Warrant</w:t>
      </w:r>
    </w:p>
    <w:p>
      <w:pPr>
        <w:spacing w:after="0" w:line="299" w:lineRule="exact"/>
        <w:rPr>
          <w:sz w:val="20"/>
          <w:szCs w:val="20"/>
          <w:color w:val="auto"/>
        </w:rPr>
      </w:pPr>
    </w:p>
    <w:p>
      <w:pPr>
        <w:jc w:val="both"/>
        <w:ind w:left="5" w:firstLine="751"/>
        <w:spacing w:after="0" w:line="257" w:lineRule="auto"/>
        <w:rPr>
          <w:sz w:val="20"/>
          <w:szCs w:val="20"/>
          <w:color w:val="auto"/>
        </w:rPr>
      </w:pPr>
      <w:r>
        <w:rPr>
          <w:rFonts w:ascii="Times New Roman" w:cs="Times New Roman" w:eastAsia="Times New Roman" w:hAnsi="Times New Roman"/>
          <w:sz w:val="16"/>
          <w:szCs w:val="16"/>
          <w:color w:val="auto"/>
        </w:rPr>
        <w:t>Solely for the purposes of this paragraph, “</w:t>
      </w:r>
      <w:r>
        <w:rPr>
          <w:rFonts w:ascii="Times New Roman" w:cs="Times New Roman" w:eastAsia="Times New Roman" w:hAnsi="Times New Roman"/>
          <w:sz w:val="16"/>
          <w:szCs w:val="16"/>
          <w:b w:val="1"/>
          <w:bCs w:val="1"/>
          <w:color w:val="auto"/>
        </w:rPr>
        <w:t>fair value</w:t>
      </w:r>
      <w:r>
        <w:rPr>
          <w:rFonts w:ascii="Times New Roman" w:cs="Times New Roman" w:eastAsia="Times New Roman" w:hAnsi="Times New Roman"/>
          <w:sz w:val="16"/>
          <w:szCs w:val="16"/>
          <w:color w:val="auto"/>
        </w:rPr>
        <w:t>” per Common Share shall mean the Closing Price (as defined below) per Common Share for the Trading Day immediately preceding the date on which the Notice of Exercise is deemed to have been sent to the Company. “</w:t>
      </w:r>
      <w:r>
        <w:rPr>
          <w:rFonts w:ascii="Times New Roman" w:cs="Times New Roman" w:eastAsia="Times New Roman" w:hAnsi="Times New Roman"/>
          <w:sz w:val="16"/>
          <w:szCs w:val="16"/>
          <w:b w:val="1"/>
          <w:bCs w:val="1"/>
          <w:color w:val="auto"/>
        </w:rPr>
        <w:t>Closing Price</w:t>
      </w:r>
      <w:r>
        <w:rPr>
          <w:rFonts w:ascii="Times New Roman" w:cs="Times New Roman" w:eastAsia="Times New Roman" w:hAnsi="Times New Roman"/>
          <w:sz w:val="16"/>
          <w:szCs w:val="16"/>
          <w:color w:val="auto"/>
        </w:rPr>
        <w:t>” means, for any date, the price determined by the first of the following clauses that applies: (a) if the Common Shares are then listed on a U.S. national securities exchange, the closing price per Common Share for such date (or the nearest preceding date) on the primary exchange</w:t>
      </w:r>
    </w:p>
    <w:p>
      <w:pPr>
        <w:spacing w:after="0" w:line="28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color w:val="auto"/>
        </w:rPr>
        <w:t>4912-9653-0358, 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17486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440" w:right="319" w:bottom="1440" w:gutter="0" w:footer="0" w:header="0"/>
        </w:sectPr>
      </w:pPr>
    </w:p>
    <w:bookmarkStart w:id="59" w:name="page60"/>
    <w:bookmarkEnd w:id="59"/>
    <w:p>
      <w:pPr>
        <w:jc w:val="both"/>
        <w:spacing w:after="0" w:line="252" w:lineRule="auto"/>
        <w:rPr>
          <w:sz w:val="20"/>
          <w:szCs w:val="20"/>
          <w:color w:val="auto"/>
        </w:rPr>
      </w:pPr>
      <w:r>
        <w:rPr>
          <w:rFonts w:ascii="Times New Roman" w:cs="Times New Roman" w:eastAsia="Times New Roman" w:hAnsi="Times New Roman"/>
          <w:sz w:val="16"/>
          <w:szCs w:val="16"/>
          <w:color w:val="auto"/>
        </w:rPr>
        <w:t>in the United States on which the Common Shares are then listed; (b) if prices for the Common Shares are then quoted on the OTC Bulletin Board or any tier of the OTC Markets in the United States, the closing bid price per Common Share for such date (or the nearest preceding date) so quoted; or (c) if prices for the Common Shares are then reported in the “Pink Sheets” published by the National Quotation Bureau Incorporated (or a similar organization or agency succeeding to its functions of reporting prices) in the United States, the most recent closing bid price per share of the Common Shares so reported. If the Common Shares are not publicly traded as set forth above, the “fair value” per Common Share shall be reasonably and in good faith determined by the board of directors of the Company (the “</w:t>
      </w:r>
      <w:r>
        <w:rPr>
          <w:rFonts w:ascii="Times New Roman" w:cs="Times New Roman" w:eastAsia="Times New Roman" w:hAnsi="Times New Roman"/>
          <w:sz w:val="16"/>
          <w:szCs w:val="16"/>
          <w:b w:val="1"/>
          <w:bCs w:val="1"/>
          <w:color w:val="auto"/>
        </w:rPr>
        <w:t>Board of Directors</w:t>
      </w:r>
      <w:r>
        <w:rPr>
          <w:rFonts w:ascii="Times New Roman" w:cs="Times New Roman" w:eastAsia="Times New Roman" w:hAnsi="Times New Roman"/>
          <w:sz w:val="16"/>
          <w:szCs w:val="16"/>
          <w:color w:val="auto"/>
        </w:rPr>
        <w:t>”) as of the date which the Notice of Exercise is deemed to have been sent to the Company.</w:t>
      </w:r>
    </w:p>
    <w:p>
      <w:pPr>
        <w:spacing w:after="0" w:line="163" w:lineRule="exact"/>
        <w:rPr>
          <w:sz w:val="20"/>
          <w:szCs w:val="20"/>
          <w:color w:val="auto"/>
        </w:rPr>
      </w:pPr>
    </w:p>
    <w:p>
      <w:pPr>
        <w:jc w:val="both"/>
        <w:ind w:firstLine="751"/>
        <w:spacing w:after="0" w:line="262" w:lineRule="auto"/>
        <w:rPr>
          <w:sz w:val="20"/>
          <w:szCs w:val="20"/>
          <w:color w:val="auto"/>
        </w:rPr>
      </w:pPr>
      <w:r>
        <w:rPr>
          <w:rFonts w:ascii="Times New Roman" w:cs="Times New Roman" w:eastAsia="Times New Roman" w:hAnsi="Times New Roman"/>
          <w:sz w:val="16"/>
          <w:szCs w:val="16"/>
          <w:color w:val="auto"/>
        </w:rPr>
        <w:t>For purposes of Rule 144 promulgated under the U.S.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it is intended, understood and acknowledged that the Warrant Shares issued in a Cashless Exercise transaction shall be deemed to have been acquired by the Holder, and the holding period for such shares shall be deemed to have commenced, on the date this Warrant was originally issued.</w:t>
      </w:r>
    </w:p>
    <w:p>
      <w:pPr>
        <w:spacing w:after="0" w:line="156" w:lineRule="exact"/>
        <w:rPr>
          <w:sz w:val="20"/>
          <w:szCs w:val="20"/>
          <w:color w:val="auto"/>
        </w:rPr>
      </w:pPr>
    </w:p>
    <w:p>
      <w:pPr>
        <w:jc w:val="both"/>
        <w:ind w:firstLine="1496"/>
        <w:spacing w:after="0" w:line="248" w:lineRule="auto"/>
        <w:tabs>
          <w:tab w:leader="none" w:pos="1778"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exercise of this Warrant in compliance with the provisions of this Section 1(b), the Company shall, on or before the Warrant Share Delivery Date, cause the Warrant Shares purchased hereunder to be transmitted by the Company’s transfer agent, Equiniti Trust Company, LLC, (the “</w:t>
      </w:r>
      <w:r>
        <w:rPr>
          <w:rFonts w:ascii="Times New Roman" w:cs="Times New Roman" w:eastAsia="Times New Roman" w:hAnsi="Times New Roman"/>
          <w:sz w:val="16"/>
          <w:szCs w:val="16"/>
          <w:b w:val="1"/>
          <w:bCs w:val="1"/>
          <w:color w:val="auto"/>
        </w:rPr>
        <w:t>Transfer Agent</w:t>
      </w:r>
      <w:r>
        <w:rPr>
          <w:rFonts w:ascii="Times New Roman" w:cs="Times New Roman" w:eastAsia="Times New Roman" w:hAnsi="Times New Roman"/>
          <w:sz w:val="16"/>
          <w:szCs w:val="16"/>
          <w:color w:val="auto"/>
        </w:rPr>
        <w:t>”) to the Holder by crediting the account of the Holder’s or its designee’s balance account with The Depository Trust Company (the “</w:t>
      </w:r>
      <w:r>
        <w:rPr>
          <w:rFonts w:ascii="Times New Roman" w:cs="Times New Roman" w:eastAsia="Times New Roman" w:hAnsi="Times New Roman"/>
          <w:sz w:val="16"/>
          <w:szCs w:val="16"/>
          <w:b w:val="1"/>
          <w:bCs w:val="1"/>
          <w:color w:val="auto"/>
        </w:rPr>
        <w:t>DTC</w:t>
      </w:r>
      <w:r>
        <w:rPr>
          <w:rFonts w:ascii="Times New Roman" w:cs="Times New Roman" w:eastAsia="Times New Roman" w:hAnsi="Times New Roman"/>
          <w:sz w:val="16"/>
          <w:szCs w:val="16"/>
          <w:color w:val="auto"/>
        </w:rPr>
        <w:t>”) through its Deposit or Withdrawal at Custodian system (“</w:t>
      </w:r>
      <w:r>
        <w:rPr>
          <w:rFonts w:ascii="Times New Roman" w:cs="Times New Roman" w:eastAsia="Times New Roman" w:hAnsi="Times New Roman"/>
          <w:sz w:val="16"/>
          <w:szCs w:val="16"/>
          <w:b w:val="1"/>
          <w:bCs w:val="1"/>
          <w:color w:val="auto"/>
        </w:rPr>
        <w:t>DWAC</w:t>
      </w:r>
      <w:r>
        <w:rPr>
          <w:rFonts w:ascii="Times New Roman" w:cs="Times New Roman" w:eastAsia="Times New Roman" w:hAnsi="Times New Roman"/>
          <w:sz w:val="16"/>
          <w:szCs w:val="16"/>
          <w:color w:val="auto"/>
        </w:rPr>
        <w:t>”), if the Transfer Agent is then a participant in such system, and either (A) there is an effective and available registration statement permitting the resale of the Warrant Shares by the Holder (as provided in the Registration Rights Agreement) and the Holder has contracted for such a resale, or (B) the Warrant Shares are eligible for resale by the Holder without volume or manner-of-sale limitations pursuant to Rule 144 (assuming Cashless Exercise of the Warrants), and otherwise, at the election of the Holder, by physical delivery of a certificate or a direct registration system account statement (“</w:t>
      </w:r>
      <w:r>
        <w:rPr>
          <w:rFonts w:ascii="Times New Roman" w:cs="Times New Roman" w:eastAsia="Times New Roman" w:hAnsi="Times New Roman"/>
          <w:sz w:val="16"/>
          <w:szCs w:val="16"/>
          <w:b w:val="1"/>
          <w:bCs w:val="1"/>
          <w:color w:val="auto"/>
        </w:rPr>
        <w:t>DRS Statement</w:t>
      </w:r>
      <w:r>
        <w:rPr>
          <w:rFonts w:ascii="Times New Roman" w:cs="Times New Roman" w:eastAsia="Times New Roman" w:hAnsi="Times New Roman"/>
          <w:sz w:val="16"/>
          <w:szCs w:val="16"/>
          <w:color w:val="auto"/>
        </w:rPr>
        <w:t>”), registered in the Company’s share register in the name of the Holder or its designee, for the number of Warrant Shares to which the Holder is entitled pursuant to such exercise by the Holder. Each exercise of this Warrant shall be effective immediately prior to the close of business on the date (the “</w:t>
      </w:r>
      <w:r>
        <w:rPr>
          <w:rFonts w:ascii="Times New Roman" w:cs="Times New Roman" w:eastAsia="Times New Roman" w:hAnsi="Times New Roman"/>
          <w:sz w:val="16"/>
          <w:szCs w:val="16"/>
          <w:b w:val="1"/>
          <w:bCs w:val="1"/>
          <w:color w:val="auto"/>
        </w:rPr>
        <w:t>Date of Exercise</w:t>
      </w:r>
      <w:r>
        <w:rPr>
          <w:rFonts w:ascii="Times New Roman" w:cs="Times New Roman" w:eastAsia="Times New Roman" w:hAnsi="Times New Roman"/>
          <w:sz w:val="16"/>
          <w:szCs w:val="16"/>
          <w:color w:val="auto"/>
        </w:rPr>
        <w:t>”) that the Notice of Exercise has been delivered, so long as the Aggregate Exercise Price (if any) has been delivered within one Trading Day of the delivery of the Notice of Exercise. On or before the first (1st) Trading Day following the date on which the Company has received a Notice of Exercise, the Company shall transmit by electronic mail an acknowledgment of confirmation of receipt of such Notice of Exercise, in the form attached hereto as Exhibit B, to the Holder and the Transfer Agent, which confirmation shall constitute an instruction to the Transfer Agent to process such Notice of Exercise in accordance with the terms herein. On or before the Warrant Share Delivery Date, the Company shall cause the Transfer Agent to issue and deliver via DWAC in connection with any resale of such Warrant Shares with respect to which the Holder has instructed a broker to sell such Warrant Shares, and for which the Holder has not yet settled (or via reputable overnight courier to the address as specified in the Notice of Exercise, a certificate or a DRS Statement, registered in the name of the Holder or its designee), for the number of Warrant Shares to which the Holder shall be entitled pursuant to such exercise, the Company shall cause the Transfer Agent to deliver the Warrant Shares to the Holder (or its designee). From the Issuance Date through and including the Expiration Date, the Company shall maintain a transfer agent that participates in DTC’s Fast Automated Securities Transfer (“</w:t>
      </w:r>
      <w:r>
        <w:rPr>
          <w:rFonts w:ascii="Times New Roman" w:cs="Times New Roman" w:eastAsia="Times New Roman" w:hAnsi="Times New Roman"/>
          <w:sz w:val="16"/>
          <w:szCs w:val="16"/>
          <w:b w:val="1"/>
          <w:bCs w:val="1"/>
          <w:color w:val="auto"/>
        </w:rPr>
        <w:t>FAST</w:t>
      </w:r>
      <w:r>
        <w:rPr>
          <w:rFonts w:ascii="Times New Roman" w:cs="Times New Roman" w:eastAsia="Times New Roman" w:hAnsi="Times New Roman"/>
          <w:sz w:val="16"/>
          <w:szCs w:val="16"/>
          <w:color w:val="auto"/>
        </w:rPr>
        <w:t>”) Program. Upon delivery of a Notice of Exercise; provided that the payment of the Aggregate Exercise Price (if any) has been made within one (1) Trading Day of the Notice of Exercise, the Holder shall be deemed for all corporate purposes to have become the holder of record of the Warrant Shares with respect to which this Warrant has been exercised, irrespective of the date of delivery of the certificates or DRS Statements evidencing such Warrant Shares, or crediting of such Holder’s (or designee’s) account with DTC (as the case may be).</w:t>
      </w:r>
    </w:p>
    <w:p>
      <w:pPr>
        <w:spacing w:after="0" w:line="170" w:lineRule="exact"/>
        <w:rPr>
          <w:rFonts w:ascii="Times New Roman" w:cs="Times New Roman" w:eastAsia="Times New Roman" w:hAnsi="Times New Roman"/>
          <w:sz w:val="16"/>
          <w:szCs w:val="16"/>
          <w:color w:val="auto"/>
        </w:rPr>
      </w:pPr>
    </w:p>
    <w:p>
      <w:pPr>
        <w:jc w:val="both"/>
        <w:ind w:firstLine="1496"/>
        <w:spacing w:after="0" w:line="251" w:lineRule="auto"/>
        <w:tabs>
          <w:tab w:leader="none" w:pos="177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shall fail, for any reason or for no reason, on or prior to the Warrant Share Delivery Date, to deliver to the Holder the Warrant Shares subject to a Notice of Exercise and the applicable Aggregate Exercise Price has been delivered (other than in the case of a Cashless Exercise), then the Company shall pay to the Holder, in cash, as liquidated damages and not as a penalty, for each US$1,000 of Warrant Shares subject to such exercise (based on the fair value of the Common Shares on the date of the applicable Notice of Exercise), US$10 per Trading Day for each Trading Day after such Warrant Share Delivery Date until such Warrant Shares are delivered or Holder rescinds such exercise; provided that such liquidated damages shall not begin to accrue until the first Trading Day after the Warrant Share Delivery Date and shall not exceed, in the aggregate, the aggregate Exercise Price in respect of the Warrant Shares subject to such exercise. In addition to the foregoing, if the Company fails to deliver the Warrant Shares in accordance with the provisions of Section 1(b)(iii) above pursuant to an exercise on or before the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4912-9653-0358, 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60" w:name="page61"/>
    <w:bookmarkEnd w:id="60"/>
    <w:p>
      <w:pPr>
        <w:jc w:val="both"/>
        <w:spacing w:after="0" w:line="248" w:lineRule="auto"/>
        <w:rPr>
          <w:sz w:val="20"/>
          <w:szCs w:val="20"/>
          <w:color w:val="auto"/>
        </w:rPr>
      </w:pPr>
      <w:r>
        <w:rPr>
          <w:rFonts w:ascii="Times New Roman" w:cs="Times New Roman" w:eastAsia="Times New Roman" w:hAnsi="Times New Roman"/>
          <w:sz w:val="16"/>
          <w:szCs w:val="16"/>
          <w:color w:val="auto"/>
        </w:rPr>
        <w:t>Warrant Share Delivery Date, and if on or after such Warrant Share Delivery Date the Holder acquires (in an open market transaction, stock loan or otherwise) Common Shares corresponding to all or any portion of the number of Warrant Shares issuable upon such exercise that the Holder is entitled to receive from the Company and has not received from the Company in connection with such failure to deliver (a “</w:t>
      </w:r>
      <w:r>
        <w:rPr>
          <w:rFonts w:ascii="Times New Roman" w:cs="Times New Roman" w:eastAsia="Times New Roman" w:hAnsi="Times New Roman"/>
          <w:sz w:val="16"/>
          <w:szCs w:val="16"/>
          <w:b w:val="1"/>
          <w:bCs w:val="1"/>
          <w:color w:val="auto"/>
        </w:rPr>
        <w:t>Buy-In</w:t>
      </w:r>
      <w:r>
        <w:rPr>
          <w:rFonts w:ascii="Times New Roman" w:cs="Times New Roman" w:eastAsia="Times New Roman" w:hAnsi="Times New Roman"/>
          <w:sz w:val="16"/>
          <w:szCs w:val="16"/>
          <w:color w:val="auto"/>
        </w:rPr>
        <w:t>”), then, in addition to all other remedies available to the Holder, the Company shall, within two (2) Business Days after the Holder’s request and in the Holder’s discretion, either (i) pay cash to the Holder in an amount equal to the Holder’s total purchase price (including brokerage commissions, stock loan costs and other out-of-pocket expenses, if any) for the Common Shares so acquired (including, without limitation, by any other Person in respect, or on behalf, of the Holder) (the “</w:t>
      </w:r>
      <w:r>
        <w:rPr>
          <w:rFonts w:ascii="Times New Roman" w:cs="Times New Roman" w:eastAsia="Times New Roman" w:hAnsi="Times New Roman"/>
          <w:sz w:val="16"/>
          <w:szCs w:val="16"/>
          <w:b w:val="1"/>
          <w:bCs w:val="1"/>
          <w:color w:val="auto"/>
        </w:rPr>
        <w:t>Buy-In Price</w:t>
      </w:r>
      <w:r>
        <w:rPr>
          <w:rFonts w:ascii="Times New Roman" w:cs="Times New Roman" w:eastAsia="Times New Roman" w:hAnsi="Times New Roman"/>
          <w:sz w:val="16"/>
          <w:szCs w:val="16"/>
          <w:color w:val="auto"/>
        </w:rPr>
        <w:t>”), at which point the Company’s obligation to so issue and deliver such certificate or DRS Statement (and to issue such Warrant Shares)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DRS Statement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price at which the sell order giving rise to such purchase obligation was executed. Nothing shall limit the Holder’s right to pursue any other remedies available to it hereunder, at law or in equity, including, without limitation, a decree of specific performance and/or injunctive relief with respect to the Company’s failure to timely deliver certificates or DRS Statements representing Warrant Shares (or to electronically deliver such Warrant Shares) upon the exercise of this Warrant as required pursuant to the terms hereof. In addition to the foregoing rights, (i) if the Company fails to deliver the applicable number of Warrant Shares upon an exercise pursuant to Section 1 by the applicable Warrant Share Delivery Date, then the Holder shall have the right to rescind such exercise in whole or in part and retain and/or have the Company return, as the case may be, any portion of this Warrant that has not been exercised pursuant to such Notice of Exercise; provided that the rescission of an exercise shall not affect the Company’s obligation to make any payments that have accrued prior to the date of such Notice of Exercise pursuant to this Section 1(b) or otherwise, and (ii) if a registration statement covering the resale of the Warrant Shares that are subject to a Notice of Exercise is not available for the resale of such Warrant Shares and the Holder has submitted a Notice of Exercise prior to receiving notice of the non-availability of such registration statement and the Company has not already delivered the Warrant Shares underlying such Notice of Exercise electronically without any restrictive legend by crediting such aggregate number of Warrant Shares to which the Holder is entitled pursuant to such exercise to the Holder’s or its designee’s balance account with DTC through its DWAC system, the Holder shall have the option, by delivery of notice to the Company, to (x) rescind such Notice of Exercise in whole or in part and retain or have returned, as the case may be, any portion of this Warrant that has not been exercised pursuant to such Notice of Exercise; provided that the rescission of a Notice of Exercise shall not affect the Company’s obligation to make any payments that have accrued prior to the date of such notice pursuant to this Section 1(b) or otherwise, and/or (y) switch some or all of such Notice of Exercise from a cash exercise to a Cashless Exercise.</w:t>
      </w:r>
    </w:p>
    <w:p>
      <w:pPr>
        <w:spacing w:after="0" w:line="167" w:lineRule="exact"/>
        <w:rPr>
          <w:sz w:val="20"/>
          <w:szCs w:val="20"/>
          <w:color w:val="auto"/>
        </w:rPr>
      </w:pPr>
    </w:p>
    <w:p>
      <w:pPr>
        <w:jc w:val="both"/>
        <w:ind w:firstLine="1496"/>
        <w:spacing w:after="0" w:line="256" w:lineRule="auto"/>
        <w:tabs>
          <w:tab w:leader="none" w:pos="1728"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the foregoing, the Holder may, in its sole and absolute discretion, elect to exercise this Warrant into pre-funded warrants to purchase same number of Warrant Shares as to which this Warrant is being exercised in the form of a pre-funded warrant attached as </w:t>
      </w:r>
      <w:r>
        <w:rPr>
          <w:rFonts w:ascii="Times New Roman" w:cs="Times New Roman" w:eastAsia="Times New Roman" w:hAnsi="Times New Roman"/>
          <w:sz w:val="16"/>
          <w:szCs w:val="16"/>
          <w:u w:val="single" w:color="auto"/>
          <w:color w:val="auto"/>
        </w:rPr>
        <w:t>Exhibit D</w:t>
      </w:r>
      <w:r>
        <w:rPr>
          <w:rFonts w:ascii="Times New Roman" w:cs="Times New Roman" w:eastAsia="Times New Roman" w:hAnsi="Times New Roman"/>
          <w:sz w:val="16"/>
          <w:szCs w:val="16"/>
          <w:color w:val="auto"/>
        </w:rPr>
        <w:t xml:space="preserve"> hereto (a “</w:t>
      </w:r>
      <w:r>
        <w:rPr>
          <w:rFonts w:ascii="Times New Roman" w:cs="Times New Roman" w:eastAsia="Times New Roman" w:hAnsi="Times New Roman"/>
          <w:sz w:val="16"/>
          <w:szCs w:val="16"/>
          <w:b w:val="1"/>
          <w:bCs w:val="1"/>
          <w:color w:val="auto"/>
        </w:rPr>
        <w:t>Pre-Funded Warrant</w:t>
      </w:r>
      <w:r>
        <w:rPr>
          <w:rFonts w:ascii="Times New Roman" w:cs="Times New Roman" w:eastAsia="Times New Roman" w:hAnsi="Times New Roman"/>
          <w:sz w:val="16"/>
          <w:szCs w:val="16"/>
          <w:color w:val="auto"/>
        </w:rPr>
        <w:t>”) (as subject to adjustment hereunder), with an exercise price of $0.0001 per Common Share (the “</w:t>
      </w:r>
      <w:r>
        <w:rPr>
          <w:rFonts w:ascii="Times New Roman" w:cs="Times New Roman" w:eastAsia="Times New Roman" w:hAnsi="Times New Roman"/>
          <w:sz w:val="16"/>
          <w:szCs w:val="16"/>
          <w:b w:val="1"/>
          <w:bCs w:val="1"/>
          <w:color w:val="auto"/>
        </w:rPr>
        <w:t>Pre-Funded Warrant Exercise Price</w:t>
      </w:r>
      <w:r>
        <w:rPr>
          <w:rFonts w:ascii="Times New Roman" w:cs="Times New Roman" w:eastAsia="Times New Roman" w:hAnsi="Times New Roman"/>
          <w:sz w:val="16"/>
          <w:szCs w:val="16"/>
          <w:color w:val="auto"/>
        </w:rPr>
        <w:t>”). The purchase price of one Pre-Funded Warrant shall be the Exercise Price minus the Pre-Funded Warrant Exercise Price.</w:t>
      </w:r>
    </w:p>
    <w:p>
      <w:pPr>
        <w:spacing w:after="0" w:line="161" w:lineRule="exact"/>
        <w:rPr>
          <w:rFonts w:ascii="Times New Roman" w:cs="Times New Roman" w:eastAsia="Times New Roman" w:hAnsi="Times New Roman"/>
          <w:sz w:val="16"/>
          <w:szCs w:val="16"/>
          <w:color w:val="auto"/>
        </w:rPr>
      </w:pPr>
    </w:p>
    <w:p>
      <w:pPr>
        <w:jc w:val="both"/>
        <w:ind w:firstLine="745"/>
        <w:spacing w:after="0" w:line="275" w:lineRule="auto"/>
        <w:tabs>
          <w:tab w:leader="none" w:pos="965"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Partial Exercise</w:t>
      </w:r>
      <w:r>
        <w:rPr>
          <w:rFonts w:ascii="Times New Roman" w:cs="Times New Roman" w:eastAsia="Times New Roman" w:hAnsi="Times New Roman"/>
          <w:sz w:val="15"/>
          <w:szCs w:val="15"/>
          <w:color w:val="auto"/>
        </w:rPr>
        <w:t>. This Warrant shall be exercisable, either in its entirety or, from time to time, for part of the number of Warrant Shares referenced by this Warrant. If this Warrant is submitted in connection with any exercise pursuant to Section 1 and the number of Warrant Shares represented by this Warrant submitted for exercise is greater than the actual number of Warrant Shares being acquired upon such an exercise and the Holder elects to receive a replacement Warrant, then the Company shall as soon as practicable and in no event later than ten (10) Business Days after any exercise and at its own expense, issue a new Warrant of like tenor representing the right to purchase the number of Warrant Shares purchasable immediately prior to such exercise under this Warrant, less the number of Warrant Shares with respect to which this Warrant is exercised.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4912-9653-0358, 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61" w:name="page62"/>
    <w:bookmarkEnd w:id="61"/>
    <w:p>
      <w:pPr>
        <w:ind w:left="5" w:right="20" w:firstLine="745"/>
        <w:spacing w:after="0" w:line="276" w:lineRule="auto"/>
        <w:tabs>
          <w:tab w:leader="none" w:pos="979" w:val="left"/>
        </w:tabs>
        <w:numPr>
          <w:ilvl w:val="1"/>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Disputes</w:t>
      </w:r>
      <w:r>
        <w:rPr>
          <w:rFonts w:ascii="Times New Roman" w:cs="Times New Roman" w:eastAsia="Times New Roman" w:hAnsi="Times New Roman"/>
          <w:sz w:val="16"/>
          <w:szCs w:val="16"/>
          <w:color w:val="auto"/>
        </w:rPr>
        <w:t>. In the case of a dispute as to the determination of the Exercise Price or the arithmetic calculation of the Warrant Shares, the Company shall promptly issue to the Holder the number of Warrant Shares that are not disputed and resolve such dispute in accordance with Section 16.</w:t>
      </w:r>
    </w:p>
    <w:p>
      <w:pPr>
        <w:spacing w:after="0" w:line="144" w:lineRule="exact"/>
        <w:rPr>
          <w:rFonts w:ascii="Times New Roman" w:cs="Times New Roman" w:eastAsia="Times New Roman" w:hAnsi="Times New Roman"/>
          <w:sz w:val="16"/>
          <w:szCs w:val="16"/>
          <w:color w:val="auto"/>
        </w:rPr>
      </w:pPr>
    </w:p>
    <w:p>
      <w:pPr>
        <w:ind w:left="465" w:hanging="465"/>
        <w:spacing w:after="0"/>
        <w:tabs>
          <w:tab w:leader="none" w:pos="465"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ISSUANCE OF WARRANT SHARES</w:t>
      </w:r>
    </w:p>
    <w:p>
      <w:pPr>
        <w:spacing w:after="0" w:line="194" w:lineRule="exact"/>
        <w:rPr>
          <w:rFonts w:ascii="Times New Roman" w:cs="Times New Roman" w:eastAsia="Times New Roman" w:hAnsi="Times New Roman"/>
          <w:sz w:val="16"/>
          <w:szCs w:val="16"/>
          <w:color w:val="auto"/>
        </w:rPr>
      </w:pPr>
    </w:p>
    <w:p>
      <w:pPr>
        <w:jc w:val="both"/>
        <w:ind w:left="5" w:right="20" w:firstLine="745"/>
        <w:spacing w:after="0" w:line="261" w:lineRule="auto"/>
        <w:tabs>
          <w:tab w:leader="none" w:pos="986"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covenants that all Warrant Shares will, upon issuance in accordance with the terms of this Warrant, be (i) duly authorized, fully paid and non-assessable, and (ii) free from all liens, charges and security interests, with the exception of claims arising through the acts or omissions of any Holder and except as arising from applicable U.S. federal and state securities laws, or applicable Canadian provincial securities laws.</w:t>
      </w:r>
    </w:p>
    <w:p>
      <w:pPr>
        <w:spacing w:after="0" w:line="156" w:lineRule="exact"/>
        <w:rPr>
          <w:rFonts w:ascii="Times New Roman" w:cs="Times New Roman" w:eastAsia="Times New Roman" w:hAnsi="Times New Roman"/>
          <w:sz w:val="16"/>
          <w:szCs w:val="16"/>
          <w:color w:val="auto"/>
        </w:rPr>
      </w:pPr>
    </w:p>
    <w:p>
      <w:pPr>
        <w:jc w:val="both"/>
        <w:ind w:left="5" w:firstLine="745"/>
        <w:spacing w:after="0" w:line="261" w:lineRule="auto"/>
        <w:tabs>
          <w:tab w:leader="none" w:pos="984"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register this Warrant upon records to be maintained by the Company for that purpose in the name of the record Holder of such Warrant from time to time. The Company may deem and treat the record Holder of this Warrant as the absolute owner thereof for the purpose of any exercise thereof, any distribution to the Holder thereof and for all other purposes.</w:t>
      </w:r>
    </w:p>
    <w:p>
      <w:pPr>
        <w:spacing w:after="0" w:line="156" w:lineRule="exact"/>
        <w:rPr>
          <w:rFonts w:ascii="Times New Roman" w:cs="Times New Roman" w:eastAsia="Times New Roman" w:hAnsi="Times New Roman"/>
          <w:sz w:val="16"/>
          <w:szCs w:val="16"/>
          <w:color w:val="auto"/>
        </w:rPr>
      </w:pPr>
    </w:p>
    <w:p>
      <w:pPr>
        <w:jc w:val="both"/>
        <w:ind w:left="5" w:right="20" w:firstLine="745"/>
        <w:spacing w:after="0" w:line="256" w:lineRule="auto"/>
        <w:tabs>
          <w:tab w:leader="none" w:pos="1001"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not, by amendment of its certificate of incorporation, by-laws or through any reorganization, transfer of assets, consolidation, merger, amalgamation, arrangement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the taking of all action necessary or appropriate in order to protect the rights of the Holder to exercise this Warrant, or against impairment of such rights.</w:t>
      </w:r>
    </w:p>
    <w:p>
      <w:pPr>
        <w:spacing w:after="0" w:line="161" w:lineRule="exact"/>
        <w:rPr>
          <w:rFonts w:ascii="Times New Roman" w:cs="Times New Roman" w:eastAsia="Times New Roman" w:hAnsi="Times New Roman"/>
          <w:sz w:val="16"/>
          <w:szCs w:val="16"/>
          <w:color w:val="auto"/>
        </w:rPr>
      </w:pPr>
    </w:p>
    <w:p>
      <w:pPr>
        <w:ind w:left="465" w:hanging="465"/>
        <w:spacing w:after="0"/>
        <w:tabs>
          <w:tab w:leader="none" w:pos="465"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ADJUSTMENTS OF EXERCISE PRICE, NUMBER AND TYPE OF WARRANT SHARES</w:t>
      </w:r>
    </w:p>
    <w:p>
      <w:pPr>
        <w:spacing w:after="0" w:line="194" w:lineRule="exact"/>
        <w:rPr>
          <w:rFonts w:ascii="Times New Roman" w:cs="Times New Roman" w:eastAsia="Times New Roman" w:hAnsi="Times New Roman"/>
          <w:sz w:val="16"/>
          <w:szCs w:val="16"/>
          <w:color w:val="auto"/>
        </w:rPr>
      </w:pPr>
    </w:p>
    <w:p>
      <w:pPr>
        <w:jc w:val="both"/>
        <w:ind w:left="5" w:right="20" w:firstLine="745"/>
        <w:spacing w:after="0" w:line="256" w:lineRule="auto"/>
        <w:tabs>
          <w:tab w:leader="none" w:pos="991"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Exercise Price and the number of Warrant Shares issuable upon the exercise of this Warrant shall be subject to adjustment from time to time upon the occurrence of certain events described in this Section 3. If the Company does not have the requisite number of authorized but unissued Common Shares to make any adjustment, then the Company shall, as soon as reasonably practicable, take all action necessary to increase the Company’s authorized Common Shares to an amount sufficient to allow the Company to have the requisite number of authorized Common Shares to allow for such adjustment.</w:t>
      </w:r>
    </w:p>
    <w:p>
      <w:pPr>
        <w:spacing w:after="0" w:line="161" w:lineRule="exact"/>
        <w:rPr>
          <w:sz w:val="20"/>
          <w:szCs w:val="20"/>
          <w:color w:val="auto"/>
        </w:rPr>
      </w:pPr>
    </w:p>
    <w:p>
      <w:pPr>
        <w:jc w:val="both"/>
        <w:ind w:left="5" w:hanging="5"/>
        <w:spacing w:after="0" w:line="252" w:lineRule="auto"/>
        <w:tabs>
          <w:tab w:leader="none" w:pos="196" w:val="left"/>
        </w:tabs>
        <w:numPr>
          <w:ilvl w:val="0"/>
          <w:numId w:val="83"/>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u w:val="single" w:color="auto"/>
          <w:color w:val="auto"/>
        </w:rPr>
        <w:t>Subdivision or Combination of Common Shares</w:t>
      </w:r>
      <w:r>
        <w:rPr>
          <w:rFonts w:ascii="Times New Roman" w:cs="Times New Roman" w:eastAsia="Times New Roman" w:hAnsi="Times New Roman"/>
          <w:sz w:val="16"/>
          <w:szCs w:val="16"/>
          <w:color w:val="auto"/>
        </w:rPr>
        <w:t>. In case the Company shall at any time subdivide (whether by way of stock dividend, stock split or otherwise) its outstanding Common Shares into a greater number of shares, the Exercise Price in effect immediately prior to such subdivision shall be proportionately reduced and the number of Warrant Shares shall be proportionately increased, and conversely, in case the outstanding Common Shares of the Company shall be combined (whether by way of stock combination, reverse stock split or otherwise) into a smaller number of shares, the Exercise Price in effect immediately prior to such combination shall be proportionately increased and the number of Warrant Shares shall be proportionately decreased. The Exercise Price and the Warrant Shares, as so adjusted, shall be readjusted in the same manner upon the happening of any successive event or events described in this Section 3(a)(i).</w:t>
      </w:r>
    </w:p>
    <w:p>
      <w:pPr>
        <w:spacing w:after="0" w:line="165" w:lineRule="exact"/>
        <w:rPr>
          <w:rFonts w:ascii="Times New Roman" w:cs="Times New Roman" w:eastAsia="Times New Roman" w:hAnsi="Times New Roman"/>
          <w:sz w:val="16"/>
          <w:szCs w:val="16"/>
          <w:u w:val="single" w:color="auto"/>
          <w:color w:val="auto"/>
        </w:rPr>
      </w:pPr>
    </w:p>
    <w:p>
      <w:pPr>
        <w:jc w:val="both"/>
        <w:ind w:left="5" w:hanging="5"/>
        <w:spacing w:after="0" w:line="269" w:lineRule="auto"/>
        <w:tabs>
          <w:tab w:leader="none" w:pos="237" w:val="left"/>
        </w:tabs>
        <w:numPr>
          <w:ilvl w:val="0"/>
          <w:numId w:val="83"/>
        </w:numPr>
        <w:rPr>
          <w:rFonts w:ascii="Times New Roman" w:cs="Times New Roman" w:eastAsia="Times New Roman" w:hAnsi="Times New Roman"/>
          <w:sz w:val="15"/>
          <w:szCs w:val="15"/>
          <w:u w:val="single" w:color="auto"/>
          <w:color w:val="auto"/>
        </w:rPr>
      </w:pPr>
      <w:r>
        <w:rPr>
          <w:rFonts w:ascii="Times New Roman" w:cs="Times New Roman" w:eastAsia="Times New Roman" w:hAnsi="Times New Roman"/>
          <w:sz w:val="15"/>
          <w:szCs w:val="15"/>
          <w:u w:val="single" w:color="auto"/>
          <w:color w:val="auto"/>
        </w:rPr>
        <w:t>Subsequent Rights Offerings</w:t>
      </w:r>
      <w:r>
        <w:rPr>
          <w:rFonts w:ascii="Times New Roman" w:cs="Times New Roman" w:eastAsia="Times New Roman" w:hAnsi="Times New Roman"/>
          <w:sz w:val="15"/>
          <w:szCs w:val="15"/>
          <w:color w:val="auto"/>
        </w:rPr>
        <w:t>. In addition to any adjustments pursuant to Section 3(a) above, if at any time the Company grants, issues or sells any Common Share Equivalents or rights to purchase stock, warrants, securities or other property pro rata to the record holders of any class of Common Shares (the “</w:t>
      </w:r>
      <w:r>
        <w:rPr>
          <w:rFonts w:ascii="Times New Roman" w:cs="Times New Roman" w:eastAsia="Times New Roman" w:hAnsi="Times New Roman"/>
          <w:sz w:val="15"/>
          <w:szCs w:val="15"/>
          <w:b w:val="1"/>
          <w:bCs w:val="1"/>
          <w:color w:val="auto"/>
        </w:rPr>
        <w:t>Purchase Rights</w:t>
      </w:r>
      <w:r>
        <w:rPr>
          <w:rFonts w:ascii="Times New Roman" w:cs="Times New Roman" w:eastAsia="Times New Roman" w:hAnsi="Times New Roman"/>
          <w:sz w:val="15"/>
          <w:szCs w:val="15"/>
          <w:color w:val="auto"/>
        </w:rPr>
        <w:t>”), then the Holder will be entitled to acquire, upon the terms applicable to such Purchase Rights, the aggregate Purchase Rights which the Holder could have acquired if the Holder had held the number of Common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Shares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Common Shares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200" w:lineRule="exact"/>
        <w:rPr>
          <w:sz w:val="20"/>
          <w:szCs w:val="20"/>
          <w:color w:val="auto"/>
        </w:rPr>
      </w:pPr>
    </w:p>
    <w:p>
      <w:pPr>
        <w:spacing w:after="0" w:line="26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color w:val="auto"/>
        </w:rPr>
        <w:t>4912-9653-0358, 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508635</wp:posOffset>
            </wp:positionV>
            <wp:extent cx="717486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412" w:right="319" w:bottom="1440" w:gutter="0" w:footer="0" w:header="0"/>
        </w:sectPr>
      </w:pPr>
    </w:p>
    <w:bookmarkStart w:id="62" w:name="page63"/>
    <w:bookmarkEnd w:id="62"/>
    <w:p>
      <w:pPr>
        <w:spacing w:after="0" w:line="8" w:lineRule="exact"/>
        <w:rPr>
          <w:sz w:val="20"/>
          <w:szCs w:val="20"/>
          <w:color w:val="auto"/>
        </w:rPr>
      </w:pPr>
    </w:p>
    <w:p>
      <w:pPr>
        <w:jc w:val="both"/>
        <w:ind w:left="5" w:hanging="5"/>
        <w:spacing w:after="0" w:line="268" w:lineRule="auto"/>
        <w:tabs>
          <w:tab w:leader="none" w:pos="289" w:val="left"/>
        </w:tabs>
        <w:numPr>
          <w:ilvl w:val="0"/>
          <w:numId w:val="84"/>
        </w:numPr>
        <w:rPr>
          <w:rFonts w:ascii="Times New Roman" w:cs="Times New Roman" w:eastAsia="Times New Roman" w:hAnsi="Times New Roman"/>
          <w:sz w:val="15"/>
          <w:szCs w:val="15"/>
          <w:u w:val="single" w:color="auto"/>
          <w:color w:val="auto"/>
        </w:rPr>
      </w:pPr>
      <w:r>
        <w:rPr>
          <w:rFonts w:ascii="Times New Roman" w:cs="Times New Roman" w:eastAsia="Times New Roman" w:hAnsi="Times New Roman"/>
          <w:sz w:val="15"/>
          <w:szCs w:val="15"/>
          <w:u w:val="single" w:color="auto"/>
          <w:color w:val="auto"/>
        </w:rPr>
        <w:t>Pro Rata Distributions</w:t>
      </w:r>
      <w:r>
        <w:rPr>
          <w:rFonts w:ascii="Times New Roman" w:cs="Times New Roman" w:eastAsia="Times New Roman" w:hAnsi="Times New Roman"/>
          <w:sz w:val="15"/>
          <w:szCs w:val="15"/>
          <w:color w:val="auto"/>
        </w:rPr>
        <w:t>. During such time as this Warrant is outstanding, if the Company shall declare or make any dividend or other distribution of its assets (or rights to acquire its assets) to holders of Common Shares,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5"/>
          <w:szCs w:val="15"/>
          <w:b w:val="1"/>
          <w:bCs w:val="1"/>
          <w:color w:val="auto"/>
        </w:rPr>
        <w:t>Distribution</w:t>
      </w:r>
      <w:r>
        <w:rPr>
          <w:rFonts w:ascii="Times New Roman" w:cs="Times New Roman" w:eastAsia="Times New Roman" w:hAnsi="Times New Roman"/>
          <w:sz w:val="15"/>
          <w:szCs w:val="15"/>
          <w:color w:val="auto"/>
        </w:rPr>
        <w:t>”), at any time after the issuance of this Warrant, then, in each such case, the Holder shall be entitled to participate in such Distribution to the same extent that the Holder would have participated therein if the Holder had held the number of Common Shares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Common Shares are to be determined for the participation in such Distribution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Common Shares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55" w:lineRule="exact"/>
        <w:rPr>
          <w:rFonts w:ascii="Times New Roman" w:cs="Times New Roman" w:eastAsia="Times New Roman" w:hAnsi="Times New Roman"/>
          <w:sz w:val="15"/>
          <w:szCs w:val="15"/>
          <w:u w:val="single" w:color="auto"/>
          <w:color w:val="auto"/>
        </w:rPr>
      </w:pPr>
    </w:p>
    <w:p>
      <w:pPr>
        <w:jc w:val="both"/>
        <w:ind w:left="5" w:hanging="5"/>
        <w:spacing w:after="0" w:line="265" w:lineRule="auto"/>
        <w:tabs>
          <w:tab w:leader="none" w:pos="272" w:val="left"/>
        </w:tabs>
        <w:numPr>
          <w:ilvl w:val="0"/>
          <w:numId w:val="84"/>
        </w:numPr>
        <w:rPr>
          <w:rFonts w:ascii="Times New Roman" w:cs="Times New Roman" w:eastAsia="Times New Roman" w:hAnsi="Times New Roman"/>
          <w:sz w:val="15"/>
          <w:szCs w:val="15"/>
          <w:u w:val="single" w:color="auto"/>
          <w:color w:val="auto"/>
        </w:rPr>
      </w:pPr>
      <w:r>
        <w:rPr>
          <w:rFonts w:ascii="Times New Roman" w:cs="Times New Roman" w:eastAsia="Times New Roman" w:hAnsi="Times New Roman"/>
          <w:sz w:val="15"/>
          <w:szCs w:val="15"/>
          <w:u w:val="single" w:color="auto"/>
          <w:color w:val="auto"/>
        </w:rPr>
        <w:t>Fundamental Transaction</w:t>
      </w:r>
      <w:r>
        <w:rPr>
          <w:rFonts w:ascii="Times New Roman" w:cs="Times New Roman" w:eastAsia="Times New Roman" w:hAnsi="Times New Roman"/>
          <w:sz w:val="15"/>
          <w:szCs w:val="15"/>
          <w:color w:val="auto"/>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Shares are permitted to sell, tender or exchange their shares for other securities, cash or property and has been accepted by the holders of greater than 50% of the outstanding Common Shares or greater than 50% of the voting power of the common equity of the Company, (iv) the Company, directly or indirectly, in one or more related transactions effects any reclassification, reorganization or recapitalization of the Common Shares or any compulsory share exchange pursuant to which the Common Shares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Common Shares or greater than 50% of the voting power of the common equity of the Company (each a “Fundamental Transaction”),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Common Shares of the successor or acquiring corporation or of the Company, if it is the surviving corporation, and any additional consideration (the “Alternate Consideration”) receivable as a result of such Fundamental Transaction by a holder of the number of Common Shares for which this Warrant is exercisable immediately prior to such Fundamental Transaction (without regard to any limitation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contemplated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(i) the Fundamental Transaction is not within the Company's control, including not approved by the Company's Board of Directors or (ii) the consideration issuable in such Fundamental Transaction is all stock or other securities consideration, then, in each case, the Holder, in connection with the Holder’s option to cause the Company</w:t>
      </w:r>
    </w:p>
    <w:p>
      <w:pPr>
        <w:spacing w:after="0" w:line="200" w:lineRule="exact"/>
        <w:rPr>
          <w:sz w:val="20"/>
          <w:szCs w:val="20"/>
          <w:color w:val="auto"/>
        </w:rPr>
      </w:pPr>
    </w:p>
    <w:p>
      <w:pPr>
        <w:spacing w:after="0" w:line="27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color w:val="auto"/>
        </w:rPr>
        <w:t>4912-9653-0358, 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17486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440" w:right="319" w:bottom="1440" w:gutter="0" w:footer="0" w:header="0"/>
        </w:sectPr>
      </w:pPr>
    </w:p>
    <w:bookmarkStart w:id="63" w:name="page64"/>
    <w:bookmarkEnd w:id="63"/>
    <w:p>
      <w:pPr>
        <w:jc w:val="both"/>
        <w:spacing w:after="0" w:line="264" w:lineRule="auto"/>
        <w:rPr>
          <w:sz w:val="20"/>
          <w:szCs w:val="20"/>
          <w:color w:val="auto"/>
        </w:rPr>
      </w:pPr>
      <w:r>
        <w:rPr>
          <w:rFonts w:ascii="Times New Roman" w:cs="Times New Roman" w:eastAsia="Times New Roman" w:hAnsi="Times New Roman"/>
          <w:sz w:val="15"/>
          <w:szCs w:val="15"/>
          <w:color w:val="auto"/>
        </w:rPr>
        <w:t>or any Successor Entity to purchase this Warrant from the Holder, which option shall be exercisable at any time concurrently with, or within 30 days after, the consummation of the Fundamental Transaction (or, if later, the date of the public announcement of the applicable contemplated Fundamental Transaction), shall only be entitled to receive from the Company or any Successor Entity the same type or form of consideration (and in the same proportion), at the Black Scholes Value of the unexercised portion of this Warrant, that is being offered and paid to the holders of Common Shares of the Company in connection with the Fundamental Transaction, whether that consideration be in the form of cash, stock or any combination thereof, or whether the holders of Common Shares are given the choice to receive from among alternative forms of consideration in connection with the Fundamental Transaction; provided, further, that if holders of Common Shares of the Company are not offered or paid any consideration in such Fundamental Transaction, such holders of Common Shares will be deemed to have received common stock of the Successor Entity (which Successor Entity may be the Company following such Fundamental Transaction) in such Fundamental Transaction. “Black Scholes Value” means the value of this Warrant based on the Black Scholes Option Pricing Model obtained from the “OV” function on Bloomberg, L.P. (“Bloomberg”) determined as of the day of consummation of the applicable Fundamental Transaction for pricing purposes and reflecting (i) a risk-free interest rate corresponding to the U.S. Treasury rate for a period equal to the remaining term of this Warrant as of such date of request, (ii) an expected volatility equal to the remaining term of this Warrant obtained from the HVT function on Bloomberg as of the Trading Day immediately prior to the public announcement of the applicable Fundamental Transaction or, if the Fundamental Transaction is not publicly announced, the date the Fundamental Transaction is consummated, (iii) the underlying price per share used in such calculation shall be the greater of (A) the sum of the price per share being offered in cash, if any, plus the per share value of any non-cash consideration, if any, being offered in such Fundamental Transaction and (B) the greater of (x) the last weighted average price of the Common Shares immediately prior to the public announcement of such Fundamental Transaction and (y) the last weighted average price of the Common Shares immediately prior to the consummation of such Fundamental Transaction, (iv) a zero cost of borrow and (v) a 360 day annualization factor. The payment of the Black Scholes Value will be made by wire transfer of immediately available funds (or such other consideration) within the later of (i) five Business Days of the Holder’s election and (ii) the effective date of the Fundamental Transaction. The Company shall cause any successor entity in a Fundamental Transaction in which the Company is not the survivor (the “Successor Entity”) to assume in writing all of the obligations of the Company under this Warrant in accordance with the provisions of this Section 3(a)(iv)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w:t>
      </w:r>
    </w:p>
    <w:p>
      <w:pPr>
        <w:spacing w:after="0" w:line="363" w:lineRule="exact"/>
        <w:rPr>
          <w:sz w:val="20"/>
          <w:szCs w:val="20"/>
          <w:color w:val="auto"/>
        </w:rPr>
      </w:pPr>
    </w:p>
    <w:p>
      <w:pPr>
        <w:jc w:val="both"/>
        <w:ind w:firstLine="745"/>
        <w:spacing w:after="0" w:line="254" w:lineRule="auto"/>
        <w:tabs>
          <w:tab w:leader="none" w:pos="985"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Certificate as to Adjustments</w:t>
      </w:r>
      <w:r>
        <w:rPr>
          <w:rFonts w:ascii="Times New Roman" w:cs="Times New Roman" w:eastAsia="Times New Roman" w:hAnsi="Times New Roman"/>
          <w:sz w:val="16"/>
          <w:szCs w:val="16"/>
          <w:color w:val="auto"/>
        </w:rPr>
        <w:t>. Upon the occurrence of each adjustment or readjustment pursuant to this Section 3, the Company at its expense shall promptly compute such adjustment or readjustment in accordance with the terms hereof and furnish to the Holder of this Warrant a certificate setting forth such adjustment or readjustment and showing in detail the facts upon which such adjustment or readjustment is based. The Company shall promptly furnish or cause to be furnished to such Holder a like certificate setting forth: (i) such adjustments and readjustments; and (ii) the number of shares and/or the amount, if any, of other securities, assets or property which at the time would be received upon the exercise of the Warrant.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4912-9653-0358, 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64" w:name="page65"/>
    <w:bookmarkEnd w:id="64"/>
    <w:p>
      <w:pPr>
        <w:jc w:val="both"/>
        <w:ind w:left="5" w:right="20" w:firstLine="745"/>
        <w:spacing w:after="0" w:line="254" w:lineRule="auto"/>
        <w:tabs>
          <w:tab w:leader="none" w:pos="970"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Events</w:t>
      </w:r>
      <w:r>
        <w:rPr>
          <w:rFonts w:ascii="Times New Roman" w:cs="Times New Roman" w:eastAsia="Times New Roman" w:hAnsi="Times New Roman"/>
          <w:sz w:val="16"/>
          <w:szCs w:val="16"/>
          <w:color w:val="auto"/>
        </w:rPr>
        <w:t xml:space="preserve">. If any event occurs as to which the other provisions of this Section 3 are not strictly applicable but the lack of any adjustment would not fairly protect the purchase rights of the Holder under this Warrant in accordance with the basic intent and principles of such provisions, or if strictly applicable would not fairly protect the purchase rights of the Holder under this Warrant in accordance with the basic intent and principles of such provisions, then the Board of Directors will, in good faith, make an appropriate adjustment to protect the rights of the Holder,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such adjustment pursuant to this Section 3(c) will increase the Exercise Price or decrease the number of Warrant Shares except as determined pursuant to this Section 3.</w:t>
      </w:r>
    </w:p>
    <w:p>
      <w:pPr>
        <w:spacing w:after="0" w:line="161" w:lineRule="exact"/>
        <w:rPr>
          <w:rFonts w:ascii="Times New Roman" w:cs="Times New Roman" w:eastAsia="Times New Roman" w:hAnsi="Times New Roman"/>
          <w:sz w:val="16"/>
          <w:szCs w:val="16"/>
          <w:color w:val="auto"/>
        </w:rPr>
      </w:pPr>
    </w:p>
    <w:p>
      <w:pPr>
        <w:ind w:left="465" w:hanging="465"/>
        <w:spacing w:after="0"/>
        <w:tabs>
          <w:tab w:leader="none" w:pos="465"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 ON EXERCISE</w:t>
      </w:r>
    </w:p>
    <w:p>
      <w:pPr>
        <w:spacing w:after="0" w:line="194" w:lineRule="exact"/>
        <w:rPr>
          <w:rFonts w:ascii="Times New Roman" w:cs="Times New Roman" w:eastAsia="Times New Roman" w:hAnsi="Times New Roman"/>
          <w:sz w:val="16"/>
          <w:szCs w:val="16"/>
          <w:color w:val="auto"/>
        </w:rPr>
      </w:pPr>
    </w:p>
    <w:p>
      <w:pPr>
        <w:jc w:val="both"/>
        <w:ind w:left="5" w:firstLine="745"/>
        <w:spacing w:after="0" w:line="250" w:lineRule="auto"/>
        <w:tabs>
          <w:tab w:leader="none" w:pos="987"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contained herein, the Company shall not effect any exercise of this Warrant, and the Holder shall not be entitled to exercise this Warrant for a number of Warrant Shares in excess of that number of Warrant Shares that, upon giving effect or immediately prior to such exercise, would cause (i) the aggregate number of Common Shares beneficially owned by the Holder, its Affiliates and any other Persons whose beneficial ownership of Common Shares would be aggregated with the Holder’s for purposes of Section 13(d) of the Exchange Act to exceed [4.99][9.99]% (the “Maximum Percentage”) of the total number of issued and outstanding Common Shares of the Company following such exercise, or (ii) the combined voting power of the securities of the Company beneficially owned by the Holder and its Affiliates and any other Persons whose beneficial ownership of Common Shares would be aggregated with the Holder’s for purposes of Section 13(d) of the Exchange Act to exceed [4.99][9.99]% of the combined voting power of all of the securities of the Company then outstanding following such exercise. For purposes of this Warrant, in determining the number of outstanding Common Shares, the Holder may rely on the number of outstanding Common Shares as reflected in (x) the Company’s most recent Form 10-Q or Form 10-K, as the case may be, filed with the Commission prior to the date hereof, (y) a more recent public announcement by the Company or (z) any other notice by the Company or its transfer agent setting forth the number of Common Shares outstanding. Upon the written request of the Holder, the Company shall within three (3) Trading Days confirm in writing or by electronic mail to the Holder the number of Common Shares then outstanding. In any case, the number of outstanding Common Shares shall be determined after giving effect to the conversion or exercise of securities of the Company, including this Warrant, by the Holder since the date as of which such number of outstanding Common Shares was reported. By written notice to the Company, the Holder may from time to time increase or decrease the Maximum Percentage to any other percentage specified in such notice; provided that such Maximum Percentage shall not exceed 9.99% (or upon the election of the Holder prior to the issuance of this Warrant, 19.99%); provided, further, that any such increase will not be effective until the sixty-first (61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day after such notice is delivered to the Company.</w:t>
      </w:r>
    </w:p>
    <w:p>
      <w:pPr>
        <w:spacing w:after="0" w:line="105" w:lineRule="exact"/>
        <w:rPr>
          <w:sz w:val="20"/>
          <w:szCs w:val="20"/>
          <w:color w:val="auto"/>
        </w:rPr>
      </w:pPr>
    </w:p>
    <w:p>
      <w:pPr>
        <w:jc w:val="both"/>
        <w:ind w:left="5"/>
        <w:spacing w:after="0" w:line="250" w:lineRule="auto"/>
        <w:rPr>
          <w:sz w:val="20"/>
          <w:szCs w:val="20"/>
          <w:color w:val="auto"/>
        </w:rPr>
      </w:pPr>
      <w:r>
        <w:rPr>
          <w:rFonts w:ascii="Times New Roman" w:cs="Times New Roman" w:eastAsia="Times New Roman" w:hAnsi="Times New Roman"/>
          <w:sz w:val="16"/>
          <w:szCs w:val="16"/>
          <w:color w:val="auto"/>
        </w:rPr>
        <w:t>For purposes of this Section 4(a), the aggregate number of Common Shares or voting securities beneficially owned by the Holder and its Affiliates and any other Persons whose beneficial ownership of Common Shares would be aggregated with the Holder’s for purposes of Section 13(d) of the Exchange Act shall include the Common Shares issuable upon the exercise of this Warrant with respect to which such determination is being made, but shall exclude the number of Common Shares that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that would entitle the holder thereof to acquire at any time Common Shares, including without limitation any debt, preferred stock, right, option, warrant or other instrument that is at any time convertible into or exercisable or exchangeable for, or otherwise entitles the holder thereof to receive, Common Shares), is subject to a limitation on conversion or exercise analogous to the limitation contained herein and is beneficially owned by the Holder or any of its Affiliates and other Persons whose beneficial ownership of Common Shares would be aggregated with the Holder’s for purposes of Section 13(d) of the Exchange Act.</w:t>
      </w:r>
    </w:p>
    <w:p>
      <w:pPr>
        <w:spacing w:after="0" w:line="167" w:lineRule="exact"/>
        <w:rPr>
          <w:sz w:val="20"/>
          <w:szCs w:val="20"/>
          <w:color w:val="auto"/>
        </w:rPr>
      </w:pPr>
    </w:p>
    <w:p>
      <w:pPr>
        <w:ind w:left="5" w:right="20" w:firstLine="745"/>
        <w:spacing w:after="0" w:line="276" w:lineRule="auto"/>
        <w:tabs>
          <w:tab w:leader="none" w:pos="989"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Section 4 shall not restrict the number of Common Shares that a Holder may receive or beneficially own in order to determine the amount of securities or other consideration that such Holder may receive in the event of a Fundamental Transaction as contemplated in Section 3(a)(iv) of this Warrant.</w:t>
      </w:r>
    </w:p>
    <w:p>
      <w:pPr>
        <w:spacing w:after="0" w:line="144" w:lineRule="exact"/>
        <w:rPr>
          <w:rFonts w:ascii="Times New Roman" w:cs="Times New Roman" w:eastAsia="Times New Roman" w:hAnsi="Times New Roman"/>
          <w:sz w:val="16"/>
          <w:szCs w:val="16"/>
          <w:color w:val="auto"/>
        </w:rPr>
      </w:pPr>
    </w:p>
    <w:p>
      <w:pPr>
        <w:ind w:left="465" w:hanging="465"/>
        <w:spacing w:after="0"/>
        <w:tabs>
          <w:tab w:leader="none" w:pos="465"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TRANSFERS AND EXCHANGES OF WARRANT AND WARRANT SHARES</w:t>
      </w:r>
    </w:p>
    <w:p>
      <w:pPr>
        <w:spacing w:after="0" w:line="194" w:lineRule="exact"/>
        <w:rPr>
          <w:rFonts w:ascii="Times New Roman" w:cs="Times New Roman" w:eastAsia="Times New Roman" w:hAnsi="Times New Roman"/>
          <w:sz w:val="16"/>
          <w:szCs w:val="16"/>
          <w:color w:val="auto"/>
        </w:rPr>
      </w:pPr>
    </w:p>
    <w:p>
      <w:pPr>
        <w:jc w:val="both"/>
        <w:ind w:left="5" w:firstLine="745"/>
        <w:spacing w:after="0" w:line="261" w:lineRule="auto"/>
        <w:tabs>
          <w:tab w:leader="none" w:pos="994"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of Transfers and Exchanges</w:t>
      </w:r>
      <w:r>
        <w:rPr>
          <w:rFonts w:ascii="Times New Roman" w:cs="Times New Roman" w:eastAsia="Times New Roman" w:hAnsi="Times New Roman"/>
          <w:sz w:val="16"/>
          <w:szCs w:val="16"/>
          <w:color w:val="auto"/>
        </w:rPr>
        <w:t xml:space="preserve">. Subject to Section 5(c), upon the Holder’s surrender of this Warrant, with a duly executed copy of the Form of Assignment attached as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to the Chief Financial Officer of the Company at its principal offices or at such other office or agency as the Company may specify in writing to the</w:t>
      </w:r>
    </w:p>
    <w:p>
      <w:pPr>
        <w:spacing w:after="0" w:line="27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color w:val="auto"/>
        </w:rPr>
        <w:t>4912-9653-0358, 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17486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8" w:right="319" w:bottom="1440" w:gutter="0" w:footer="0" w:header="0"/>
        </w:sectPr>
      </w:pPr>
    </w:p>
    <w:bookmarkStart w:id="65" w:name="page66"/>
    <w:bookmarkEnd w:id="65"/>
    <w:p>
      <w:pPr>
        <w:jc w:val="both"/>
        <w:ind w:left="5" w:right="20"/>
        <w:spacing w:after="0" w:line="261" w:lineRule="auto"/>
        <w:rPr>
          <w:sz w:val="20"/>
          <w:szCs w:val="20"/>
          <w:color w:val="auto"/>
        </w:rPr>
      </w:pPr>
      <w:r>
        <w:rPr>
          <w:rFonts w:ascii="Times New Roman" w:cs="Times New Roman" w:eastAsia="Times New Roman" w:hAnsi="Times New Roman"/>
          <w:sz w:val="16"/>
          <w:szCs w:val="16"/>
          <w:color w:val="auto"/>
        </w:rPr>
        <w:t>Holder, the Company shall register the transfer of all or any portion of this Warrant. Upon such registration of transfer, the Company shall issue a new Warrant, in substantially the form of this Warrant, evidencing the acquisition rights transferred to the transferee and a new Warrant, in similar form, evidencing the remaining acquisition rights, if any, not transferred, to the Holder requesting the transfer.</w:t>
      </w:r>
    </w:p>
    <w:p>
      <w:pPr>
        <w:spacing w:after="0" w:line="157" w:lineRule="exact"/>
        <w:rPr>
          <w:sz w:val="20"/>
          <w:szCs w:val="20"/>
          <w:color w:val="auto"/>
        </w:rPr>
      </w:pPr>
    </w:p>
    <w:p>
      <w:pPr>
        <w:jc w:val="both"/>
        <w:ind w:left="5" w:firstLine="745"/>
        <w:spacing w:after="0" w:line="254" w:lineRule="auto"/>
        <w:tabs>
          <w:tab w:leader="none" w:pos="991"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Warrant Exchangeable for Different Denominations</w:t>
      </w:r>
      <w:r>
        <w:rPr>
          <w:rFonts w:ascii="Times New Roman" w:cs="Times New Roman" w:eastAsia="Times New Roman" w:hAnsi="Times New Roman"/>
          <w:sz w:val="16"/>
          <w:szCs w:val="16"/>
          <w:color w:val="auto"/>
        </w:rPr>
        <w:t>. The Holder may exchange this Warrant for a new Warrant or Warrants, in substantially the form of this Warrant, evidencing in the aggregate the right to purchase the number of Warrant Shares which may then be purchased hereunder, each of such new Warrants to be dated the date of such exchange and to represent the right to purchase such number of Warrant Shares as shall be designated by the Holder. The Holder shall surrender this Warrant with duly executed instructions regarding such re-certification of this Warrant to the Chief Financial Officer of the Company at its principal offices or at such other office or agency as the Company may specify in writing to the Holder.</w:t>
      </w:r>
    </w:p>
    <w:p>
      <w:pPr>
        <w:spacing w:after="0" w:line="161" w:lineRule="exact"/>
        <w:rPr>
          <w:rFonts w:ascii="Times New Roman" w:cs="Times New Roman" w:eastAsia="Times New Roman" w:hAnsi="Times New Roman"/>
          <w:sz w:val="16"/>
          <w:szCs w:val="16"/>
          <w:color w:val="auto"/>
        </w:rPr>
      </w:pPr>
    </w:p>
    <w:p>
      <w:pPr>
        <w:jc w:val="both"/>
        <w:ind w:left="5" w:firstLine="745"/>
        <w:spacing w:after="0" w:line="254" w:lineRule="auto"/>
        <w:tabs>
          <w:tab w:leader="none" w:pos="970"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Transfers</w:t>
      </w:r>
      <w:r>
        <w:rPr>
          <w:rFonts w:ascii="Times New Roman" w:cs="Times New Roman" w:eastAsia="Times New Roman" w:hAnsi="Times New Roman"/>
          <w:sz w:val="16"/>
          <w:szCs w:val="16"/>
          <w:color w:val="auto"/>
        </w:rPr>
        <w:t>. This Warrant may not be transferred at any time without (i) registration under the Securities Act and all applicable state securities laws, or (ii) the availability of an exemption from such registration; provided, however, that no opinion of counsel shall be required in connection with any transfer effected pursuant to Rule 144, and the Company shall accept customary Rule 144 seller representations in lieu thereof; and, in the case of any other exemption, delivery to the Company of a written opinion of legal counsel addressed to the Company that the proposed transfer of the Warrant may be effected without registration under the Securities Act, which opinion shall be in form and substance reasonably satisfactory to the Company.</w:t>
      </w:r>
    </w:p>
    <w:p>
      <w:pPr>
        <w:spacing w:after="0" w:line="161" w:lineRule="exact"/>
        <w:rPr>
          <w:rFonts w:ascii="Times New Roman" w:cs="Times New Roman" w:eastAsia="Times New Roman" w:hAnsi="Times New Roman"/>
          <w:sz w:val="16"/>
          <w:szCs w:val="16"/>
          <w:color w:val="auto"/>
        </w:rPr>
      </w:pPr>
    </w:p>
    <w:p>
      <w:pPr>
        <w:jc w:val="both"/>
        <w:ind w:left="5" w:right="20" w:firstLine="745"/>
        <w:spacing w:after="0" w:line="279" w:lineRule="auto"/>
        <w:tabs>
          <w:tab w:leader="none" w:pos="979" w:val="left"/>
        </w:tabs>
        <w:numPr>
          <w:ilvl w:val="1"/>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Permitted Transfers and Assignments</w:t>
      </w:r>
      <w:r>
        <w:rPr>
          <w:rFonts w:ascii="Times New Roman" w:cs="Times New Roman" w:eastAsia="Times New Roman" w:hAnsi="Times New Roman"/>
          <w:sz w:val="15"/>
          <w:szCs w:val="15"/>
          <w:color w:val="auto"/>
        </w:rPr>
        <w:t xml:space="preserve">. Notwithstanding any provision to the contrary in this Section 5, the Holder may transfer, with or without consideration, this Warrant or any of the Warrant Shares (or a portion thereof) to the Holder’s Affiliates without obtaining the opinion from counsel that may be required by Section 5(c)(ii),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Holder delivers to the Company and its counsel certifications, documentation, and other assurances, acceptable to the Company, and reasonably required by the Holder’s counsel to enable the Holder’s counsel to render an opinion to the Company’s Transfer Agent that such transfer does not violate applicable U.S. federal securities laws</w:t>
      </w:r>
    </w:p>
    <w:p>
      <w:pPr>
        <w:spacing w:after="0" w:line="167" w:lineRule="exact"/>
        <w:rPr>
          <w:rFonts w:ascii="Times New Roman" w:cs="Times New Roman" w:eastAsia="Times New Roman" w:hAnsi="Times New Roman"/>
          <w:sz w:val="15"/>
          <w:szCs w:val="15"/>
          <w:color w:val="auto"/>
        </w:rPr>
      </w:pPr>
    </w:p>
    <w:p>
      <w:pPr>
        <w:ind w:left="465" w:hanging="465"/>
        <w:spacing w:after="0"/>
        <w:tabs>
          <w:tab w:leader="none" w:pos="465"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MUTILATED OR MISSING WARRANT CERTIFICATE</w:t>
      </w:r>
    </w:p>
    <w:p>
      <w:pPr>
        <w:spacing w:after="0" w:line="194" w:lineRule="exact"/>
        <w:rPr>
          <w:sz w:val="20"/>
          <w:szCs w:val="20"/>
          <w:color w:val="auto"/>
        </w:rPr>
      </w:pPr>
    </w:p>
    <w:p>
      <w:pPr>
        <w:jc w:val="both"/>
        <w:ind w:left="5" w:right="20" w:firstLine="751"/>
        <w:spacing w:after="0" w:line="256" w:lineRule="auto"/>
        <w:rPr>
          <w:sz w:val="20"/>
          <w:szCs w:val="20"/>
          <w:color w:val="auto"/>
        </w:rPr>
      </w:pPr>
      <w:r>
        <w:rPr>
          <w:rFonts w:ascii="Times New Roman" w:cs="Times New Roman" w:eastAsia="Times New Roman" w:hAnsi="Times New Roman"/>
          <w:sz w:val="16"/>
          <w:szCs w:val="16"/>
          <w:color w:val="auto"/>
        </w:rPr>
        <w:t xml:space="preserve">If this Warrant is mutilated, lost, stolen or destroyed, upon request by the Holder, the Company will, at the Holder’s expense, issue, in exchange for and upon cancellation of the mutilated Warrant, or in substitution for the lost, stolen or destroyed Warrant, a new Warrant, in substantially the form of this Warrant, representing the right to acquire the equivalent number of Warrant Shares;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as a prerequisite to the issuance of a substitute Warrant, the Company may require satisfactory evidence of loss, theft or destruction as well as an indemnity from the Holder of a lost, stolen or destroyed Warrant.</w:t>
      </w:r>
    </w:p>
    <w:p>
      <w:pPr>
        <w:spacing w:after="0" w:line="161" w:lineRule="exact"/>
        <w:rPr>
          <w:sz w:val="20"/>
          <w:szCs w:val="20"/>
          <w:color w:val="auto"/>
        </w:rPr>
      </w:pPr>
    </w:p>
    <w:p>
      <w:pPr>
        <w:ind w:left="465" w:hanging="465"/>
        <w:spacing w:after="0"/>
        <w:tabs>
          <w:tab w:leader="none" w:pos="465"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OF TAXES</w:t>
      </w:r>
    </w:p>
    <w:p>
      <w:pPr>
        <w:spacing w:after="0" w:line="194" w:lineRule="exact"/>
        <w:rPr>
          <w:sz w:val="20"/>
          <w:szCs w:val="20"/>
          <w:color w:val="auto"/>
        </w:rPr>
      </w:pPr>
    </w:p>
    <w:p>
      <w:pPr>
        <w:jc w:val="both"/>
        <w:ind w:left="5" w:firstLine="751"/>
        <w:spacing w:after="0" w:line="261" w:lineRule="auto"/>
        <w:rPr>
          <w:sz w:val="20"/>
          <w:szCs w:val="20"/>
          <w:color w:val="auto"/>
        </w:rPr>
      </w:pPr>
      <w:r>
        <w:rPr>
          <w:rFonts w:ascii="Times New Roman" w:cs="Times New Roman" w:eastAsia="Times New Roman" w:hAnsi="Times New Roman"/>
          <w:sz w:val="16"/>
          <w:szCs w:val="16"/>
          <w:color w:val="auto"/>
        </w:rPr>
        <w:t xml:space="preserve">The Company will pay all transfer and stock issuance taxes attributable to the preparation, issuance and delivery of this Warrant and the Warrant Shares including, without limitation, all documentary and stamp taxes;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Company shall not be required to pay any tax in respect of the transfer of this Warrant, or the issuance or delivery of certificates for Warrant Shares or other securities in respect of the Warrant Shares to any person or entity other than to the Holder.</w:t>
      </w:r>
    </w:p>
    <w:p>
      <w:pPr>
        <w:spacing w:after="0" w:line="157" w:lineRule="exact"/>
        <w:rPr>
          <w:sz w:val="20"/>
          <w:szCs w:val="20"/>
          <w:color w:val="auto"/>
        </w:rPr>
      </w:pPr>
    </w:p>
    <w:p>
      <w:pPr>
        <w:ind w:left="465" w:hanging="465"/>
        <w:spacing w:after="0"/>
        <w:tabs>
          <w:tab w:leader="none" w:pos="465"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FRACTIONAL WARRANT SHARES</w:t>
      </w:r>
    </w:p>
    <w:p>
      <w:pPr>
        <w:spacing w:after="0" w:line="194" w:lineRule="exact"/>
        <w:rPr>
          <w:sz w:val="20"/>
          <w:szCs w:val="20"/>
          <w:color w:val="auto"/>
        </w:rPr>
      </w:pPr>
    </w:p>
    <w:p>
      <w:pPr>
        <w:ind w:left="5" w:firstLine="751"/>
        <w:spacing w:after="0" w:line="276" w:lineRule="auto"/>
        <w:rPr>
          <w:sz w:val="20"/>
          <w:szCs w:val="20"/>
          <w:color w:val="auto"/>
        </w:rPr>
      </w:pPr>
      <w:r>
        <w:rPr>
          <w:rFonts w:ascii="Times New Roman" w:cs="Times New Roman" w:eastAsia="Times New Roman" w:hAnsi="Times New Roman"/>
          <w:sz w:val="16"/>
          <w:szCs w:val="16"/>
          <w:color w:val="auto"/>
        </w:rPr>
        <w:t>No fractional Warrant Shares shall be issued upon exercise of this Warrant. The Company, in lieu of issuing any fractional Warrant Share, shall round up the number of Warrant Shares issuable to nearest whole share.</w:t>
      </w:r>
    </w:p>
    <w:p>
      <w:pPr>
        <w:spacing w:after="0" w:line="145" w:lineRule="exact"/>
        <w:rPr>
          <w:sz w:val="20"/>
          <w:szCs w:val="20"/>
          <w:color w:val="auto"/>
        </w:rPr>
      </w:pPr>
    </w:p>
    <w:p>
      <w:pPr>
        <w:ind w:left="465" w:hanging="465"/>
        <w:spacing w:after="0"/>
        <w:tabs>
          <w:tab w:leader="none" w:pos="465"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SHAREHOLDER RIGHTS; LEGEND</w:t>
      </w:r>
    </w:p>
    <w:p>
      <w:pPr>
        <w:spacing w:after="0" w:line="194" w:lineRule="exact"/>
        <w:rPr>
          <w:sz w:val="20"/>
          <w:szCs w:val="20"/>
          <w:color w:val="auto"/>
        </w:rPr>
      </w:pPr>
    </w:p>
    <w:p>
      <w:pPr>
        <w:ind w:left="5" w:firstLine="751"/>
        <w:spacing w:after="0" w:line="276" w:lineRule="auto"/>
        <w:rPr>
          <w:sz w:val="20"/>
          <w:szCs w:val="20"/>
          <w:color w:val="auto"/>
        </w:rPr>
      </w:pPr>
      <w:r>
        <w:rPr>
          <w:rFonts w:ascii="Times New Roman" w:cs="Times New Roman" w:eastAsia="Times New Roman" w:hAnsi="Times New Roman"/>
          <w:sz w:val="16"/>
          <w:szCs w:val="16"/>
          <w:color w:val="auto"/>
        </w:rPr>
        <w:t>No holder of this Warrant, as such, shall be entitled to vote or be deemed the holder of Common Shares or any other securities of the Company that may at any time be issuable on the exercise hereof, nor shall anything contained herein be construed to confer upon the holder of this Warrant, as such, the rights of a shareholder of the</w:t>
      </w:r>
    </w:p>
    <w:p>
      <w:pPr>
        <w:spacing w:after="0" w:line="26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color w:val="auto"/>
        </w:rPr>
        <w:t>4912-9653-0358, 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17486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8" w:right="319" w:bottom="1440" w:gutter="0" w:footer="0" w:header="0"/>
        </w:sectPr>
      </w:pPr>
    </w:p>
    <w:bookmarkStart w:id="66" w:name="page67"/>
    <w:bookmarkEnd w:id="66"/>
    <w:p>
      <w:pPr>
        <w:jc w:val="both"/>
        <w:ind w:left="5" w:right="20"/>
        <w:spacing w:after="0" w:line="261" w:lineRule="auto"/>
        <w:rPr>
          <w:sz w:val="20"/>
          <w:szCs w:val="20"/>
          <w:color w:val="auto"/>
        </w:rPr>
      </w:pPr>
      <w:r>
        <w:rPr>
          <w:rFonts w:ascii="Times New Roman" w:cs="Times New Roman" w:eastAsia="Times New Roman" w:hAnsi="Times New Roman"/>
          <w:sz w:val="16"/>
          <w:szCs w:val="16"/>
          <w:color w:val="auto"/>
        </w:rPr>
        <w:t>Company or the right to vote for the election of directors or upon any matter submitted to shareholders at any meeting thereof, or give or withhold consent to any corporate action or to receive notice of meetings or other actions affecting shareholders (except as provided herein), or to receive dividends or subscription rights or otherwise (except as provide herein).</w:t>
      </w:r>
    </w:p>
    <w:p>
      <w:pPr>
        <w:spacing w:after="0" w:line="157" w:lineRule="exact"/>
        <w:rPr>
          <w:sz w:val="20"/>
          <w:szCs w:val="20"/>
          <w:color w:val="auto"/>
        </w:rPr>
      </w:pPr>
    </w:p>
    <w:p>
      <w:pPr>
        <w:jc w:val="both"/>
        <w:ind w:left="5" w:right="20" w:firstLine="751"/>
        <w:spacing w:after="0" w:line="276" w:lineRule="auto"/>
        <w:rPr>
          <w:sz w:val="20"/>
          <w:szCs w:val="20"/>
          <w:color w:val="auto"/>
        </w:rPr>
      </w:pPr>
      <w:r>
        <w:rPr>
          <w:rFonts w:ascii="Times New Roman" w:cs="Times New Roman" w:eastAsia="Times New Roman" w:hAnsi="Times New Roman"/>
          <w:sz w:val="16"/>
          <w:szCs w:val="16"/>
          <w:color w:val="auto"/>
        </w:rPr>
        <w:t>Each certificate or DRS Statement for Warrant Shares initially issued upon the exercise of this Warrant, and each certificate or DRS Statement for Warrant Shares issued to any subsequent transferee of any such certificate or DRS Statement, shall be stamped or otherwise imprinted with a legend in substantially the following form:</w:t>
      </w:r>
    </w:p>
    <w:p>
      <w:pPr>
        <w:spacing w:after="0" w:line="145" w:lineRule="exact"/>
        <w:rPr>
          <w:sz w:val="20"/>
          <w:szCs w:val="20"/>
          <w:color w:val="auto"/>
        </w:rPr>
      </w:pPr>
    </w:p>
    <w:p>
      <w:pPr>
        <w:jc w:val="both"/>
        <w:ind w:left="5" w:firstLine="751"/>
        <w:spacing w:after="0" w:line="251" w:lineRule="auto"/>
        <w:rPr>
          <w:sz w:val="20"/>
          <w:szCs w:val="20"/>
          <w:color w:val="auto"/>
        </w:rPr>
      </w:pPr>
      <w:r>
        <w:rPr>
          <w:rFonts w:ascii="Times New Roman" w:cs="Times New Roman" w:eastAsia="Times New Roman" w:hAnsi="Times New Roman"/>
          <w:sz w:val="16"/>
          <w:szCs w:val="16"/>
          <w:color w:val="auto"/>
        </w:rPr>
        <w:t>“THE SECURITIES REPRESENTED HEREBY [AND THE SECURITIES ISSUABLE UPON THE EXERCISE OF THESE SECURITIES] HAVE NOT BEEN REGISTERED UNDER THE U.S. SECURITIES ACT OF 1933, AS AMENDED (THE “SECURITIES ACT”), OR ANY STATE SECURITIES LAWS, AND SUCH SECURITIES MAY NOT BE OFFERED, SOLD, PLEDGED OR OTHERWISE TRANSFERRED UNLESS (1) A REGISTRATION STATEMENT WITH RESPECT THERETO IS EFFECTIVE UNDER THE SECURITIES ACT AND ANY APPLICABLE STATE SECURITIES LAWS, OR (2) AN EXEMPTION FROM SUCH REGISTRATION REQUIREMENTS IS AVAILABLE AND THE COMPANY RECEIVES AN OPINION OF COUNSEL TO THE HOLDER OF SUCH SECURITIES, WHICH COUNSEL AND OPINION ARE SATISFACTORY TO THE COMPANY, THAT SUCH SECURITIES MAY BE OFFERED, SOLD, PLEDGED, OR OTHERWISE TRANSFERRED IN THE MANNER CONTEMPLATED WITHOUT AN EFFECTIVE REGISTRATION STATEMENT UNDER THE SECURITIES ACT OR APPLICABLE STATE SECURITIES LAWS.</w:t>
      </w:r>
    </w:p>
    <w:p>
      <w:pPr>
        <w:spacing w:after="0" w:line="16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foregoing legends shall be removed pursuant to the terms and conditions set forth in the Registration Rights Agreement.</w:t>
      </w:r>
    </w:p>
    <w:p>
      <w:pPr>
        <w:spacing w:after="0" w:line="218" w:lineRule="exact"/>
        <w:rPr>
          <w:sz w:val="20"/>
          <w:szCs w:val="20"/>
          <w:color w:val="auto"/>
        </w:rPr>
      </w:pPr>
    </w:p>
    <w:p>
      <w:pPr>
        <w:ind w:left="465" w:hanging="465"/>
        <w:spacing w:after="0"/>
        <w:tabs>
          <w:tab w:leader="none" w:pos="465"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RIGHTS</w:t>
      </w:r>
    </w:p>
    <w:p>
      <w:pPr>
        <w:spacing w:after="0" w:line="194" w:lineRule="exact"/>
        <w:rPr>
          <w:sz w:val="20"/>
          <w:szCs w:val="20"/>
          <w:color w:val="auto"/>
        </w:rPr>
      </w:pPr>
    </w:p>
    <w:p>
      <w:pPr>
        <w:ind w:left="5" w:right="20" w:firstLine="751"/>
        <w:spacing w:after="0" w:line="276" w:lineRule="auto"/>
        <w:rPr>
          <w:sz w:val="20"/>
          <w:szCs w:val="20"/>
          <w:color w:val="auto"/>
        </w:rPr>
      </w:pPr>
      <w:r>
        <w:rPr>
          <w:rFonts w:ascii="Times New Roman" w:cs="Times New Roman" w:eastAsia="Times New Roman" w:hAnsi="Times New Roman"/>
          <w:sz w:val="16"/>
          <w:szCs w:val="16"/>
          <w:color w:val="auto"/>
        </w:rPr>
        <w:t>The Holder shall be entitled to the registration rights as are contained in the Registration Rights Agreement with respect to the Warrant Shares, the provisions of which are deemed incorporated herein by reference.</w:t>
      </w:r>
    </w:p>
    <w:p>
      <w:pPr>
        <w:spacing w:after="0" w:line="145" w:lineRule="exact"/>
        <w:rPr>
          <w:sz w:val="20"/>
          <w:szCs w:val="20"/>
          <w:color w:val="auto"/>
        </w:rPr>
      </w:pPr>
    </w:p>
    <w:p>
      <w:pPr>
        <w:ind w:left="465" w:hanging="465"/>
        <w:spacing w:after="0"/>
        <w:tabs>
          <w:tab w:leader="none" w:pos="465"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NOTICES</w:t>
      </w:r>
    </w:p>
    <w:p>
      <w:pPr>
        <w:spacing w:after="0" w:line="194" w:lineRule="exact"/>
        <w:rPr>
          <w:sz w:val="20"/>
          <w:szCs w:val="20"/>
          <w:color w:val="auto"/>
        </w:rPr>
      </w:pPr>
    </w:p>
    <w:p>
      <w:pPr>
        <w:jc w:val="both"/>
        <w:ind w:left="5" w:firstLine="751"/>
        <w:spacing w:after="0" w:line="252" w:lineRule="auto"/>
        <w:rPr>
          <w:sz w:val="20"/>
          <w:szCs w:val="20"/>
          <w:color w:val="auto"/>
        </w:rPr>
      </w:pPr>
      <w:r>
        <w:rPr>
          <w:rFonts w:ascii="Times New Roman" w:cs="Times New Roman" w:eastAsia="Times New Roman" w:hAnsi="Times New Roman"/>
          <w:sz w:val="16"/>
          <w:szCs w:val="16"/>
          <w:color w:val="auto"/>
        </w:rPr>
        <w:t>All notices, consents, waivers, and other communications under this Warrant must be in writing and will be deemed given to a party when (a) delivered to the appropriate address by hand or by nationally recognized overnight courier service (costs prepaid), (b) sent by facsimile with confirmation of transmission by the transmitting equipment, (c) sent by email so long as the sender does not receive an automated message by the transmitting equipment that the email was rejected or (d) received or rejected by the addressee, if sent by certified mail, return receipt requested, if to the registered Holder hereof; to the Holder at the address, facsimile number, or e-mail address furnished by the registered Holder to the Company in accordance with the Purchase Agreement or if to the Company, to Mark Rosenblum at mrosenblum@decoytx.com; copy to Annie Yan at ayan@decoytx.com (or to such other address, facsimile number, or e-mail address as the Holder or the Company may designate by notice the other party).</w:t>
      </w:r>
    </w:p>
    <w:p>
      <w:pPr>
        <w:spacing w:after="0" w:line="165" w:lineRule="exact"/>
        <w:rPr>
          <w:sz w:val="20"/>
          <w:szCs w:val="20"/>
          <w:color w:val="auto"/>
        </w:rPr>
      </w:pPr>
    </w:p>
    <w:p>
      <w:pPr>
        <w:ind w:left="465" w:hanging="465"/>
        <w:spacing w:after="0"/>
        <w:tabs>
          <w:tab w:leader="none" w:pos="465"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SEVERABILITY</w:t>
      </w:r>
    </w:p>
    <w:p>
      <w:pPr>
        <w:spacing w:after="0" w:line="194" w:lineRule="exact"/>
        <w:rPr>
          <w:sz w:val="20"/>
          <w:szCs w:val="20"/>
          <w:color w:val="auto"/>
        </w:rPr>
      </w:pPr>
    </w:p>
    <w:p>
      <w:pPr>
        <w:ind w:left="5" w:right="20" w:firstLine="751"/>
        <w:spacing w:after="0" w:line="276" w:lineRule="auto"/>
        <w:rPr>
          <w:sz w:val="20"/>
          <w:szCs w:val="20"/>
          <w:color w:val="auto"/>
        </w:rPr>
      </w:pPr>
      <w:r>
        <w:rPr>
          <w:rFonts w:ascii="Times New Roman" w:cs="Times New Roman" w:eastAsia="Times New Roman" w:hAnsi="Times New Roman"/>
          <w:sz w:val="16"/>
          <w:szCs w:val="16"/>
          <w:color w:val="auto"/>
        </w:rPr>
        <w:t>If a court of competent jurisdiction holds any provision of this Warrant invalid or unenforceable, the other provisions of this Warrant will remain in full force and effect. Any provision of this Warrant held invalid or unenforceable only in part or degree will remain in full force and effect to the extent not held invalid or unenforceable.</w:t>
      </w:r>
    </w:p>
    <w:p>
      <w:pPr>
        <w:spacing w:after="0" w:line="145" w:lineRule="exact"/>
        <w:rPr>
          <w:sz w:val="20"/>
          <w:szCs w:val="20"/>
          <w:color w:val="auto"/>
        </w:rPr>
      </w:pPr>
    </w:p>
    <w:p>
      <w:pPr>
        <w:ind w:left="465" w:hanging="465"/>
        <w:spacing w:after="0"/>
        <w:tabs>
          <w:tab w:leader="none" w:pos="465"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BINDING EFFECT</w:t>
      </w:r>
    </w:p>
    <w:p>
      <w:pPr>
        <w:spacing w:after="0" w:line="194" w:lineRule="exact"/>
        <w:rPr>
          <w:sz w:val="20"/>
          <w:szCs w:val="20"/>
          <w:color w:val="auto"/>
        </w:rPr>
      </w:pPr>
    </w:p>
    <w:p>
      <w:pPr>
        <w:ind w:left="5" w:right="20" w:firstLine="751"/>
        <w:spacing w:after="0" w:line="276" w:lineRule="auto"/>
        <w:rPr>
          <w:sz w:val="20"/>
          <w:szCs w:val="20"/>
          <w:color w:val="auto"/>
        </w:rPr>
      </w:pPr>
      <w:r>
        <w:rPr>
          <w:rFonts w:ascii="Times New Roman" w:cs="Times New Roman" w:eastAsia="Times New Roman" w:hAnsi="Times New Roman"/>
          <w:sz w:val="16"/>
          <w:szCs w:val="16"/>
          <w:color w:val="auto"/>
        </w:rPr>
        <w:t>This Warrant shall be binding upon and inure to the sole and exclusive benefit of the Company, its successors and assigns, the registered Holder or Holders from time to time of this Warrant.</w:t>
      </w:r>
    </w:p>
    <w:p>
      <w:pPr>
        <w:spacing w:after="0" w:line="145" w:lineRule="exact"/>
        <w:rPr>
          <w:sz w:val="20"/>
          <w:szCs w:val="20"/>
          <w:color w:val="auto"/>
        </w:rPr>
      </w:pPr>
    </w:p>
    <w:p>
      <w:pPr>
        <w:ind w:left="465" w:hanging="465"/>
        <w:spacing w:after="0"/>
        <w:tabs>
          <w:tab w:leader="none" w:pos="465"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SURVIVAL OF RIGHTS AND DUTIES</w:t>
      </w:r>
    </w:p>
    <w:p>
      <w:pPr>
        <w:spacing w:after="0" w:line="200" w:lineRule="exact"/>
        <w:rPr>
          <w:sz w:val="20"/>
          <w:szCs w:val="20"/>
          <w:color w:val="auto"/>
        </w:rPr>
      </w:pPr>
    </w:p>
    <w:p>
      <w:pPr>
        <w:spacing w:after="0" w:line="30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color w:val="auto"/>
        </w:rPr>
        <w:t>4912-9653-0358, 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17486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8" w:right="319" w:bottom="1440" w:gutter="0" w:footer="0" w:header="0"/>
        </w:sectPr>
      </w:pPr>
    </w:p>
    <w:bookmarkStart w:id="67" w:name="page68"/>
    <w:bookmarkEnd w:id="67"/>
    <w:p>
      <w:pPr>
        <w:ind w:left="5" w:right="20" w:firstLine="751"/>
        <w:spacing w:after="0" w:line="276" w:lineRule="auto"/>
        <w:rPr>
          <w:sz w:val="20"/>
          <w:szCs w:val="20"/>
          <w:color w:val="auto"/>
        </w:rPr>
      </w:pPr>
      <w:r>
        <w:rPr>
          <w:rFonts w:ascii="Times New Roman" w:cs="Times New Roman" w:eastAsia="Times New Roman" w:hAnsi="Times New Roman"/>
          <w:sz w:val="16"/>
          <w:szCs w:val="16"/>
          <w:color w:val="auto"/>
        </w:rPr>
        <w:t>This Warrant shall terminate and be of no further force and effect on the earlier of 5:00 P.M., Eastern Time, on the Expiration Date or the date on which this Warrant has been exercised in full.</w:t>
      </w:r>
    </w:p>
    <w:p>
      <w:pPr>
        <w:spacing w:after="0" w:line="145" w:lineRule="exact"/>
        <w:rPr>
          <w:sz w:val="20"/>
          <w:szCs w:val="20"/>
          <w:color w:val="auto"/>
        </w:rPr>
      </w:pPr>
    </w:p>
    <w:p>
      <w:pPr>
        <w:ind w:left="465" w:hanging="465"/>
        <w:spacing w:after="0"/>
        <w:tabs>
          <w:tab w:leader="none" w:pos="465"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GOVERNING LAW</w:t>
      </w:r>
    </w:p>
    <w:p>
      <w:pPr>
        <w:spacing w:after="0" w:line="194" w:lineRule="exact"/>
        <w:rPr>
          <w:sz w:val="20"/>
          <w:szCs w:val="20"/>
          <w:color w:val="auto"/>
        </w:rPr>
      </w:pPr>
    </w:p>
    <w:p>
      <w:pPr>
        <w:ind w:left="5" w:right="20" w:firstLine="751"/>
        <w:spacing w:after="0" w:line="276" w:lineRule="auto"/>
        <w:rPr>
          <w:sz w:val="20"/>
          <w:szCs w:val="20"/>
          <w:color w:val="auto"/>
        </w:rPr>
      </w:pPr>
      <w:r>
        <w:rPr>
          <w:rFonts w:ascii="Times New Roman" w:cs="Times New Roman" w:eastAsia="Times New Roman" w:hAnsi="Times New Roman"/>
          <w:sz w:val="16"/>
          <w:szCs w:val="16"/>
          <w:color w:val="auto"/>
        </w:rPr>
        <w:t>This Warrant will be governed by and construed under the laws of the State of New York without regard to conflicts of laws principles that would require the application of any other law.</w:t>
      </w:r>
    </w:p>
    <w:p>
      <w:pPr>
        <w:spacing w:after="0" w:line="145" w:lineRule="exact"/>
        <w:rPr>
          <w:sz w:val="20"/>
          <w:szCs w:val="20"/>
          <w:color w:val="auto"/>
        </w:rPr>
      </w:pPr>
    </w:p>
    <w:p>
      <w:pPr>
        <w:ind w:left="465" w:hanging="465"/>
        <w:spacing w:after="0"/>
        <w:tabs>
          <w:tab w:leader="none" w:pos="465"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DISPUTE RESOLUTION</w:t>
      </w:r>
    </w:p>
    <w:p>
      <w:pPr>
        <w:spacing w:after="0" w:line="194" w:lineRule="exact"/>
        <w:rPr>
          <w:sz w:val="20"/>
          <w:szCs w:val="20"/>
          <w:color w:val="auto"/>
        </w:rPr>
      </w:pPr>
    </w:p>
    <w:p>
      <w:pPr>
        <w:jc w:val="both"/>
        <w:ind w:left="5" w:firstLine="751"/>
        <w:spacing w:after="0" w:line="250" w:lineRule="auto"/>
        <w:rPr>
          <w:sz w:val="20"/>
          <w:szCs w:val="20"/>
          <w:color w:val="auto"/>
        </w:rPr>
      </w:pPr>
      <w:r>
        <w:rPr>
          <w:rFonts w:ascii="Times New Roman" w:cs="Times New Roman" w:eastAsia="Times New Roman" w:hAnsi="Times New Roman"/>
          <w:sz w:val="16"/>
          <w:szCs w:val="16"/>
          <w:color w:val="auto"/>
        </w:rPr>
        <w:t>In the case of a dispute as to the determination of the Exercise Price or the arithmetic calculation of the Warrant Shares, the Company shall submit the disputed determinations or arithmetic calculations via facsimile or e-mail with confirmation of transmission by the transmitting equipment within two Business Days of receipt of the Notice of Exercise giving rise to such dispute, as the case may be, to the Holder. If the Holder and the Company are unable to agree upon such determination or calculation of the Exercise Price or the Warrant Shares within three Business Days of such disputed determination or arithmetic calculation being submitted to the Holder, then the Company shall, within two Business Days, submit via email or facsimile (a) the disputed determination of the Exercise Price to an independent, reputable investment bank selected by the Company and approved by the Holder (which approval shall not be unreasonably withheld) or (b)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191" w:lineRule="exact"/>
        <w:rPr>
          <w:sz w:val="20"/>
          <w:szCs w:val="20"/>
          <w:color w:val="auto"/>
        </w:rPr>
      </w:pPr>
    </w:p>
    <w:p>
      <w:pPr>
        <w:ind w:left="465" w:hanging="465"/>
        <w:spacing w:after="0"/>
        <w:tabs>
          <w:tab w:leader="none" w:pos="465"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NOTICES OF RECORD DATE</w:t>
      </w:r>
    </w:p>
    <w:p>
      <w:pPr>
        <w:spacing w:after="0" w:line="194" w:lineRule="exact"/>
        <w:rPr>
          <w:sz w:val="20"/>
          <w:szCs w:val="20"/>
          <w:color w:val="auto"/>
        </w:rPr>
      </w:pPr>
    </w:p>
    <w:p>
      <w:pPr>
        <w:jc w:val="both"/>
        <w:ind w:left="5" w:firstLine="751"/>
        <w:spacing w:after="0" w:line="250" w:lineRule="auto"/>
        <w:rPr>
          <w:sz w:val="20"/>
          <w:szCs w:val="20"/>
          <w:color w:val="auto"/>
        </w:rPr>
      </w:pPr>
      <w:r>
        <w:rPr>
          <w:rFonts w:ascii="Times New Roman" w:cs="Times New Roman" w:eastAsia="Times New Roman" w:hAnsi="Times New Roman"/>
          <w:sz w:val="16"/>
          <w:szCs w:val="16"/>
          <w:color w:val="auto"/>
        </w:rPr>
        <w:t>Upon (a) any establishment by the Company of a record date of the holders of any class of securities for the purpose of determining the holders thereof who are entitled to receive any dividend or other distribution, or right or option to acquire securities of the Company, or any other right, or (b) any capital reorganization, reclassification, recapitalization, merger or consolidation of the Company with or into any other corporation, any transfer of all or substantially all the assets of the Company, or any voluntary or involuntary dissolution, liquidation or winding up of the Company, or the sale, in a single transaction, of a majority of the Company’s voting shares (whether newly issued, or from treasury, or previously issued and then outstanding, or any combination thereof), the Company shall mail to the Holder at least ten (10) calendar days, or such longer period as may be required by law, prior to the record date specified therein, a notice specifying (i) the date established as the record date for the purpose of such dividend, distribution, option or right and a description of such dividend, distribution, option or right, (ii) the date on which any such reorganization, reclassification, recapitalization, merger, consolidation, transfer, dissolution, liquidation or winding up, or sale is expected to become effective and (iii) the date, if any, fixed as to when the holders of record of Common Shares shall be entitled to exchange their Common Shares for securities or other property deliverable upon such reorganization, reclassification, recapitalization, merger, consolidation, transfer, dissolution, liquidation or winding up.</w:t>
      </w:r>
    </w:p>
    <w:p>
      <w:pPr>
        <w:spacing w:after="0" w:line="200" w:lineRule="exact"/>
        <w:rPr>
          <w:sz w:val="20"/>
          <w:szCs w:val="20"/>
          <w:color w:val="auto"/>
        </w:rPr>
      </w:pPr>
    </w:p>
    <w:p>
      <w:pPr>
        <w:spacing w:after="0" w:line="27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color w:val="auto"/>
        </w:rPr>
        <w:t>4912-9653-0358, 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17486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8" w:right="319" w:bottom="1440" w:gutter="0" w:footer="0" w:header="0"/>
        </w:sectPr>
      </w:pPr>
    </w:p>
    <w:bookmarkStart w:id="68" w:name="page69"/>
    <w:bookmarkEnd w:id="68"/>
    <w:p>
      <w:pPr>
        <w:ind w:left="465" w:hanging="465"/>
        <w:spacing w:after="0"/>
        <w:tabs>
          <w:tab w:leader="none" w:pos="465"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RESERVATION OF SHARES</w:t>
      </w:r>
    </w:p>
    <w:p>
      <w:pPr>
        <w:spacing w:after="0" w:line="194" w:lineRule="exact"/>
        <w:rPr>
          <w:sz w:val="20"/>
          <w:szCs w:val="20"/>
          <w:color w:val="auto"/>
        </w:rPr>
      </w:pPr>
    </w:p>
    <w:p>
      <w:pPr>
        <w:jc w:val="both"/>
        <w:ind w:left="5" w:firstLine="751"/>
        <w:spacing w:after="0" w:line="251" w:lineRule="auto"/>
        <w:rPr>
          <w:sz w:val="20"/>
          <w:szCs w:val="20"/>
          <w:color w:val="auto"/>
        </w:rPr>
      </w:pPr>
      <w:r>
        <w:rPr>
          <w:rFonts w:ascii="Times New Roman" w:cs="Times New Roman" w:eastAsia="Times New Roman" w:hAnsi="Times New Roman"/>
          <w:sz w:val="16"/>
          <w:szCs w:val="16"/>
          <w:color w:val="auto"/>
        </w:rPr>
        <w:t>The Company shall reserve and keep available out of its authorized but unissued Common Shares for issuance upon the exercise of this Warrant, free from pre-emptive rights, such number of Common Shares for which this Warrant shall from time to time be exercisable. The Company will take all such commercially reasonable action as may be necessary to assure that such Warrant Shares may be issued as provided herein without violation of any applicable law or regulation. Without limiting the generality of the foregoing, the Company covenants that it will promptly take all such action as may be necessary or appropriate in order that the Company may validly and legally issue fully paid and nonassessable Warrant Shares upon the exercise of this Warrant and use best efforts to obtain all such authorizations, exemptions or consents, including but not limited to consents from the Board of Directors or any public regulatory body, as may be necessary to enable the Company to perform its obligations under this Warrant. In addition, the Company shall not amend its certificate of incorporation to impose any restriction on the number of Common Shares authorized for issuance.</w:t>
      </w:r>
    </w:p>
    <w:p>
      <w:pPr>
        <w:spacing w:after="0" w:line="167" w:lineRule="exact"/>
        <w:rPr>
          <w:sz w:val="20"/>
          <w:szCs w:val="20"/>
          <w:color w:val="auto"/>
        </w:rPr>
      </w:pPr>
    </w:p>
    <w:p>
      <w:pPr>
        <w:ind w:left="465" w:hanging="465"/>
        <w:spacing w:after="0"/>
        <w:tabs>
          <w:tab w:leader="none" w:pos="465"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THIRD PARTY RIGHTS</w:t>
      </w:r>
    </w:p>
    <w:p>
      <w:pPr>
        <w:spacing w:after="0" w:line="194" w:lineRule="exact"/>
        <w:rPr>
          <w:sz w:val="20"/>
          <w:szCs w:val="20"/>
          <w:color w:val="auto"/>
        </w:rPr>
      </w:pPr>
    </w:p>
    <w:p>
      <w:pPr>
        <w:ind w:left="5" w:firstLine="751"/>
        <w:spacing w:after="0" w:line="276" w:lineRule="auto"/>
        <w:rPr>
          <w:sz w:val="20"/>
          <w:szCs w:val="20"/>
          <w:color w:val="auto"/>
        </w:rPr>
      </w:pPr>
      <w:r>
        <w:rPr>
          <w:rFonts w:ascii="Times New Roman" w:cs="Times New Roman" w:eastAsia="Times New Roman" w:hAnsi="Times New Roman"/>
          <w:sz w:val="16"/>
          <w:szCs w:val="16"/>
          <w:color w:val="auto"/>
        </w:rPr>
        <w:t>This Warrant is not intended, and will not be construed, to create any rights in any parties other than the Company and the Holder, and no person or entity may assert any rights as third-party beneficiary hereunder.</w:t>
      </w:r>
    </w:p>
    <w:p>
      <w:pPr>
        <w:spacing w:after="0" w:line="145" w:lineRule="exact"/>
        <w:rPr>
          <w:sz w:val="20"/>
          <w:szCs w:val="20"/>
          <w:color w:val="auto"/>
        </w:rPr>
      </w:pPr>
    </w:p>
    <w:p>
      <w:pPr>
        <w:ind w:left="465" w:hanging="465"/>
        <w:spacing w:after="0"/>
        <w:tabs>
          <w:tab w:leader="none" w:pos="465"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COUNTERPARTS</w:t>
      </w:r>
    </w:p>
    <w:p>
      <w:pPr>
        <w:spacing w:after="0" w:line="194" w:lineRule="exact"/>
        <w:rPr>
          <w:sz w:val="20"/>
          <w:szCs w:val="20"/>
          <w:color w:val="auto"/>
        </w:rPr>
      </w:pPr>
    </w:p>
    <w:p>
      <w:pPr>
        <w:jc w:val="both"/>
        <w:ind w:left="5" w:firstLine="751"/>
        <w:spacing w:after="0" w:line="261" w:lineRule="auto"/>
        <w:rPr>
          <w:sz w:val="20"/>
          <w:szCs w:val="20"/>
          <w:color w:val="auto"/>
        </w:rPr>
      </w:pPr>
      <w:r>
        <w:rPr>
          <w:rFonts w:ascii="Times New Roman" w:cs="Times New Roman" w:eastAsia="Times New Roman" w:hAnsi="Times New Roman"/>
          <w:sz w:val="16"/>
          <w:szCs w:val="16"/>
          <w:color w:val="auto"/>
        </w:rPr>
        <w:t>This Warrant may be executed in two or more counterparts, each of which shall be deemed an original and all of which together shall constitute one instrument. Any counterpart delivered electronically (including without limitation by .pdf transmission) or by facsimile shall be binding to the same extent as an original counterpart with regard to any agreement subject to the terms hereof or any amendment thereto.</w:t>
      </w:r>
    </w:p>
    <w:p>
      <w:pPr>
        <w:spacing w:after="0" w:line="157" w:lineRule="exact"/>
        <w:rPr>
          <w:sz w:val="20"/>
          <w:szCs w:val="20"/>
          <w:color w:val="auto"/>
        </w:rPr>
      </w:pPr>
    </w:p>
    <w:p>
      <w:pPr>
        <w:ind w:left="465" w:hanging="465"/>
        <w:spacing w:after="0"/>
        <w:tabs>
          <w:tab w:leader="none" w:pos="465"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AMENDMENTS</w:t>
      </w:r>
    </w:p>
    <w:p>
      <w:pPr>
        <w:spacing w:after="0" w:line="194" w:lineRule="exact"/>
        <w:rPr>
          <w:sz w:val="20"/>
          <w:szCs w:val="20"/>
          <w:color w:val="auto"/>
        </w:rPr>
      </w:pPr>
    </w:p>
    <w:p>
      <w:pPr>
        <w:ind w:left="5" w:firstLine="751"/>
        <w:spacing w:after="0" w:line="276" w:lineRule="auto"/>
        <w:rPr>
          <w:sz w:val="20"/>
          <w:szCs w:val="20"/>
          <w:color w:val="auto"/>
        </w:rPr>
      </w:pPr>
      <w:r>
        <w:rPr>
          <w:rFonts w:ascii="Times New Roman" w:cs="Times New Roman" w:eastAsia="Times New Roman" w:hAnsi="Times New Roman"/>
          <w:sz w:val="16"/>
          <w:szCs w:val="16"/>
          <w:color w:val="auto"/>
        </w:rPr>
        <w:t>Other than Section 4 and this Section 21, which may not be amended, neither this Warrant nor any term hereof may be amended, waived, discharged or terminated other than by a written instrument referencing this Warrant signed by the Company and the Holder.</w:t>
      </w:r>
    </w:p>
    <w:p>
      <w:pPr>
        <w:spacing w:after="0" w:line="14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color w:val="auto"/>
        </w:rPr>
        <w:t>4912-9653-0358, 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17486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8" w:right="319" w:bottom="1440" w:gutter="0" w:footer="0" w:header="0"/>
        </w:sectPr>
      </w:pPr>
    </w:p>
    <w:bookmarkStart w:id="69" w:name="page70"/>
    <w:bookmarkEnd w:id="69"/>
    <w:p>
      <w:pPr>
        <w:ind w:left="740"/>
        <w:spacing w:after="0"/>
        <w:rPr>
          <w:sz w:val="20"/>
          <w:szCs w:val="20"/>
          <w:color w:val="auto"/>
        </w:rPr>
      </w:pPr>
      <w:r>
        <w:rPr>
          <w:rFonts w:ascii="Times New Roman" w:cs="Times New Roman" w:eastAsia="Times New Roman" w:hAnsi="Times New Roman"/>
          <w:sz w:val="15"/>
          <w:szCs w:val="15"/>
          <w:color w:val="auto"/>
        </w:rPr>
        <w:t>IN WITNESS WHEREOF, the Company has caused this Warrant to be duly executed as of the date first set forth above.</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DECOY THERAPEUTICS INC.</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357441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574415"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4912-9653-0358, 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1258" w:right="1440"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6"/>
          <w:szCs w:val="16"/>
          <w:color w:val="auto"/>
        </w:rPr>
        <w:t>EXHIBIT A</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NOTICE OF EXERCISE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(To be executed by the Holder of Warrant if such Holder desires to exercise Warrant)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Decoy Therapeutics Inc.:</w:t>
      </w:r>
    </w:p>
    <w:p>
      <w:pPr>
        <w:spacing w:after="0" w:line="19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undersigned hereby irrevocably elects to exercise this Warrant and to purchase thereunder, ___________________ Decoy Therapeutics Inc. to purchase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 Decoy Therapeutics Inc. Common Shares, par value 0.0001 per share, issuable upon exercise of the Warrant and delivery of:</w:t>
      </w:r>
    </w:p>
    <w:p>
      <w:pPr>
        <w:spacing w:after="0" w:line="177" w:lineRule="exact"/>
        <w:rPr>
          <w:sz w:val="20"/>
          <w:szCs w:val="20"/>
          <w:color w:val="auto"/>
        </w:rPr>
      </w:pPr>
    </w:p>
    <w:p>
      <w:pPr>
        <w:ind w:left="960" w:hanging="215"/>
        <w:spacing w:after="0"/>
        <w:tabs>
          <w:tab w:leader="none" w:pos="96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$_________ (in cash as provided for in the foregoing Warrant) and any applicable taxes payable by the undersigned pursuant to such Warrant; and/or</w:t>
      </w:r>
    </w:p>
    <w:p>
      <w:pPr>
        <w:spacing w:after="0" w:line="194" w:lineRule="exact"/>
        <w:rPr>
          <w:rFonts w:ascii="Times New Roman" w:cs="Times New Roman" w:eastAsia="Times New Roman" w:hAnsi="Times New Roman"/>
          <w:sz w:val="16"/>
          <w:szCs w:val="16"/>
          <w:color w:val="auto"/>
        </w:rPr>
      </w:pPr>
    </w:p>
    <w:p>
      <w:pPr>
        <w:ind w:right="20" w:firstLine="745"/>
        <w:spacing w:after="0" w:line="276" w:lineRule="auto"/>
        <w:tabs>
          <w:tab w:leader="none" w:pos="989"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__________ Decoy Therapeutics Inc. Common Shares (pursuant to a Cashless Exercise in accordance with Section 1(b)(ii) of the Warrant) (check here if the undersigned desires to deliver an unspecified number of shares equal the number sufficient to effect a Cashless Exercise [___]).</w:t>
      </w:r>
    </w:p>
    <w:p>
      <w:pPr>
        <w:spacing w:after="0" w:line="1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undersigned requests that certificates or direct registration system account statement for such shares be issued in the name of:</w:t>
      </w:r>
    </w:p>
    <w:p>
      <w:pPr>
        <w:spacing w:after="0" w:line="19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color w:val="auto"/>
        </w:rPr>
        <w:t>_________________________________________</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(Please print name, address and social security or federal employer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identification number (if applicable))</w:t>
      </w:r>
    </w:p>
    <w:p>
      <w:pPr>
        <w:spacing w:after="0" w:line="17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color w:val="auto"/>
        </w:rPr>
        <w:t>_________________________________________</w:t>
      </w:r>
    </w:p>
    <w:p>
      <w:pPr>
        <w:spacing w:after="0" w:line="19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color w:val="auto"/>
        </w:rPr>
        <w:t>_________________________________________</w:t>
      </w:r>
    </w:p>
    <w:p>
      <w:pPr>
        <w:spacing w:after="0" w:line="194" w:lineRule="exact"/>
        <w:rPr>
          <w:sz w:val="20"/>
          <w:szCs w:val="20"/>
          <w:color w:val="auto"/>
        </w:rPr>
      </w:pPr>
    </w:p>
    <w:p>
      <w:pPr>
        <w:jc w:val="both"/>
        <w:ind w:firstLine="955"/>
        <w:spacing w:after="0" w:line="256" w:lineRule="auto"/>
        <w:rPr>
          <w:sz w:val="20"/>
          <w:szCs w:val="20"/>
          <w:color w:val="auto"/>
        </w:rPr>
      </w:pPr>
      <w:r>
        <w:rPr>
          <w:rFonts w:ascii="Times New Roman" w:cs="Times New Roman" w:eastAsia="Times New Roman" w:hAnsi="Times New Roman"/>
          <w:sz w:val="16"/>
          <w:szCs w:val="16"/>
          <w:color w:val="auto"/>
        </w:rPr>
        <w:t>Capitalized terms used herein without definition have the meaning ascribed to them in the Warrant. Except if this Warrant is being exercised pursuant to a Cashless Exercise in accordance with Section 1(b)(ii) of the Warrant, the undersigned hereby reaffirms that the undersigned is an “accredited investor” as defined under Rule 501(a) of Regulation D of the Securities Act of 1933, as amended. The undersigned understands that the Common Shares may bear one or more legends restricting transfers, as set forth in the Purchase Agreement.</w:t>
      </w:r>
    </w:p>
    <w:p>
      <w:pPr>
        <w:spacing w:after="0" w:line="161" w:lineRule="exact"/>
        <w:rPr>
          <w:sz w:val="20"/>
          <w:szCs w:val="20"/>
          <w:color w:val="auto"/>
        </w:rPr>
      </w:pPr>
    </w:p>
    <w:p>
      <w:pPr>
        <w:jc w:val="both"/>
        <w:ind w:firstLine="955"/>
        <w:spacing w:after="0" w:line="276" w:lineRule="auto"/>
        <w:rPr>
          <w:sz w:val="20"/>
          <w:szCs w:val="20"/>
          <w:color w:val="auto"/>
        </w:rPr>
      </w:pPr>
      <w:r>
        <w:rPr>
          <w:rFonts w:ascii="Times New Roman" w:cs="Times New Roman" w:eastAsia="Times New Roman" w:hAnsi="Times New Roman"/>
          <w:sz w:val="16"/>
          <w:szCs w:val="16"/>
          <w:color w:val="auto"/>
        </w:rPr>
        <w:t>If the shares issuable upon this exercise of the Warrant are not all of the Warrant Shares which the Holder is entitled to acquire upon the exercise of the Warrant, the undersigned, by checking here [ ] requests that a new Warrant evidencing the rights not so exercised be issued in the name of and delivered to:</w:t>
      </w:r>
    </w:p>
    <w:p>
      <w:pPr>
        <w:spacing w:after="0" w:line="14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color w:val="auto"/>
        </w:rPr>
        <w:t>_________________________________________</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(Please print name, address and social security or federal employer identification number (if applicable))</w:t>
      </w:r>
    </w:p>
    <w:p>
      <w:pPr>
        <w:spacing w:after="0" w:line="19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color w:val="auto"/>
        </w:rPr>
        <w:t>_________________________________________</w:t>
      </w:r>
    </w:p>
    <w:p>
      <w:pPr>
        <w:spacing w:after="0" w:line="19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color w:val="auto"/>
        </w:rPr>
        <w:t>_________________________________________</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Holder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1498600</wp:posOffset>
            </wp:positionH>
            <wp:positionV relativeFrom="paragraph">
              <wp:posOffset>6350</wp:posOffset>
            </wp:positionV>
            <wp:extent cx="278638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786380" cy="762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1498600</wp:posOffset>
            </wp:positionH>
            <wp:positionV relativeFrom="paragraph">
              <wp:posOffset>6350</wp:posOffset>
            </wp:positionV>
            <wp:extent cx="278638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86380" cy="762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1498600</wp:posOffset>
            </wp:positionH>
            <wp:positionV relativeFrom="paragraph">
              <wp:posOffset>6350</wp:posOffset>
            </wp:positionV>
            <wp:extent cx="278638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86380" cy="762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1498600</wp:posOffset>
            </wp:positionH>
            <wp:positionV relativeFrom="paragraph">
              <wp:posOffset>6350</wp:posOffset>
            </wp:positionV>
            <wp:extent cx="278638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86380" cy="762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1498600</wp:posOffset>
            </wp:positionH>
            <wp:positionV relativeFrom="paragraph">
              <wp:posOffset>6350</wp:posOffset>
            </wp:positionV>
            <wp:extent cx="278638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86380" cy="762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4912-9653-0358, 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6"/>
          <w:szCs w:val="16"/>
          <w:color w:val="auto"/>
        </w:rPr>
        <w:t>EXHIBIT B</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ACKNOWLEDGMENT</w:t>
      </w:r>
    </w:p>
    <w:p>
      <w:pPr>
        <w:spacing w:after="0" w:line="17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Company hereby acknowledges this Notice of Exercise and hereby directs ______________ to issue the above indicated number of Common Shares 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accordance with the Transfer Agent Instructions dated _________, 202_, from the Company and acknowledged and agreed to by _______________.</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DECOY THERAPEUTICS INC.</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357441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574415"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4912-9653-0358, 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72" w:name="page73"/>
    <w:bookmarkEnd w:id="72"/>
    <w:p>
      <w:pPr>
        <w:jc w:val="center"/>
        <w:ind w:right="20"/>
        <w:spacing w:after="0"/>
        <w:rPr>
          <w:sz w:val="20"/>
          <w:szCs w:val="20"/>
          <w:color w:val="auto"/>
        </w:rPr>
      </w:pPr>
      <w:r>
        <w:rPr>
          <w:rFonts w:ascii="Times New Roman" w:cs="Times New Roman" w:eastAsia="Times New Roman" w:hAnsi="Times New Roman"/>
          <w:sz w:val="16"/>
          <w:szCs w:val="16"/>
          <w:color w:val="auto"/>
        </w:rPr>
        <w:t>EXHIBIT C</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FORM OF ASSIGNMENT</w:t>
      </w:r>
    </w:p>
    <w:p>
      <w:pPr>
        <w:spacing w:after="0" w:line="17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FOR VALUE RECEIVED, ___________________________________ hereby sells, assigns and transfers to each assignee set forth below all of the rights of the</w:t>
      </w:r>
    </w:p>
    <w:p>
      <w:pPr>
        <w:spacing w:after="0" w:line="2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6"/>
          <w:szCs w:val="16"/>
          <w:color w:val="auto"/>
        </w:rPr>
        <w:t>undersigned under the Warrant (as defined in and evidenced by the attached Warrant) to acquire the number of Warrant Shares set opposite the name of such assignee below and in and to the foregoing Warrant with respect to said acquisition rights and the shares issuable upon exercise of the Warrant:</w:t>
      </w:r>
    </w:p>
    <w:p>
      <w:pPr>
        <w:sectPr>
          <w:pgSz w:w="11900" w:h="16838" w:orient="portrait"/>
          <w:cols w:equalWidth="0" w:num="1">
            <w:col w:w="11260"/>
          </w:cols>
          <w:pgMar w:left="320" w:top="1258" w:right="31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5"/>
          <w:szCs w:val="15"/>
          <w:color w:val="auto"/>
        </w:rPr>
        <w:t>Name of Assignee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jc w:val="center"/>
        <w:ind w:right="1820"/>
        <w:spacing w:after="0"/>
        <w:rPr>
          <w:sz w:val="20"/>
          <w:szCs w:val="20"/>
          <w:color w:val="auto"/>
        </w:rPr>
      </w:pPr>
      <w:r>
        <w:rPr>
          <w:rFonts w:ascii="Times New Roman" w:cs="Times New Roman" w:eastAsia="Times New Roman" w:hAnsi="Times New Roman"/>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-108585</wp:posOffset>
            </wp:positionV>
            <wp:extent cx="7152005" cy="11290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2005" cy="1129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Number of Shares</w:t>
      </w:r>
    </w:p>
    <w:p>
      <w:pPr>
        <w:spacing w:after="0" w:line="200" w:lineRule="exact"/>
        <w:rPr>
          <w:sz w:val="20"/>
          <w:szCs w:val="20"/>
          <w:color w:val="auto"/>
        </w:rPr>
      </w:pPr>
    </w:p>
    <w:p>
      <w:pPr>
        <w:sectPr>
          <w:pgSz w:w="11900" w:h="16838" w:orient="portrait"/>
          <w:cols w:equalWidth="0" w:num="3">
            <w:col w:w="4680" w:space="720"/>
            <w:col w:w="2340" w:space="720"/>
            <w:col w:w="2800"/>
          </w:cols>
          <w:pgMar w:left="320" w:top="1258"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751"/>
        <w:spacing w:after="0" w:line="261" w:lineRule="auto"/>
        <w:rPr>
          <w:sz w:val="20"/>
          <w:szCs w:val="20"/>
          <w:color w:val="auto"/>
        </w:rPr>
      </w:pPr>
      <w:r>
        <w:rPr>
          <w:rFonts w:ascii="Times New Roman" w:cs="Times New Roman" w:eastAsia="Times New Roman" w:hAnsi="Times New Roman"/>
          <w:sz w:val="16"/>
          <w:szCs w:val="16"/>
          <w:color w:val="auto"/>
        </w:rPr>
        <w:t>If the total of the Warrant Shares are not all of the Warrant Shares evidenced by the foregoing Warrant, the undersigned requests that a new Warrant evidencing the right to acquire the Warrant Shares not so assigned be issued in the name of and delivered to the undersigned. A written opinion of legal counsel addressed to the Company confirming that the proposed transfer of the Warrant may be effected without registration under the Securities Act of 1933, as amended, accompanies this Form of Assignment.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Holder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7078345</wp:posOffset>
            </wp:positionH>
            <wp:positionV relativeFrom="paragraph">
              <wp:posOffset>6350</wp:posOffset>
            </wp:positionV>
            <wp:extent cx="6731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7078345</wp:posOffset>
            </wp:positionH>
            <wp:positionV relativeFrom="paragraph">
              <wp:posOffset>6350</wp:posOffset>
            </wp:positionV>
            <wp:extent cx="6731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7078345</wp:posOffset>
            </wp:positionH>
            <wp:positionV relativeFrom="paragraph">
              <wp:posOffset>6350</wp:posOffset>
            </wp:positionV>
            <wp:extent cx="6731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7078345</wp:posOffset>
            </wp:positionH>
            <wp:positionV relativeFrom="paragraph">
              <wp:posOffset>6350</wp:posOffset>
            </wp:positionV>
            <wp:extent cx="6731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7078345</wp:posOffset>
            </wp:positionH>
            <wp:positionV relativeFrom="paragraph">
              <wp:posOffset>6350</wp:posOffset>
            </wp:positionV>
            <wp:extent cx="6731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4912-9653-0358, 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type w:val="continuous"/>
        </w:sectPr>
      </w:pPr>
    </w:p>
    <w:bookmarkStart w:id="73" w:name="page74"/>
    <w:bookmarkEnd w:id="73"/>
    <w:p>
      <w:pPr>
        <w:jc w:val="center"/>
        <w:ind w:right="-1120"/>
        <w:spacing w:after="0"/>
        <w:rPr>
          <w:sz w:val="20"/>
          <w:szCs w:val="20"/>
          <w:color w:val="auto"/>
        </w:rPr>
      </w:pPr>
      <w:r>
        <w:rPr>
          <w:rFonts w:ascii="Times New Roman" w:cs="Times New Roman" w:eastAsia="Times New Roman" w:hAnsi="Times New Roman"/>
          <w:sz w:val="16"/>
          <w:szCs w:val="16"/>
          <w:color w:val="auto"/>
        </w:rPr>
        <w:t>EXHIBIT D</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PRE-FUNDED WARRANT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4912-9653-0358, 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1258" w:right="1440"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9"/>
          <w:szCs w:val="19"/>
          <w:b w:val="1"/>
          <w:bCs w:val="1"/>
          <w:color w:val="auto"/>
        </w:rPr>
        <w:t>Exhibit 4.5</w:t>
      </w:r>
    </w:p>
    <w:p>
      <w:pPr>
        <w:spacing w:after="0" w:line="353" w:lineRule="exact"/>
        <w:rPr>
          <w:sz w:val="20"/>
          <w:szCs w:val="20"/>
          <w:color w:val="auto"/>
        </w:rPr>
      </w:pPr>
    </w:p>
    <w:p>
      <w:pPr>
        <w:jc w:val="both"/>
        <w:ind w:left="5"/>
        <w:spacing w:after="0" w:line="238" w:lineRule="auto"/>
        <w:rPr>
          <w:sz w:val="20"/>
          <w:szCs w:val="20"/>
          <w:color w:val="auto"/>
        </w:rPr>
      </w:pPr>
      <w:r>
        <w:rPr>
          <w:rFonts w:ascii="Times New Roman" w:cs="Times New Roman" w:eastAsia="Times New Roman" w:hAnsi="Times New Roman"/>
          <w:sz w:val="19"/>
          <w:szCs w:val="19"/>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7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PLACEMENT AGENT COMMON STOCK PURCHASE WARRANT</w:t>
      </w:r>
    </w:p>
    <w:p>
      <w:pPr>
        <w:spacing w:after="0" w:line="207" w:lineRule="exact"/>
        <w:rPr>
          <w:sz w:val="20"/>
          <w:szCs w:val="20"/>
          <w:color w:val="auto"/>
        </w:rPr>
      </w:pPr>
    </w:p>
    <w:p>
      <w:pPr>
        <w:ind w:left="4325"/>
        <w:spacing w:after="0"/>
        <w:rPr>
          <w:sz w:val="20"/>
          <w:szCs w:val="20"/>
          <w:color w:val="auto"/>
        </w:rPr>
      </w:pPr>
      <w:r>
        <w:rPr>
          <w:rFonts w:ascii="Times New Roman" w:cs="Times New Roman" w:eastAsia="Times New Roman" w:hAnsi="Times New Roman"/>
          <w:sz w:val="19"/>
          <w:szCs w:val="19"/>
          <w:b w:val="1"/>
          <w:bCs w:val="1"/>
          <w:color w:val="auto"/>
        </w:rPr>
        <w:t>DECOY THERAPEUTICS INC.</w:t>
      </w:r>
    </w:p>
    <w:p>
      <w:pPr>
        <w:spacing w:after="0" w:line="188" w:lineRule="exact"/>
        <w:rPr>
          <w:sz w:val="20"/>
          <w:szCs w:val="20"/>
          <w:color w:val="auto"/>
        </w:rPr>
      </w:pPr>
    </w:p>
    <w:p>
      <w:pPr>
        <w:ind w:left="5"/>
        <w:spacing w:after="0"/>
        <w:tabs>
          <w:tab w:leader="none" w:pos="3005" w:val="left"/>
        </w:tabs>
        <w:rPr>
          <w:sz w:val="20"/>
          <w:szCs w:val="20"/>
          <w:color w:val="auto"/>
        </w:rPr>
      </w:pPr>
      <w:r>
        <w:rPr>
          <w:rFonts w:ascii="Times New Roman" w:cs="Times New Roman" w:eastAsia="Times New Roman" w:hAnsi="Times New Roman"/>
          <w:sz w:val="19"/>
          <w:szCs w:val="19"/>
          <w:color w:val="auto"/>
        </w:rPr>
        <w:t>Warrant Shares: [•]</w:t>
      </w:r>
      <w:r>
        <w:rPr>
          <w:sz w:val="20"/>
          <w:szCs w:val="20"/>
          <w:color w:val="auto"/>
        </w:rPr>
        <w:tab/>
      </w:r>
      <w:r>
        <w:rPr>
          <w:rFonts w:ascii="Times New Roman" w:cs="Times New Roman" w:eastAsia="Times New Roman" w:hAnsi="Times New Roman"/>
          <w:sz w:val="18"/>
          <w:szCs w:val="18"/>
          <w:color w:val="auto"/>
        </w:rPr>
        <w:t>Original Issue Date: [•], 2026</w:t>
      </w:r>
    </w:p>
    <w:p>
      <w:pPr>
        <w:spacing w:after="0" w:line="396" w:lineRule="exact"/>
        <w:rPr>
          <w:sz w:val="20"/>
          <w:szCs w:val="20"/>
          <w:color w:val="auto"/>
        </w:rPr>
      </w:pPr>
    </w:p>
    <w:p>
      <w:pPr>
        <w:ind w:left="1505"/>
        <w:spacing w:after="0"/>
        <w:rPr>
          <w:sz w:val="20"/>
          <w:szCs w:val="20"/>
          <w:color w:val="auto"/>
        </w:rPr>
      </w:pPr>
      <w:r>
        <w:rPr>
          <w:rFonts w:ascii="Times New Roman" w:cs="Times New Roman" w:eastAsia="Times New Roman" w:hAnsi="Times New Roman"/>
          <w:sz w:val="19"/>
          <w:szCs w:val="19"/>
          <w:color w:val="auto"/>
        </w:rPr>
        <w:t>THIS PLACEMENT AGENT COMMON STOCK PURCHASE WARRANT (the “</w:t>
      </w:r>
      <w:r>
        <w:rPr>
          <w:rFonts w:ascii="Times New Roman" w:cs="Times New Roman" w:eastAsia="Times New Roman" w:hAnsi="Times New Roman"/>
          <w:sz w:val="19"/>
          <w:szCs w:val="19"/>
          <w:u w:val="single" w:color="auto"/>
          <w:color w:val="auto"/>
        </w:rPr>
        <w:t>Warrant</w:t>
      </w:r>
      <w:r>
        <w:rPr>
          <w:rFonts w:ascii="Times New Roman" w:cs="Times New Roman" w:eastAsia="Times New Roman" w:hAnsi="Times New Roman"/>
          <w:sz w:val="19"/>
          <w:szCs w:val="19"/>
          <w:color w:val="auto"/>
        </w:rPr>
        <w:t>”) certifies that, for value received,</w:t>
      </w:r>
    </w:p>
    <w:p>
      <w:pPr>
        <w:spacing w:after="0" w:line="14" w:lineRule="exact"/>
        <w:rPr>
          <w:sz w:val="20"/>
          <w:szCs w:val="20"/>
          <w:color w:val="auto"/>
        </w:rPr>
      </w:pPr>
    </w:p>
    <w:p>
      <w:pPr>
        <w:jc w:val="both"/>
        <w:ind w:left="5" w:hanging="5"/>
        <w:spacing w:after="0" w:line="235" w:lineRule="auto"/>
        <w:tabs>
          <w:tab w:leader="none" w:pos="252"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 its assigns (the “</w:t>
      </w:r>
      <w:r>
        <w:rPr>
          <w:rFonts w:ascii="Times New Roman" w:cs="Times New Roman" w:eastAsia="Times New Roman" w:hAnsi="Times New Roman"/>
          <w:sz w:val="19"/>
          <w:szCs w:val="19"/>
          <w:u w:val="single" w:color="auto"/>
          <w:color w:val="auto"/>
        </w:rPr>
        <w:t>Holder</w:t>
      </w:r>
      <w:r>
        <w:rPr>
          <w:rFonts w:ascii="Times New Roman" w:cs="Times New Roman" w:eastAsia="Times New Roman" w:hAnsi="Times New Roman"/>
          <w:sz w:val="19"/>
          <w:szCs w:val="19"/>
          <w:color w:val="auto"/>
        </w:rPr>
        <w:t>”) is entitled, upon the terms and subject to the limitations on exercise and the conditions hereinafter set forth, at any time on after the date that is six (6) months after the date hereof (the “</w:t>
      </w:r>
      <w:r>
        <w:rPr>
          <w:rFonts w:ascii="Times New Roman" w:cs="Times New Roman" w:eastAsia="Times New Roman" w:hAnsi="Times New Roman"/>
          <w:sz w:val="19"/>
          <w:szCs w:val="19"/>
          <w:u w:val="single" w:color="auto"/>
          <w:color w:val="auto"/>
        </w:rPr>
        <w:t>Initial Exercise Date</w:t>
      </w:r>
      <w:r>
        <w:rPr>
          <w:rFonts w:ascii="Times New Roman" w:cs="Times New Roman" w:eastAsia="Times New Roman" w:hAnsi="Times New Roman"/>
          <w:sz w:val="19"/>
          <w:szCs w:val="19"/>
          <w:color w:val="auto"/>
        </w:rPr>
        <w:t>”) and on or prior to 5:00 p.m. (New York City time) on [•], 2031 (the “</w:t>
      </w:r>
      <w:r>
        <w:rPr>
          <w:rFonts w:ascii="Times New Roman" w:cs="Times New Roman" w:eastAsia="Times New Roman" w:hAnsi="Times New Roman"/>
          <w:sz w:val="19"/>
          <w:szCs w:val="19"/>
          <w:u w:val="single" w:color="auto"/>
          <w:color w:val="auto"/>
        </w:rPr>
        <w:t>Termination Date</w:t>
      </w:r>
      <w:r>
        <w:rPr>
          <w:rFonts w:ascii="Times New Roman" w:cs="Times New Roman" w:eastAsia="Times New Roman" w:hAnsi="Times New Roman"/>
          <w:sz w:val="19"/>
          <w:szCs w:val="19"/>
          <w:color w:val="auto"/>
        </w:rPr>
        <w:t>”) but not thereafter, to subscribe for and purchase from Decoy Therapeutics Inc., a Delaware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up to [•] shares (as subject to adjustment hereunder, the “</w:t>
      </w:r>
      <w:r>
        <w:rPr>
          <w:rFonts w:ascii="Times New Roman" w:cs="Times New Roman" w:eastAsia="Times New Roman" w:hAnsi="Times New Roman"/>
          <w:sz w:val="19"/>
          <w:szCs w:val="19"/>
          <w:u w:val="single" w:color="auto"/>
          <w:color w:val="auto"/>
        </w:rPr>
        <w:t>Warrant Shares</w:t>
      </w:r>
      <w:r>
        <w:rPr>
          <w:rFonts w:ascii="Times New Roman" w:cs="Times New Roman" w:eastAsia="Times New Roman" w:hAnsi="Times New Roman"/>
          <w:sz w:val="19"/>
          <w:szCs w:val="19"/>
          <w:color w:val="auto"/>
        </w:rPr>
        <w:t>”) of Common Stock. The purchase price of one share of Common Stock under this Warrant shall be equal to the Exercise Price, as defined in Section 2(b). This Warrant and the Warrant Shares shall be subject to the restrictions on transfer set forth in FINRA Rule 5110, including a 180-day lock-up period.</w:t>
      </w:r>
    </w:p>
    <w:p>
      <w:pPr>
        <w:spacing w:after="0" w:line="163" w:lineRule="exact"/>
        <w:rPr>
          <w:sz w:val="20"/>
          <w:szCs w:val="20"/>
          <w:color w:val="auto"/>
        </w:rPr>
      </w:pPr>
    </w:p>
    <w:p>
      <w:pPr>
        <w:ind w:left="5" w:right="20" w:firstLine="751"/>
        <w:spacing w:after="0" w:line="262" w:lineRule="auto"/>
        <w:rPr>
          <w:sz w:val="20"/>
          <w:szCs w:val="20"/>
          <w:color w:val="auto"/>
        </w:rPr>
      </w:pPr>
      <w:r>
        <w:rPr>
          <w:rFonts w:ascii="Times New Roman" w:cs="Times New Roman" w:eastAsia="Times New Roman" w:hAnsi="Times New Roman"/>
          <w:sz w:val="19"/>
          <w:szCs w:val="19"/>
          <w:u w:val="single" w:color="auto"/>
          <w:color w:val="auto"/>
        </w:rPr>
        <w:t>Section 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In addition to the terms defined elsewhere in this Warrant, the following terms have the meanings indicated in this Section 1:</w:t>
      </w:r>
    </w:p>
    <w:p>
      <w:pPr>
        <w:spacing w:after="0" w:line="138" w:lineRule="exact"/>
        <w:rPr>
          <w:sz w:val="20"/>
          <w:szCs w:val="20"/>
          <w:color w:val="auto"/>
        </w:rPr>
      </w:pPr>
    </w:p>
    <w:p>
      <w:pPr>
        <w:ind w:left="745" w:right="20" w:firstLine="750"/>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38" w:lineRule="exact"/>
        <w:rPr>
          <w:sz w:val="20"/>
          <w:szCs w:val="20"/>
          <w:color w:val="auto"/>
        </w:rPr>
      </w:pPr>
    </w:p>
    <w:p>
      <w:pPr>
        <w:ind w:left="745" w:right="20" w:firstLine="750"/>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Agency Agreement</w:t>
      </w:r>
      <w:r>
        <w:rPr>
          <w:rFonts w:ascii="Times New Roman" w:cs="Times New Roman" w:eastAsia="Times New Roman" w:hAnsi="Times New Roman"/>
          <w:sz w:val="19"/>
          <w:szCs w:val="19"/>
          <w:color w:val="auto"/>
        </w:rPr>
        <w:t>” means the placement agency agreement, dated as of June [•], 2026, between the Company and Curvature Securities, LLC.</w:t>
      </w:r>
    </w:p>
    <w:p>
      <w:pPr>
        <w:spacing w:after="0" w:line="138" w:lineRule="exact"/>
        <w:rPr>
          <w:sz w:val="20"/>
          <w:szCs w:val="20"/>
          <w:color w:val="auto"/>
        </w:rPr>
      </w:pPr>
    </w:p>
    <w:p>
      <w:pPr>
        <w:ind w:left="745" w:right="20" w:firstLine="750"/>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Bid Price</w:t>
      </w:r>
      <w:r>
        <w:rPr>
          <w:rFonts w:ascii="Times New Roman" w:cs="Times New Roman" w:eastAsia="Times New Roman" w:hAnsi="Times New Roman"/>
          <w:sz w:val="19"/>
          <w:szCs w:val="19"/>
          <w:color w:val="auto"/>
        </w:rPr>
        <w:t>” means, for any date, the price determined by the first of the following clauses that applies: (a) if the Common Stock is then listed or quoted on a Trading Market, the bid price of the Common Stock for the time in question (or the nearest preceding date)</w:t>
      </w:r>
    </w:p>
    <w:p>
      <w:pPr>
        <w:spacing w:after="0" w:line="144"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1</w:t>
      </w:r>
    </w:p>
    <w:p>
      <w:pPr>
        <w:spacing w:after="0" w:line="22" w:lineRule="exact"/>
        <w:rPr>
          <w:sz w:val="20"/>
          <w:szCs w:val="20"/>
          <w:color w:val="auto"/>
        </w:rPr>
      </w:pPr>
    </w:p>
    <w:p>
      <w:pPr>
        <w:ind w:left="65"/>
        <w:spacing w:after="0"/>
        <w:rPr>
          <w:sz w:val="20"/>
          <w:szCs w:val="20"/>
          <w:color w:val="auto"/>
        </w:rPr>
      </w:pPr>
      <w:r>
        <w:rPr>
          <w:rFonts w:ascii="Times New Roman" w:cs="Times New Roman" w:eastAsia="Times New Roman" w:hAnsi="Times New Roman"/>
          <w:sz w:val="14"/>
          <w:szCs w:val="14"/>
          <w:color w:val="auto"/>
        </w:rPr>
        <w:t>DOCPROPERTY "CUS_DocIDChunk0" 76047733.2</w:t>
      </w:r>
    </w:p>
    <w:p>
      <w:pPr>
        <w:spacing w:after="0" w:line="13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color w:val="auto"/>
        </w:rPr>
        <w:t>4896-3978-1302, v.6</w:t>
      </w:r>
    </w:p>
    <w:p>
      <w:pPr>
        <w:spacing w:after="0" w:line="135" w:lineRule="exact"/>
        <w:rPr>
          <w:sz w:val="20"/>
          <w:szCs w:val="20"/>
          <w:color w:val="auto"/>
        </w:rPr>
      </w:pPr>
    </w:p>
    <w:p>
      <w:pPr>
        <w:ind w:left="65"/>
        <w:spacing w:after="0"/>
        <w:rPr>
          <w:sz w:val="20"/>
          <w:szCs w:val="20"/>
          <w:color w:val="auto"/>
        </w:rPr>
      </w:pPr>
      <w:r>
        <w:rPr>
          <w:rFonts w:ascii="Times New Roman" w:cs="Times New Roman" w:eastAsia="Times New Roman" w:hAnsi="Times New Roman"/>
          <w:sz w:val="14"/>
          <w:szCs w:val="14"/>
          <w:color w:val="auto"/>
        </w:rPr>
        <w:t>DOCPROPERTY "CUS_DocIDChunk0" 76096931.1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508635</wp:posOffset>
            </wp:positionV>
            <wp:extent cx="717486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0" w:right="319" w:bottom="1440" w:gutter="0" w:footer="0" w:header="0"/>
        </w:sectPr>
      </w:pPr>
    </w:p>
    <w:bookmarkStart w:id="75" w:name="page76"/>
    <w:bookmarkEnd w:id="75"/>
    <w:p>
      <w:pPr>
        <w:jc w:val="both"/>
        <w:ind w:left="740"/>
        <w:spacing w:after="0" w:line="238" w:lineRule="auto"/>
        <w:rPr>
          <w:sz w:val="20"/>
          <w:szCs w:val="20"/>
          <w:color w:val="auto"/>
        </w:rPr>
      </w:pPr>
      <w:r>
        <w:rPr>
          <w:rFonts w:ascii="Times New Roman" w:cs="Times New Roman" w:eastAsia="Times New Roman" w:hAnsi="Times New Roman"/>
          <w:sz w:val="19"/>
          <w:szCs w:val="19"/>
          <w:color w:val="auto"/>
        </w:rPr>
        <w:t>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Board of Directors</w:t>
      </w:r>
      <w:r>
        <w:rPr>
          <w:rFonts w:ascii="Times New Roman" w:cs="Times New Roman" w:eastAsia="Times New Roman" w:hAnsi="Times New Roman"/>
          <w:sz w:val="19"/>
          <w:szCs w:val="19"/>
          <w:color w:val="auto"/>
        </w:rPr>
        <w:t>” means the board of directors of the Company.</w:t>
      </w:r>
    </w:p>
    <w:p>
      <w:pPr>
        <w:spacing w:after="0" w:line="184" w:lineRule="exact"/>
        <w:rPr>
          <w:sz w:val="20"/>
          <w:szCs w:val="20"/>
          <w:color w:val="auto"/>
        </w:rPr>
      </w:pPr>
    </w:p>
    <w:p>
      <w:pPr>
        <w:jc w:val="both"/>
        <w:ind w:left="740" w:right="20" w:firstLine="750"/>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Day</w:t>
      </w:r>
      <w:r>
        <w:rPr>
          <w:rFonts w:ascii="Times New Roman" w:cs="Times New Roman" w:eastAsia="Times New Roman" w:hAnsi="Times New Roman"/>
          <w:sz w:val="19"/>
          <w:szCs w:val="19"/>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6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Commission</w:t>
      </w:r>
      <w:r>
        <w:rPr>
          <w:rFonts w:ascii="Times New Roman" w:cs="Times New Roman" w:eastAsia="Times New Roman" w:hAnsi="Times New Roman"/>
          <w:sz w:val="19"/>
          <w:szCs w:val="19"/>
          <w:color w:val="auto"/>
        </w:rPr>
        <w:t>” means the United States Securities and Exchange Commission.</w:t>
      </w:r>
    </w:p>
    <w:p>
      <w:pPr>
        <w:spacing w:after="0" w:line="184" w:lineRule="exact"/>
        <w:rPr>
          <w:sz w:val="20"/>
          <w:szCs w:val="20"/>
          <w:color w:val="auto"/>
        </w:rPr>
      </w:pPr>
    </w:p>
    <w:p>
      <w:pPr>
        <w:jc w:val="both"/>
        <w:ind w:left="740" w:right="20" w:firstLine="750"/>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Common Stock</w:t>
      </w:r>
      <w:r>
        <w:rPr>
          <w:rFonts w:ascii="Times New Roman" w:cs="Times New Roman" w:eastAsia="Times New Roman" w:hAnsi="Times New Roman"/>
          <w:sz w:val="19"/>
          <w:szCs w:val="19"/>
          <w:color w:val="auto"/>
        </w:rPr>
        <w:t>” means the common stock of the Company, par value $0.0001 per share, and any other class of securities into which such securities may hereafter be reclassified or changed.</w:t>
      </w:r>
    </w:p>
    <w:p>
      <w:pPr>
        <w:spacing w:after="0" w:line="138" w:lineRule="exact"/>
        <w:rPr>
          <w:sz w:val="20"/>
          <w:szCs w:val="20"/>
          <w:color w:val="auto"/>
        </w:rPr>
      </w:pPr>
    </w:p>
    <w:p>
      <w:pPr>
        <w:jc w:val="both"/>
        <w:ind w:left="740" w:right="20" w:firstLine="750"/>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Common Stock Equivalents</w:t>
      </w:r>
      <w:r>
        <w:rPr>
          <w:rFonts w:ascii="Times New Roman" w:cs="Times New Roman" w:eastAsia="Times New Roman" w:hAnsi="Times New Roman"/>
          <w:sz w:val="19"/>
          <w:szCs w:val="19"/>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19" w:lineRule="exact"/>
        <w:rPr>
          <w:sz w:val="20"/>
          <w:szCs w:val="20"/>
          <w:color w:val="auto"/>
        </w:rPr>
      </w:pPr>
    </w:p>
    <w:p>
      <w:pPr>
        <w:jc w:val="both"/>
        <w:ind w:left="740" w:right="20" w:firstLine="833"/>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3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Securities Act</w:t>
      </w:r>
      <w:r>
        <w:rPr>
          <w:rFonts w:ascii="Times New Roman" w:cs="Times New Roman" w:eastAsia="Times New Roman" w:hAnsi="Times New Roman"/>
          <w:sz w:val="19"/>
          <w:szCs w:val="19"/>
          <w:color w:val="auto"/>
        </w:rPr>
        <w:t>” means the Securities Act of 1933, as amended, and the rules and regulations promulgated thereunder.</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4896-3978-1302, v.6</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76096931.1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76" w:name="page77"/>
    <w:bookmarkEnd w:id="76"/>
    <w:p>
      <w:pPr>
        <w:jc w:val="both"/>
        <w:ind w:left="740" w:right="20" w:firstLine="750"/>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means any subsidiary of the Company and shall, where applicable, also include any direct or indirect subsidiary of the Company formed or acquired after the date hereof.</w:t>
      </w:r>
    </w:p>
    <w:p>
      <w:pPr>
        <w:spacing w:after="0" w:line="13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Trading Day</w:t>
      </w:r>
      <w:r>
        <w:rPr>
          <w:rFonts w:ascii="Times New Roman" w:cs="Times New Roman" w:eastAsia="Times New Roman" w:hAnsi="Times New Roman"/>
          <w:sz w:val="19"/>
          <w:szCs w:val="19"/>
          <w:color w:val="auto"/>
        </w:rPr>
        <w:t>” means a day on which the Common Stock is traded on a Trading Market.</w:t>
      </w:r>
    </w:p>
    <w:p>
      <w:pPr>
        <w:spacing w:after="0" w:line="184" w:lineRule="exact"/>
        <w:rPr>
          <w:sz w:val="20"/>
          <w:szCs w:val="20"/>
          <w:color w:val="auto"/>
        </w:rPr>
      </w:pPr>
    </w:p>
    <w:p>
      <w:pPr>
        <w:jc w:val="both"/>
        <w:ind w:left="740" w:firstLine="750"/>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Trading Market</w:t>
      </w:r>
      <w:r>
        <w:rPr>
          <w:rFonts w:ascii="Times New Roman" w:cs="Times New Roman" w:eastAsia="Times New Roman" w:hAnsi="Times New Roman"/>
          <w:sz w:val="19"/>
          <w:szCs w:val="19"/>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OTCQB or OTCQX (or any successors to any of the foregoing).</w:t>
      </w:r>
    </w:p>
    <w:p>
      <w:pPr>
        <w:spacing w:after="0" w:line="151" w:lineRule="exact"/>
        <w:rPr>
          <w:sz w:val="20"/>
          <w:szCs w:val="20"/>
          <w:color w:val="auto"/>
        </w:rPr>
      </w:pPr>
    </w:p>
    <w:p>
      <w:pPr>
        <w:jc w:val="both"/>
        <w:ind w:left="740" w:right="20" w:firstLine="750"/>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Transfer Agent</w:t>
      </w:r>
      <w:r>
        <w:rPr>
          <w:rFonts w:ascii="Times New Roman" w:cs="Times New Roman" w:eastAsia="Times New Roman" w:hAnsi="Times New Roman"/>
          <w:sz w:val="19"/>
          <w:szCs w:val="19"/>
          <w:color w:val="auto"/>
        </w:rPr>
        <w:t>” means Equiniti Trust Company, LLC, the current transfer agent of the Company, with a mailing address of [•] and an email address of [•], and any successor transfer agent of the Company.</w:t>
      </w:r>
    </w:p>
    <w:p>
      <w:pPr>
        <w:spacing w:after="0" w:line="138" w:lineRule="exact"/>
        <w:rPr>
          <w:sz w:val="20"/>
          <w:szCs w:val="20"/>
          <w:color w:val="auto"/>
        </w:rPr>
      </w:pPr>
    </w:p>
    <w:p>
      <w:pPr>
        <w:jc w:val="both"/>
        <w:ind w:left="740" w:firstLine="750"/>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VWAP</w:t>
      </w:r>
      <w:r>
        <w:rPr>
          <w:rFonts w:ascii="Times New Roman" w:cs="Times New Roman" w:eastAsia="Times New Roman" w:hAnsi="Times New Roman"/>
          <w:sz w:val="19"/>
          <w:szCs w:val="19"/>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6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Warrants</w:t>
      </w:r>
      <w:r>
        <w:rPr>
          <w:rFonts w:ascii="Times New Roman" w:cs="Times New Roman" w:eastAsia="Times New Roman" w:hAnsi="Times New Roman"/>
          <w:sz w:val="19"/>
          <w:szCs w:val="19"/>
          <w:color w:val="auto"/>
        </w:rPr>
        <w:t>” means this Warrant issued by the Company pursuant to the Agency Agreement.</w:t>
      </w:r>
    </w:p>
    <w:p>
      <w:pPr>
        <w:spacing w:after="0" w:line="184"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left="740" w:firstLine="756"/>
        <w:spacing w:after="0" w:line="239" w:lineRule="auto"/>
        <w:tabs>
          <w:tab w:leader="none" w:pos="2031"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Exercise of Warrant</w:t>
      </w:r>
      <w:r>
        <w:rPr>
          <w:rFonts w:ascii="Times New Roman" w:cs="Times New Roman" w:eastAsia="Times New Roman" w:hAnsi="Times New Roman"/>
          <w:sz w:val="19"/>
          <w:szCs w:val="19"/>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9"/>
          <w:szCs w:val="19"/>
          <w:u w:val="single" w:color="auto"/>
          <w:color w:val="auto"/>
        </w:rPr>
        <w:t>Notice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Exercise</w:t>
      </w:r>
      <w:r>
        <w:rPr>
          <w:rFonts w:ascii="Times New Roman" w:cs="Times New Roman" w:eastAsia="Times New Roman" w:hAnsi="Times New Roman"/>
          <w:sz w:val="19"/>
          <w:szCs w:val="19"/>
          <w:color w:val="auto"/>
        </w:rPr>
        <w:t>”). Within the earlier of (i) one (1) Trading Day and (ii) the number of Trading Days comprising the Standard Settlement Period (as defined in Section 2(d)(i) herein) following the date of exercise as aforesaid, the Holder shall deliver the aggregate Exercise Price for the shares specified in the applicable</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4896-3978-1302, v.6</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76096931.1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77" w:name="page78"/>
    <w:bookmarkEnd w:id="77"/>
    <w:p>
      <w:pPr>
        <w:jc w:val="both"/>
        <w:ind w:left="745"/>
        <w:spacing w:after="0" w:line="236" w:lineRule="auto"/>
        <w:rPr>
          <w:sz w:val="20"/>
          <w:szCs w:val="20"/>
          <w:color w:val="auto"/>
        </w:rPr>
      </w:pPr>
      <w:r>
        <w:rPr>
          <w:rFonts w:ascii="Times New Roman" w:cs="Times New Roman" w:eastAsia="Times New Roman" w:hAnsi="Times New Roman"/>
          <w:sz w:val="19"/>
          <w:szCs w:val="19"/>
          <w:color w:val="auto"/>
        </w:rPr>
        <w:t xml:space="preserve">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purchasable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purchasable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9"/>
          <w:szCs w:val="19"/>
          <w:b w:val="1"/>
          <w:bCs w:val="1"/>
          <w:color w:val="auto"/>
        </w:rPr>
        <w:t>The Holder and any assignee, by acceptance of this Warrant, acknowledge and agree that,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64" w:lineRule="exact"/>
        <w:rPr>
          <w:sz w:val="20"/>
          <w:szCs w:val="20"/>
          <w:color w:val="auto"/>
        </w:rPr>
      </w:pPr>
    </w:p>
    <w:p>
      <w:pPr>
        <w:ind w:left="745" w:right="20" w:firstLine="756"/>
        <w:spacing w:after="0" w:line="262" w:lineRule="auto"/>
        <w:tabs>
          <w:tab w:leader="none" w:pos="2036"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Exercise Price</w:t>
      </w:r>
      <w:r>
        <w:rPr>
          <w:rFonts w:ascii="Times New Roman" w:cs="Times New Roman" w:eastAsia="Times New Roman" w:hAnsi="Times New Roman"/>
          <w:sz w:val="19"/>
          <w:szCs w:val="19"/>
          <w:color w:val="auto"/>
        </w:rPr>
        <w:t>. The exercise price per share of Common Stock under this Warrant shall be $[•]</w:t>
      </w:r>
      <w:r>
        <w:rPr>
          <w:rFonts w:ascii="Times New Roman" w:cs="Times New Roman" w:eastAsia="Times New Roman" w:hAnsi="Times New Roman"/>
          <w:sz w:val="12"/>
          <w:szCs w:val="12"/>
          <w:color w:val="auto"/>
        </w:rPr>
        <w:t>1</w:t>
      </w:r>
      <w:r>
        <w:rPr>
          <w:rFonts w:ascii="Times New Roman" w:cs="Times New Roman" w:eastAsia="Times New Roman" w:hAnsi="Times New Roman"/>
          <w:sz w:val="19"/>
          <w:szCs w:val="19"/>
          <w:color w:val="auto"/>
        </w:rPr>
        <w:t>, subject to adjustment hereunder (the “</w:t>
      </w:r>
      <w:r>
        <w:rPr>
          <w:rFonts w:ascii="Times New Roman" w:cs="Times New Roman" w:eastAsia="Times New Roman" w:hAnsi="Times New Roman"/>
          <w:sz w:val="19"/>
          <w:szCs w:val="19"/>
          <w:u w:val="single" w:color="auto"/>
          <w:color w:val="auto"/>
        </w:rPr>
        <w:t>Exercise Price</w:t>
      </w:r>
      <w:r>
        <w:rPr>
          <w:rFonts w:ascii="Times New Roman" w:cs="Times New Roman" w:eastAsia="Times New Roman" w:hAnsi="Times New Roman"/>
          <w:sz w:val="19"/>
          <w:szCs w:val="19"/>
          <w:color w:val="auto"/>
        </w:rPr>
        <w:t>”).</w:t>
      </w:r>
    </w:p>
    <w:p>
      <w:pPr>
        <w:spacing w:after="0" w:line="137" w:lineRule="exact"/>
        <w:rPr>
          <w:rFonts w:ascii="Times New Roman" w:cs="Times New Roman" w:eastAsia="Times New Roman" w:hAnsi="Times New Roman"/>
          <w:sz w:val="19"/>
          <w:szCs w:val="19"/>
          <w:color w:val="auto"/>
        </w:rPr>
      </w:pPr>
    </w:p>
    <w:p>
      <w:pPr>
        <w:jc w:val="both"/>
        <w:ind w:left="745" w:right="20" w:firstLine="756"/>
        <w:spacing w:after="0" w:line="243" w:lineRule="auto"/>
        <w:tabs>
          <w:tab w:leader="none" w:pos="2036"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Cashless Exercise</w:t>
      </w:r>
      <w:r>
        <w:rPr>
          <w:rFonts w:ascii="Times New Roman" w:cs="Times New Roman" w:eastAsia="Times New Roman" w:hAnsi="Times New Roman"/>
          <w:sz w:val="19"/>
          <w:szCs w:val="19"/>
          <w:color w:val="auto"/>
        </w:rPr>
        <w:t>. If at the time of exercise hereof there is no effective registration statement registering, or the prospectus contained therein is not available for the issuance of the Warrant Shares to the Holder, then this Warrant may only be exercised, in whole or in part, at such time by means of a “cashless exercise” in which the Holder shall be entitled to receive a number of Warrant Shares equal to the quotient obtained by dividing [(A-B) (X)] by (A), where:</w:t>
      </w:r>
    </w:p>
    <w:p>
      <w:pPr>
        <w:spacing w:after="0" w:line="155" w:lineRule="exact"/>
        <w:rPr>
          <w:rFonts w:ascii="Times New Roman" w:cs="Times New Roman" w:eastAsia="Times New Roman" w:hAnsi="Times New Roman"/>
          <w:sz w:val="19"/>
          <w:szCs w:val="19"/>
          <w:color w:val="auto"/>
        </w:rPr>
      </w:pPr>
    </w:p>
    <w:p>
      <w:pPr>
        <w:jc w:val="both"/>
        <w:ind w:left="1985" w:hanging="424"/>
        <w:spacing w:after="0" w:line="237" w:lineRule="auto"/>
        <w:tabs>
          <w:tab w:leader="none" w:pos="1985"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the Bid Price of the Common Stock on the principal Trading Market as reported by Bloomberg L.P. (“</w:t>
      </w:r>
      <w:r>
        <w:rPr>
          <w:rFonts w:ascii="Times New Roman" w:cs="Times New Roman" w:eastAsia="Times New Roman" w:hAnsi="Times New Roman"/>
          <w:sz w:val="19"/>
          <w:szCs w:val="19"/>
          <w:u w:val="single" w:color="auto"/>
          <w:color w:val="auto"/>
        </w:rPr>
        <w:t>Bloomberg</w:t>
      </w:r>
      <w:r>
        <w:rPr>
          <w:rFonts w:ascii="Times New Roman" w:cs="Times New Roman" w:eastAsia="Times New Roman" w:hAnsi="Times New Roman"/>
          <w:sz w:val="19"/>
          <w:szCs w:val="19"/>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45720</wp:posOffset>
            </wp:positionV>
            <wp:extent cx="1482090" cy="476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82090" cy="47625"/>
                    </a:xfrm>
                    <a:prstGeom prst="rect">
                      <a:avLst/>
                    </a:prstGeom>
                    <a:noFill/>
                  </pic:spPr>
                </pic:pic>
              </a:graphicData>
            </a:graphic>
          </wp:anchor>
        </w:drawing>
      </w:r>
    </w:p>
    <w:p>
      <w:pPr>
        <w:spacing w:after="0" w:line="158" w:lineRule="exact"/>
        <w:rPr>
          <w:sz w:val="20"/>
          <w:szCs w:val="20"/>
          <w:color w:val="auto"/>
        </w:rPr>
      </w:pPr>
    </w:p>
    <w:p>
      <w:pPr>
        <w:ind w:left="85" w:hanging="85"/>
        <w:spacing w:after="0"/>
        <w:tabs>
          <w:tab w:leader="none" w:pos="85" w:val="left"/>
        </w:tabs>
        <w:numPr>
          <w:ilvl w:val="0"/>
          <w:numId w:val="1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Insert 125% of the offering price per share to the Investors.</w:t>
      </w:r>
    </w:p>
    <w:p>
      <w:pPr>
        <w:ind w:left="285"/>
        <w:spacing w:after="0"/>
        <w:rPr>
          <w:sz w:val="20"/>
          <w:szCs w:val="20"/>
          <w:color w:val="auto"/>
        </w:rPr>
      </w:pPr>
      <w:r>
        <w:rPr>
          <w:rFonts w:ascii="Times New Roman" w:cs="Times New Roman" w:eastAsia="Times New Roman" w:hAnsi="Times New Roman"/>
          <w:sz w:val="19"/>
          <w:szCs w:val="19"/>
          <w:color w:val="auto"/>
        </w:rPr>
        <w:t>4</w:t>
      </w:r>
    </w:p>
    <w:p>
      <w:pPr>
        <w:spacing w:after="0" w:line="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color w:val="auto"/>
        </w:rPr>
        <w:t>4896-3978-1302, v.6</w:t>
      </w:r>
    </w:p>
    <w:p>
      <w:pPr>
        <w:spacing w:after="0" w:line="131" w:lineRule="exact"/>
        <w:rPr>
          <w:sz w:val="20"/>
          <w:szCs w:val="20"/>
          <w:color w:val="auto"/>
        </w:rPr>
      </w:pPr>
    </w:p>
    <w:p>
      <w:pPr>
        <w:ind w:left="65"/>
        <w:spacing w:after="0"/>
        <w:rPr>
          <w:sz w:val="20"/>
          <w:szCs w:val="20"/>
          <w:color w:val="auto"/>
        </w:rPr>
      </w:pPr>
      <w:r>
        <w:rPr>
          <w:rFonts w:ascii="Times New Roman" w:cs="Times New Roman" w:eastAsia="Times New Roman" w:hAnsi="Times New Roman"/>
          <w:sz w:val="14"/>
          <w:szCs w:val="14"/>
          <w:color w:val="auto"/>
        </w:rPr>
        <w:t>DOCPROPERTY "CUS_DocIDChunk0" 76096931.1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17486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2" w:right="319" w:bottom="1440" w:gutter="0" w:footer="0" w:header="0"/>
        </w:sectPr>
      </w:pPr>
    </w:p>
    <w:bookmarkStart w:id="78" w:name="page79"/>
    <w:bookmarkEnd w:id="78"/>
    <w:p>
      <w:pPr>
        <w:ind w:left="1980"/>
        <w:spacing w:after="0" w:line="262" w:lineRule="auto"/>
        <w:rPr>
          <w:sz w:val="20"/>
          <w:szCs w:val="20"/>
          <w:color w:val="auto"/>
        </w:rPr>
      </w:pPr>
      <w:r>
        <w:rPr>
          <w:rFonts w:ascii="Times New Roman" w:cs="Times New Roman" w:eastAsia="Times New Roman" w:hAnsi="Times New Roman"/>
          <w:sz w:val="19"/>
          <w:szCs w:val="19"/>
          <w:color w:val="auto"/>
        </w:rPr>
        <w:t>Exercise if the date of such Notice of Exercise is a Trading Day and such Notice of Exercise is both executed and delivered pursuant to Section 2(a) hereof after the close of “regular trading hours” on such Trading Day;</w:t>
      </w:r>
    </w:p>
    <w:p>
      <w:pPr>
        <w:spacing w:after="0" w:line="162" w:lineRule="exact"/>
        <w:rPr>
          <w:sz w:val="20"/>
          <w:szCs w:val="20"/>
          <w:color w:val="auto"/>
        </w:rPr>
      </w:pPr>
    </w:p>
    <w:p>
      <w:pPr>
        <w:ind w:left="1800" w:hanging="304"/>
        <w:spacing w:after="0"/>
        <w:tabs>
          <w:tab w:leader="none" w:pos="180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the Exercise Price of this Warrant, as adjusted hereunder; and</w:t>
      </w:r>
    </w:p>
    <w:p>
      <w:pPr>
        <w:spacing w:after="0" w:line="207" w:lineRule="exact"/>
        <w:rPr>
          <w:rFonts w:ascii="Times New Roman" w:cs="Times New Roman" w:eastAsia="Times New Roman" w:hAnsi="Times New Roman"/>
          <w:sz w:val="19"/>
          <w:szCs w:val="19"/>
          <w:color w:val="auto"/>
        </w:rPr>
      </w:pPr>
    </w:p>
    <w:p>
      <w:pPr>
        <w:ind w:left="2160" w:right="20" w:hanging="663"/>
        <w:spacing w:after="0" w:line="262" w:lineRule="auto"/>
        <w:tabs>
          <w:tab w:leader="none" w:pos="1825"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If Warrant Shares are issued in such a cashless exercise, the parties acknowledge and agree that in accordance with Section 3(a)</w:t>
      </w:r>
    </w:p>
    <w:p>
      <w:pPr>
        <w:spacing w:after="0" w:line="14" w:lineRule="exact"/>
        <w:rPr>
          <w:sz w:val="20"/>
          <w:szCs w:val="20"/>
          <w:color w:val="auto"/>
        </w:rPr>
      </w:pPr>
    </w:p>
    <w:p>
      <w:pPr>
        <w:ind w:left="740" w:right="20" w:firstLine="5"/>
        <w:spacing w:after="0"/>
        <w:tabs>
          <w:tab w:leader="none" w:pos="1020"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Securities Act, the Warrant Shares shall take on the registered characteristics of the Warrants being exercised. The Company agrees not to take any position contrary to this Section 2(c).</w:t>
      </w:r>
    </w:p>
    <w:p>
      <w:pPr>
        <w:spacing w:after="0" w:line="158" w:lineRule="exact"/>
        <w:rPr>
          <w:rFonts w:ascii="Times New Roman" w:cs="Times New Roman" w:eastAsia="Times New Roman" w:hAnsi="Times New Roman"/>
          <w:sz w:val="19"/>
          <w:szCs w:val="19"/>
          <w:color w:val="auto"/>
        </w:rPr>
      </w:pPr>
    </w:p>
    <w:p>
      <w:pPr>
        <w:ind w:left="740" w:hanging="370"/>
        <w:spacing w:after="0"/>
        <w:tabs>
          <w:tab w:leader="none" w:pos="740"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Mechanics of Exercise</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color w:val="auto"/>
        </w:rPr>
      </w:pPr>
    </w:p>
    <w:p>
      <w:pPr>
        <w:jc w:val="both"/>
        <w:ind w:left="2240" w:hanging="134"/>
        <w:spacing w:after="0" w:line="235" w:lineRule="auto"/>
        <w:tabs>
          <w:tab w:leader="none" w:pos="2240" w:val="left"/>
        </w:tabs>
        <w:numPr>
          <w:ilvl w:val="2"/>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Delivery of Warrant Shares Upon Exercise</w:t>
      </w:r>
      <w:r>
        <w:rPr>
          <w:rFonts w:ascii="Times New Roman" w:cs="Times New Roman" w:eastAsia="Times New Roman" w:hAnsi="Times New Roman"/>
          <w:sz w:val="19"/>
          <w:szCs w:val="19"/>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9"/>
          <w:szCs w:val="19"/>
          <w:u w:val="single" w:color="auto"/>
          <w:color w:val="auto"/>
        </w:rPr>
        <w:t>DWAC</w:t>
      </w:r>
      <w:r>
        <w:rPr>
          <w:rFonts w:ascii="Times New Roman" w:cs="Times New Roman" w:eastAsia="Times New Roman" w:hAnsi="Times New Roman"/>
          <w:sz w:val="19"/>
          <w:szCs w:val="19"/>
          <w:color w:val="auto"/>
        </w:rPr>
        <w:t>”) if the Company is then a participant in such system and either (A) there is an effective registration statement permitting the issuance of the Warrant Shares to or resale of the Warrant Shares by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9"/>
          <w:szCs w:val="19"/>
          <w:u w:val="single" w:color="auto"/>
          <w:color w:val="auto"/>
        </w:rPr>
        <w:t>Warrant Share Delivery Date</w:t>
      </w:r>
      <w:r>
        <w:rPr>
          <w:rFonts w:ascii="Times New Roman" w:cs="Times New Roman" w:eastAsia="Times New Roman" w:hAnsi="Times New Roman"/>
          <w:sz w:val="19"/>
          <w:szCs w:val="19"/>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9"/>
          <w:szCs w:val="19"/>
          <w:u w:val="single" w:color="auto"/>
          <w:color w:val="auto"/>
        </w:rPr>
        <w:t>Standard Settlement Period</w:t>
      </w:r>
      <w:r>
        <w:rPr>
          <w:rFonts w:ascii="Times New Roman" w:cs="Times New Roman" w:eastAsia="Times New Roman" w:hAnsi="Times New Roman"/>
          <w:sz w:val="19"/>
          <w:szCs w:val="19"/>
          <w:color w:val="auto"/>
        </w:rPr>
        <w:t>” means the standard settlement</w:t>
      </w:r>
    </w:p>
    <w:p>
      <w:pPr>
        <w:spacing w:after="0" w:line="16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4896-3978-1302, v.6</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76096931.1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79" w:name="page80"/>
    <w:bookmarkEnd w:id="79"/>
    <w:p>
      <w:pPr>
        <w:jc w:val="both"/>
        <w:ind w:left="2240"/>
        <w:spacing w:after="0" w:line="238" w:lineRule="auto"/>
        <w:rPr>
          <w:sz w:val="20"/>
          <w:szCs w:val="20"/>
          <w:color w:val="auto"/>
        </w:rPr>
      </w:pPr>
      <w:r>
        <w:rPr>
          <w:rFonts w:ascii="Times New Roman" w:cs="Times New Roman" w:eastAsia="Times New Roman" w:hAnsi="Times New Roman"/>
          <w:sz w:val="19"/>
          <w:szCs w:val="19"/>
          <w:color w:val="auto"/>
        </w:rPr>
        <w:t>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Agency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spacing w:after="0" w:line="159" w:lineRule="exact"/>
        <w:rPr>
          <w:sz w:val="20"/>
          <w:szCs w:val="20"/>
          <w:color w:val="auto"/>
        </w:rPr>
      </w:pPr>
    </w:p>
    <w:p>
      <w:pPr>
        <w:jc w:val="both"/>
        <w:ind w:left="2240" w:firstLine="966"/>
        <w:spacing w:after="0" w:line="241" w:lineRule="auto"/>
        <w:tabs>
          <w:tab w:leader="none" w:pos="3561"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Delivery of New Warrants Upon Exercise</w:t>
      </w:r>
      <w:r>
        <w:rPr>
          <w:rFonts w:ascii="Times New Roman" w:cs="Times New Roman" w:eastAsia="Times New Roman" w:hAnsi="Times New Roman"/>
          <w:sz w:val="19"/>
          <w:szCs w:val="19"/>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57" w:lineRule="exact"/>
        <w:rPr>
          <w:sz w:val="20"/>
          <w:szCs w:val="20"/>
          <w:color w:val="auto"/>
        </w:rPr>
      </w:pPr>
    </w:p>
    <w:p>
      <w:pPr>
        <w:jc w:val="both"/>
        <w:ind w:left="2240" w:firstLine="939"/>
        <w:spacing w:after="0" w:line="248" w:lineRule="auto"/>
        <w:tabs>
          <w:tab w:leader="none" w:pos="3561"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Rescission Rights</w:t>
      </w:r>
      <w:r>
        <w:rPr>
          <w:rFonts w:ascii="Times New Roman" w:cs="Times New Roman" w:eastAsia="Times New Roman" w:hAnsi="Times New Roman"/>
          <w:sz w:val="19"/>
          <w:szCs w:val="19"/>
          <w:color w:val="auto"/>
        </w:rPr>
        <w:t>. If the Company fails to cause the Transfer Agent to transmit to the Holder the Warrant Shares pursuant to Section 2(d)(i) by the Warrant Share Delivery Date, then the Holder will have the right to rescind such exercise.</w:t>
      </w:r>
    </w:p>
    <w:p>
      <w:pPr>
        <w:spacing w:after="0" w:line="150" w:lineRule="exact"/>
        <w:rPr>
          <w:rFonts w:ascii="Times New Roman" w:cs="Times New Roman" w:eastAsia="Times New Roman" w:hAnsi="Times New Roman"/>
          <w:sz w:val="19"/>
          <w:szCs w:val="19"/>
          <w:color w:val="auto"/>
        </w:rPr>
      </w:pPr>
    </w:p>
    <w:p>
      <w:pPr>
        <w:jc w:val="both"/>
        <w:ind w:left="2240" w:firstLine="945"/>
        <w:spacing w:after="0" w:line="236" w:lineRule="auto"/>
        <w:tabs>
          <w:tab w:leader="none" w:pos="3561"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Compensation for Buy-In on Failure to Timely Deliver Warrant Shares Upon Exercise</w:t>
      </w:r>
      <w:r>
        <w:rPr>
          <w:rFonts w:ascii="Times New Roman" w:cs="Times New Roman" w:eastAsia="Times New Roman" w:hAnsi="Times New Roman"/>
          <w:sz w:val="19"/>
          <w:szCs w:val="19"/>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9"/>
          <w:szCs w:val="19"/>
          <w:u w:val="single" w:color="auto"/>
          <w:color w:val="auto"/>
        </w:rPr>
        <w:t>Buy-In</w:t>
      </w:r>
      <w:r>
        <w:rPr>
          <w:rFonts w:ascii="Times New Roman" w:cs="Times New Roman" w:eastAsia="Times New Roman" w:hAnsi="Times New Roman"/>
          <w:sz w:val="19"/>
          <w:szCs w:val="19"/>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4896-3978-1302, v.6</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76096931.1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80" w:name="page81"/>
    <w:bookmarkEnd w:id="80"/>
    <w:p>
      <w:pPr>
        <w:jc w:val="both"/>
        <w:ind w:left="2240"/>
        <w:spacing w:after="0" w:line="237" w:lineRule="auto"/>
        <w:rPr>
          <w:sz w:val="20"/>
          <w:szCs w:val="20"/>
          <w:color w:val="auto"/>
        </w:rPr>
      </w:pPr>
      <w:r>
        <w:rPr>
          <w:rFonts w:ascii="Times New Roman" w:cs="Times New Roman" w:eastAsia="Times New Roman" w:hAnsi="Times New Roman"/>
          <w:sz w:val="19"/>
          <w:szCs w:val="19"/>
          <w:color w:val="auto"/>
        </w:rPr>
        <w:t>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provided that the Company’s aggregate liability under this Buy-In provision shall not exceed the aggregate Exercise Price payable in respect of the Warrant Shares subject to the relevant exercise.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58" w:lineRule="exact"/>
        <w:rPr>
          <w:sz w:val="20"/>
          <w:szCs w:val="20"/>
          <w:color w:val="auto"/>
        </w:rPr>
      </w:pPr>
    </w:p>
    <w:p>
      <w:pPr>
        <w:jc w:val="both"/>
        <w:ind w:left="2240" w:firstLine="971"/>
        <w:spacing w:after="0" w:line="243" w:lineRule="auto"/>
        <w:tabs>
          <w:tab w:leader="none" w:pos="3561"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Fractional Shares or Scrip</w:t>
      </w:r>
      <w:r>
        <w:rPr>
          <w:rFonts w:ascii="Times New Roman" w:cs="Times New Roman" w:eastAsia="Times New Roman" w:hAnsi="Times New Roman"/>
          <w:sz w:val="19"/>
          <w:szCs w:val="19"/>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56" w:lineRule="exact"/>
        <w:rPr>
          <w:sz w:val="20"/>
          <w:szCs w:val="20"/>
          <w:color w:val="auto"/>
        </w:rPr>
      </w:pPr>
    </w:p>
    <w:p>
      <w:pPr>
        <w:jc w:val="both"/>
        <w:ind w:left="2240" w:firstLine="945"/>
        <w:spacing w:after="0" w:line="237" w:lineRule="auto"/>
        <w:tabs>
          <w:tab w:leader="none" w:pos="3561"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Charges, Taxes and Expenses</w:t>
      </w:r>
      <w:r>
        <w:rPr>
          <w:rFonts w:ascii="Times New Roman" w:cs="Times New Roman" w:eastAsia="Times New Roman" w:hAnsi="Times New Roman"/>
          <w:sz w:val="19"/>
          <w:szCs w:val="19"/>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61" w:lineRule="exact"/>
        <w:rPr>
          <w:sz w:val="20"/>
          <w:szCs w:val="20"/>
          <w:color w:val="auto"/>
        </w:rPr>
      </w:pPr>
    </w:p>
    <w:p>
      <w:pPr>
        <w:ind w:left="2240" w:right="20" w:firstLine="918"/>
        <w:spacing w:after="0" w:line="262" w:lineRule="auto"/>
        <w:tabs>
          <w:tab w:leader="none" w:pos="3561"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Closing of Books</w:t>
      </w:r>
      <w:r>
        <w:rPr>
          <w:rFonts w:ascii="Times New Roman" w:cs="Times New Roman" w:eastAsia="Times New Roman" w:hAnsi="Times New Roman"/>
          <w:sz w:val="19"/>
          <w:szCs w:val="19"/>
          <w:color w:val="auto"/>
        </w:rPr>
        <w:t>. The Company will not close its stockholder books or records in any manner which prevents the timely exercise of this Warrant, pursuant to the terms hereof.</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4896-3978-1302, v.6</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76096931.1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81" w:name="page82"/>
    <w:bookmarkEnd w:id="81"/>
    <w:p>
      <w:pPr>
        <w:jc w:val="both"/>
        <w:ind w:left="740" w:firstLine="756"/>
        <w:spacing w:after="0" w:line="235" w:lineRule="auto"/>
        <w:tabs>
          <w:tab w:leader="none" w:pos="2031"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Holder’s Exercise Limitations</w:t>
      </w:r>
      <w:r>
        <w:rPr>
          <w:rFonts w:ascii="Times New Roman" w:cs="Times New Roman" w:eastAsia="Times New Roman" w:hAnsi="Times New Roman"/>
          <w:sz w:val="19"/>
          <w:szCs w:val="19"/>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9"/>
          <w:szCs w:val="19"/>
          <w:u w:val="single" w:color="auto"/>
          <w:color w:val="auto"/>
        </w:rPr>
        <w:t>Attribution Parties</w:t>
      </w:r>
      <w:r>
        <w:rPr>
          <w:rFonts w:ascii="Times New Roman" w:cs="Times New Roman" w:eastAsia="Times New Roman" w:hAnsi="Times New Roman"/>
          <w:sz w:val="19"/>
          <w:szCs w:val="19"/>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w:t>
      </w:r>
    </w:p>
    <w:p>
      <w:pPr>
        <w:spacing w:after="0" w:line="1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4896-3978-1302, v.6</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76096931.1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82" w:name="page83"/>
    <w:bookmarkEnd w:id="82"/>
    <w:p>
      <w:pPr>
        <w:jc w:val="both"/>
        <w:ind w:left="740"/>
        <w:spacing w:after="0" w:line="236" w:lineRule="auto"/>
        <w:rPr>
          <w:sz w:val="20"/>
          <w:szCs w:val="20"/>
          <w:color w:val="auto"/>
        </w:rPr>
      </w:pPr>
      <w:r>
        <w:rPr>
          <w:rFonts w:ascii="Times New Roman" w:cs="Times New Roman" w:eastAsia="Times New Roman" w:hAnsi="Times New Roman"/>
          <w:sz w:val="19"/>
          <w:szCs w:val="19"/>
          <w:color w:val="auto"/>
        </w:rPr>
        <w:t>shares of Common Stock was reported. The “</w:t>
      </w:r>
      <w:r>
        <w:rPr>
          <w:rFonts w:ascii="Times New Roman" w:cs="Times New Roman" w:eastAsia="Times New Roman" w:hAnsi="Times New Roman"/>
          <w:sz w:val="19"/>
          <w:szCs w:val="19"/>
          <w:u w:val="single" w:color="auto"/>
          <w:color w:val="auto"/>
        </w:rPr>
        <w:t>Beneficial Ownership Limitation</w:t>
      </w:r>
      <w:r>
        <w:rPr>
          <w:rFonts w:ascii="Times New Roman" w:cs="Times New Roman" w:eastAsia="Times New Roman" w:hAnsi="Times New Roman"/>
          <w:sz w:val="19"/>
          <w:szCs w:val="19"/>
          <w:color w:val="auto"/>
        </w:rPr>
        <w:t>” shall be 4.99% (or, upon election by a Holder prior to the issuance of any Warrants, 9.99%)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 w:cs="Times New Roman" w:eastAsia="Times New Roman" w:hAnsi="Times New Roman"/>
          <w:sz w:val="12"/>
          <w:szCs w:val="12"/>
          <w:color w:val="auto"/>
        </w:rPr>
        <w:t>st</w:t>
      </w:r>
      <w:r>
        <w:rPr>
          <w:rFonts w:ascii="Times New Roman" w:cs="Times New Roman" w:eastAsia="Times New Roman" w:hAnsi="Times New Roman"/>
          <w:sz w:val="19"/>
          <w:szCs w:val="19"/>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this Warrant is unexercisable as a result of the Holder’s Beneficial Ownership Limitation, the Company shall owe no alternative consideration to the Holder.</w:t>
      </w:r>
    </w:p>
    <w:p>
      <w:pPr>
        <w:spacing w:after="0" w:line="166"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left="740" w:firstLine="756"/>
        <w:spacing w:after="0" w:line="219" w:lineRule="exact"/>
        <w:tabs>
          <w:tab w:leader="none" w:pos="2031"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Stock Dividends and Splits</w:t>
      </w:r>
      <w:r>
        <w:rPr>
          <w:rFonts w:ascii="Times New Roman" w:cs="Times New Roman" w:eastAsia="Times New Roman" w:hAnsi="Times New Roman"/>
          <w:sz w:val="19"/>
          <w:szCs w:val="19"/>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classification.</w:t>
      </w:r>
    </w:p>
    <w:p>
      <w:pPr>
        <w:spacing w:after="0" w:line="133" w:lineRule="exact"/>
        <w:rPr>
          <w:rFonts w:ascii="Times New Roman" w:cs="Times New Roman" w:eastAsia="Times New Roman" w:hAnsi="Times New Roman"/>
          <w:sz w:val="19"/>
          <w:szCs w:val="19"/>
          <w:color w:val="auto"/>
        </w:rPr>
      </w:pPr>
    </w:p>
    <w:p>
      <w:pPr>
        <w:ind w:left="2040" w:hanging="544"/>
        <w:spacing w:after="0"/>
        <w:tabs>
          <w:tab w:leader="none" w:pos="2040"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color w:val="auto"/>
        </w:rPr>
      </w:pPr>
    </w:p>
    <w:p>
      <w:pPr>
        <w:ind w:left="740" w:right="20" w:firstLine="756"/>
        <w:spacing w:after="0" w:line="262" w:lineRule="auto"/>
        <w:tabs>
          <w:tab w:leader="none" w:pos="2031"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Subsequent Rights Offerings</w:t>
      </w:r>
      <w:r>
        <w:rPr>
          <w:rFonts w:ascii="Times New Roman" w:cs="Times New Roman" w:eastAsia="Times New Roman" w:hAnsi="Times New Roman"/>
          <w:sz w:val="19"/>
          <w:szCs w:val="19"/>
          <w:color w:val="auto"/>
        </w:rPr>
        <w:t>. In addition to any adjustments pursuant to Section 3(a) above, if at any time the Company grants, issues or sells any Common Stock Equivalents or rights to purchase stock, warrants, securities or other property pro rata to</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4896-3978-1302, v.6</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76096931.1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83" w:name="page84"/>
    <w:bookmarkEnd w:id="83"/>
    <w:p>
      <w:pPr>
        <w:jc w:val="both"/>
        <w:ind w:left="740"/>
        <w:spacing w:after="0" w:line="237" w:lineRule="auto"/>
        <w:rPr>
          <w:sz w:val="20"/>
          <w:szCs w:val="20"/>
          <w:color w:val="auto"/>
        </w:rPr>
      </w:pPr>
      <w:r>
        <w:rPr>
          <w:rFonts w:ascii="Times New Roman" w:cs="Times New Roman" w:eastAsia="Times New Roman" w:hAnsi="Times New Roman"/>
          <w:sz w:val="19"/>
          <w:szCs w:val="19"/>
          <w:color w:val="auto"/>
        </w:rPr>
        <w:t>the record holders of any class of shares of Common Stock (the “</w:t>
      </w:r>
      <w:r>
        <w:rPr>
          <w:rFonts w:ascii="Times New Roman" w:cs="Times New Roman" w:eastAsia="Times New Roman" w:hAnsi="Times New Roman"/>
          <w:sz w:val="19"/>
          <w:szCs w:val="19"/>
          <w:u w:val="single" w:color="auto"/>
          <w:color w:val="auto"/>
        </w:rPr>
        <w:t>Purchase Rights</w:t>
      </w:r>
      <w:r>
        <w:rPr>
          <w:rFonts w:ascii="Times New Roman" w:cs="Times New Roman" w:eastAsia="Times New Roman" w:hAnsi="Times New Roman"/>
          <w:sz w:val="19"/>
          <w:szCs w:val="19"/>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61" w:lineRule="exact"/>
        <w:rPr>
          <w:sz w:val="20"/>
          <w:szCs w:val="20"/>
          <w:color w:val="auto"/>
        </w:rPr>
      </w:pPr>
    </w:p>
    <w:p>
      <w:pPr>
        <w:ind w:left="2040" w:hanging="544"/>
        <w:spacing w:after="0"/>
        <w:tabs>
          <w:tab w:leader="none" w:pos="2040"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183" w:lineRule="exact"/>
        <w:rPr>
          <w:rFonts w:ascii="Times New Roman" w:cs="Times New Roman" w:eastAsia="Times New Roman" w:hAnsi="Times New Roman"/>
          <w:sz w:val="19"/>
          <w:szCs w:val="19"/>
          <w:color w:val="auto"/>
        </w:rPr>
      </w:pPr>
    </w:p>
    <w:p>
      <w:pPr>
        <w:jc w:val="both"/>
        <w:ind w:left="740" w:firstLine="756"/>
        <w:spacing w:after="0" w:line="235" w:lineRule="auto"/>
        <w:tabs>
          <w:tab w:leader="none" w:pos="2031"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Fundamental Transaction</w:t>
      </w:r>
      <w:r>
        <w:rPr>
          <w:rFonts w:ascii="Times New Roman" w:cs="Times New Roman" w:eastAsia="Times New Roman" w:hAnsi="Times New Roman"/>
          <w:sz w:val="19"/>
          <w:szCs w:val="19"/>
          <w:color w:val="auto"/>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Common Stock or greater than 50% of the voting power of the common equity of the Company (each a “Fundamental Transaction”),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“Alternate Consideration”) receivable as a result of such Fundamental</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10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4896-3978-1302, v.6</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76096931.1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84" w:name="page85"/>
    <w:bookmarkEnd w:id="84"/>
    <w:p>
      <w:pPr>
        <w:jc w:val="both"/>
        <w:ind w:left="740"/>
        <w:spacing w:after="0" w:line="234" w:lineRule="auto"/>
        <w:rPr>
          <w:sz w:val="20"/>
          <w:szCs w:val="20"/>
          <w:color w:val="auto"/>
        </w:rPr>
      </w:pPr>
      <w:r>
        <w:rPr>
          <w:rFonts w:ascii="Times New Roman" w:cs="Times New Roman" w:eastAsia="Times New Roman" w:hAnsi="Times New Roman"/>
          <w:sz w:val="19"/>
          <w:szCs w:val="19"/>
          <w:color w:val="auto"/>
        </w:rPr>
        <w:t>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contemplated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(i) the Fundamental Transaction is not within the Company's control, including not approved by the Company's Board of Directors or (ii) the consideration issuable in such Fundamental Transaction is all stock or other securities consideration, then, in each case, the Holder, in connection with the Holder’s option to cause the Company or any Successor Entity to purchase this Warrant from the Holder, which option shall be exercisable at any time concurrently with, or within 30 days after, the consummation of the Fundamental Transaction (or, if later, the date of the public announcement of the applicable contemplated Fundamental Transaction),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“Black Scholes Value” means the value of this Warrant based on the Black Scholes Option Pricing Model obtained from the “OV” function on Bloomberg, L.P. (“Bloomberg”) determined as of the day of consummation of the applicable Fundamental Transaction for pricing purposes and reflecting (i) a risk-free interest rate corresponding to the U.S. Treasury rate for a period equal to the remaining term of this Warrant as of such date of request, (ii) an expected volatility equal to the remaining term of this Warrant obtained from the HVT function on Bloomberg as of the Trading Day immediately prior to the</w:t>
      </w:r>
    </w:p>
    <w:p>
      <w:pPr>
        <w:spacing w:after="0" w:line="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11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4896-3978-1302, v.6</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76096931.1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85" w:name="page86"/>
    <w:bookmarkEnd w:id="85"/>
    <w:p>
      <w:pPr>
        <w:jc w:val="both"/>
        <w:ind w:left="740"/>
        <w:spacing w:after="0" w:line="235" w:lineRule="auto"/>
        <w:rPr>
          <w:sz w:val="20"/>
          <w:szCs w:val="20"/>
          <w:color w:val="auto"/>
        </w:rPr>
      </w:pPr>
      <w:r>
        <w:rPr>
          <w:rFonts w:ascii="Times New Roman" w:cs="Times New Roman" w:eastAsia="Times New Roman" w:hAnsi="Times New Roman"/>
          <w:sz w:val="19"/>
          <w:szCs w:val="19"/>
          <w:color w:val="auto"/>
        </w:rPr>
        <w:t>public announcement of the applicable Fundamental Transaction or, if the Fundamental Transaction is not publicly announced, the date the Fundamental Transaction is consummated, (iii) the underlying price per share used in such calculation shall be the greater of (A) the sum of the price per share being offered in cash, if any, plus the per share value of any non-cash consideration, if any, being offered in such Fundamental Transaction and (B) the greater of (x) the last weighted average price of the Common Stock immediately prior to the public announcement of such Fundamental Transaction and (y) the last weighted average price of the Common Stock immediately prior to the consummation of such Fundamental Transaction, (iv) a zero cost of borrow and (v) a 360 day annualization factor. The payment of the Black Scholes Value will be made by wire transfer of immediately available funds (or such other consideration) within the later of (i) five Business Days of the Holder’s election and (ii) the effective date of the Fundamental Transaction. The Company shall cause any successor entity in a Fundamental Transaction in which the Company is not the survivor (the “Successor Entity”)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w:t>
      </w:r>
    </w:p>
    <w:p>
      <w:pPr>
        <w:spacing w:after="0" w:line="186" w:lineRule="exact"/>
        <w:rPr>
          <w:sz w:val="20"/>
          <w:szCs w:val="20"/>
          <w:color w:val="auto"/>
        </w:rPr>
      </w:pPr>
    </w:p>
    <w:p>
      <w:pPr>
        <w:ind w:left="740" w:right="20" w:firstLine="756"/>
        <w:spacing w:after="0" w:line="262" w:lineRule="auto"/>
        <w:tabs>
          <w:tab w:leader="none" w:pos="2031"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Calculations</w:t>
      </w:r>
      <w:r>
        <w:rPr>
          <w:rFonts w:ascii="Times New Roman" w:cs="Times New Roman" w:eastAsia="Times New Roman" w:hAnsi="Times New Roman"/>
          <w:sz w:val="19"/>
          <w:szCs w:val="19"/>
          <w:color w:val="auto"/>
        </w:rPr>
        <w:t>. All calculations under this Section 3 shall be made to the nearest cent or the nearest 1/100th of a share, as the case may be. For purposes of this Section 3, the number of shares of Common Stock deemed to be issued and outstanding as</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12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4896-3978-1302, v.6</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76096931.1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86" w:name="page87"/>
    <w:bookmarkEnd w:id="86"/>
    <w:p>
      <w:pPr>
        <w:ind w:left="740"/>
        <w:spacing w:after="0"/>
        <w:rPr>
          <w:sz w:val="20"/>
          <w:szCs w:val="20"/>
          <w:color w:val="auto"/>
        </w:rPr>
      </w:pPr>
      <w:r>
        <w:rPr>
          <w:rFonts w:ascii="Times New Roman" w:cs="Times New Roman" w:eastAsia="Times New Roman" w:hAnsi="Times New Roman"/>
          <w:sz w:val="19"/>
          <w:szCs w:val="19"/>
          <w:color w:val="auto"/>
        </w:rPr>
        <w:t>of a given date shall be the sum of the number of shares of Common Stock (excluding treasury shares, if any) issued and outstanding.</w:t>
      </w:r>
    </w:p>
    <w:p>
      <w:pPr>
        <w:spacing w:after="0" w:line="184" w:lineRule="exact"/>
        <w:rPr>
          <w:sz w:val="20"/>
          <w:szCs w:val="20"/>
          <w:color w:val="auto"/>
        </w:rPr>
      </w:pPr>
    </w:p>
    <w:p>
      <w:pPr>
        <w:ind w:left="2040" w:hanging="544"/>
        <w:spacing w:after="0"/>
        <w:tabs>
          <w:tab w:leader="none" w:pos="2040"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to Holder</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left="2240" w:firstLine="992"/>
        <w:spacing w:after="0" w:line="243" w:lineRule="auto"/>
        <w:tabs>
          <w:tab w:leader="none" w:pos="3561"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Adjustment to Exercise Price</w:t>
      </w:r>
      <w:r>
        <w:rPr>
          <w:rFonts w:ascii="Times New Roman" w:cs="Times New Roman" w:eastAsia="Times New Roman" w:hAnsi="Times New Roman"/>
          <w:sz w:val="19"/>
          <w:szCs w:val="19"/>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56" w:lineRule="exact"/>
        <w:rPr>
          <w:sz w:val="20"/>
          <w:szCs w:val="20"/>
          <w:color w:val="auto"/>
        </w:rPr>
      </w:pPr>
    </w:p>
    <w:p>
      <w:pPr>
        <w:jc w:val="both"/>
        <w:ind w:left="2240" w:right="20" w:firstLine="966"/>
        <w:spacing w:after="0" w:line="239" w:lineRule="auto"/>
        <w:tabs>
          <w:tab w:leader="none" w:pos="3561" w:val="left"/>
        </w:tabs>
        <w:numPr>
          <w:ilvl w:val="1"/>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to Allow Exercise by Holder</w:t>
      </w:r>
      <w:r>
        <w:rPr>
          <w:rFonts w:ascii="Times New Roman" w:cs="Times New Roman" w:eastAsia="Times New Roman" w:hAnsi="Times New Roman"/>
          <w:sz w:val="19"/>
          <w:szCs w:val="19"/>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w:t>
      </w:r>
    </w:p>
    <w:p>
      <w:pPr>
        <w:spacing w:after="0" w:line="1" w:lineRule="exact"/>
        <w:rPr>
          <w:rFonts w:ascii="Times New Roman" w:cs="Times New Roman" w:eastAsia="Times New Roman" w:hAnsi="Times New Roman"/>
          <w:sz w:val="19"/>
          <w:szCs w:val="19"/>
          <w:color w:val="auto"/>
        </w:rPr>
      </w:pPr>
    </w:p>
    <w:p>
      <w:pPr>
        <w:jc w:val="both"/>
        <w:ind w:left="2240" w:firstLine="6"/>
        <w:spacing w:after="0" w:line="234" w:lineRule="auto"/>
        <w:tabs>
          <w:tab w:leader="none" w:pos="2561"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by the later of 20 calendar days prior to the applicable record or effective date hereinafter specified and the date the applicable record or effective date is publicly announced,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w:t>
      </w:r>
    </w:p>
    <w:p>
      <w:pPr>
        <w:spacing w:after="0" w:line="1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13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4896-3978-1302, v.6</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76096931.1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87" w:name="page88"/>
    <w:bookmarkEnd w:id="87"/>
    <w:p>
      <w:pPr>
        <w:jc w:val="both"/>
        <w:ind w:left="2240" w:right="20"/>
        <w:spacing w:after="0" w:line="248" w:lineRule="auto"/>
        <w:rPr>
          <w:sz w:val="20"/>
          <w:szCs w:val="20"/>
          <w:color w:val="auto"/>
        </w:rPr>
      </w:pPr>
      <w:r>
        <w:rPr>
          <w:rFonts w:ascii="Times New Roman" w:cs="Times New Roman" w:eastAsia="Times New Roman" w:hAnsi="Times New Roman"/>
          <w:sz w:val="19"/>
          <w:szCs w:val="19"/>
          <w:color w:val="auto"/>
        </w:rPr>
        <w:t>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51" w:lineRule="exact"/>
        <w:rPr>
          <w:sz w:val="20"/>
          <w:szCs w:val="20"/>
          <w:color w:val="auto"/>
        </w:rPr>
      </w:pPr>
    </w:p>
    <w:p>
      <w:pPr>
        <w:jc w:val="both"/>
        <w:ind w:left="740" w:firstLine="756"/>
        <w:spacing w:after="0" w:line="248" w:lineRule="auto"/>
        <w:tabs>
          <w:tab w:leader="none" w:pos="2031"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Adjustment By Company</w:t>
      </w:r>
      <w:r>
        <w:rPr>
          <w:rFonts w:ascii="Times New Roman" w:cs="Times New Roman" w:eastAsia="Times New Roman" w:hAnsi="Times New Roman"/>
          <w:sz w:val="19"/>
          <w:szCs w:val="19"/>
          <w:color w:val="auto"/>
        </w:rPr>
        <w:t>. Subject to the rules and regulations of the Trading Market, the Company may at any time during the term of this Warrant reduce the then current Exercise Price to any amount and for any period of time deemed appropriate by the Board of Directors.</w:t>
      </w:r>
    </w:p>
    <w:p>
      <w:pPr>
        <w:spacing w:after="0" w:line="151"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left="740" w:firstLine="756"/>
        <w:spacing w:after="0" w:line="236" w:lineRule="auto"/>
        <w:tabs>
          <w:tab w:leader="none" w:pos="2031"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Transferability</w:t>
      </w:r>
      <w:r>
        <w:rPr>
          <w:rFonts w:ascii="Times New Roman" w:cs="Times New Roman" w:eastAsia="Times New Roman" w:hAnsi="Times New Roman"/>
          <w:sz w:val="19"/>
          <w:szCs w:val="19"/>
          <w:color w:val="auto"/>
        </w:rPr>
        <w:t>. Subject to compliance with any applicable securities laws and the conditions set forth in Section 4(d)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65" w:lineRule="exact"/>
        <w:rPr>
          <w:rFonts w:ascii="Times New Roman" w:cs="Times New Roman" w:eastAsia="Times New Roman" w:hAnsi="Times New Roman"/>
          <w:sz w:val="19"/>
          <w:szCs w:val="19"/>
          <w:color w:val="auto"/>
        </w:rPr>
      </w:pPr>
    </w:p>
    <w:p>
      <w:pPr>
        <w:jc w:val="both"/>
        <w:ind w:left="740" w:firstLine="756"/>
        <w:spacing w:after="0" w:line="239" w:lineRule="auto"/>
        <w:tabs>
          <w:tab w:leader="none" w:pos="2031"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New Warrants</w:t>
      </w:r>
      <w:r>
        <w:rPr>
          <w:rFonts w:ascii="Times New Roman" w:cs="Times New Roman" w:eastAsia="Times New Roman" w:hAnsi="Times New Roman"/>
          <w:sz w:val="19"/>
          <w:szCs w:val="19"/>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61" w:lineRule="exact"/>
        <w:rPr>
          <w:rFonts w:ascii="Times New Roman" w:cs="Times New Roman" w:eastAsia="Times New Roman" w:hAnsi="Times New Roman"/>
          <w:sz w:val="19"/>
          <w:szCs w:val="19"/>
          <w:color w:val="auto"/>
        </w:rPr>
      </w:pPr>
    </w:p>
    <w:p>
      <w:pPr>
        <w:jc w:val="both"/>
        <w:ind w:left="740" w:right="20" w:firstLine="756"/>
        <w:spacing w:after="0" w:line="248" w:lineRule="auto"/>
        <w:tabs>
          <w:tab w:leader="none" w:pos="2031"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Warrant Register</w:t>
      </w:r>
      <w:r>
        <w:rPr>
          <w:rFonts w:ascii="Times New Roman" w:cs="Times New Roman" w:eastAsia="Times New Roman" w:hAnsi="Times New Roman"/>
          <w:sz w:val="19"/>
          <w:szCs w:val="19"/>
          <w:color w:val="auto"/>
        </w:rPr>
        <w:t>. The Company shall register this Warrant, upon records to be maintained by the Company for that purpose (the “</w:t>
      </w:r>
      <w:r>
        <w:rPr>
          <w:rFonts w:ascii="Times New Roman" w:cs="Times New Roman" w:eastAsia="Times New Roman" w:hAnsi="Times New Roman"/>
          <w:sz w:val="19"/>
          <w:szCs w:val="19"/>
          <w:u w:val="single" w:color="auto"/>
          <w:color w:val="auto"/>
        </w:rPr>
        <w:t>Warrant Register</w:t>
      </w:r>
      <w:r>
        <w:rPr>
          <w:rFonts w:ascii="Times New Roman" w:cs="Times New Roman" w:eastAsia="Times New Roman" w:hAnsi="Times New Roman"/>
          <w:sz w:val="19"/>
          <w:szCs w:val="19"/>
          <w:color w:val="auto"/>
        </w:rPr>
        <w:t>”), in the name of the record Holder hereof from time to time. The Company may deem and treat the registered Holder of this Warrant as the absolute owner hereof for the purpose of any</w:t>
      </w:r>
    </w:p>
    <w:p>
      <w:pPr>
        <w:spacing w:after="0" w:line="1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14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4896-3978-1302, v.6</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76096931.1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88" w:name="page89"/>
    <w:bookmarkEnd w:id="88"/>
    <w:p>
      <w:pPr>
        <w:ind w:left="740"/>
        <w:spacing w:after="0"/>
        <w:rPr>
          <w:sz w:val="20"/>
          <w:szCs w:val="20"/>
          <w:color w:val="auto"/>
        </w:rPr>
      </w:pPr>
      <w:r>
        <w:rPr>
          <w:rFonts w:ascii="Times New Roman" w:cs="Times New Roman" w:eastAsia="Times New Roman" w:hAnsi="Times New Roman"/>
          <w:sz w:val="19"/>
          <w:szCs w:val="19"/>
          <w:color w:val="auto"/>
        </w:rPr>
        <w:t>exercise hereof or any distribution to the Holder, and for all other purposes, absent actual notice to the contrary.</w:t>
      </w:r>
    </w:p>
    <w:p>
      <w:pPr>
        <w:spacing w:after="0" w:line="184" w:lineRule="exact"/>
        <w:rPr>
          <w:sz w:val="20"/>
          <w:szCs w:val="20"/>
          <w:color w:val="auto"/>
        </w:rPr>
      </w:pPr>
    </w:p>
    <w:p>
      <w:pPr>
        <w:jc w:val="both"/>
        <w:ind w:left="740" w:firstLine="756"/>
        <w:spacing w:after="0" w:line="237" w:lineRule="auto"/>
        <w:tabs>
          <w:tab w:leader="none" w:pos="2031"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 Restrictions</w:t>
      </w:r>
      <w:r>
        <w:rPr>
          <w:rFonts w:ascii="Times New Roman" w:cs="Times New Roman" w:eastAsia="Times New Roman" w:hAnsi="Times New Roman"/>
          <w:sz w:val="19"/>
          <w:szCs w:val="19"/>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provide written consent of such transfer. Notwithstanding anything to the contrary herein, in accordance with FINRA Rule 5110(e)(1), neither this Warrant nor any Warrant Share shall be sold, transferred, assigned, pledged or hypothecated, or be the subject of any hedging, short sale, derivative, put or call transaction that would effect the economic disposition of the securities, for a period of 180 days beginning on the date of commencement of sales in the Placement, except as otherwise permitted under FINRA Rule 5110(e)(2)</w:t>
      </w:r>
    </w:p>
    <w:p>
      <w:pPr>
        <w:spacing w:after="0" w:line="163" w:lineRule="exact"/>
        <w:rPr>
          <w:rFonts w:ascii="Times New Roman" w:cs="Times New Roman" w:eastAsia="Times New Roman" w:hAnsi="Times New Roman"/>
          <w:sz w:val="19"/>
          <w:szCs w:val="19"/>
          <w:color w:val="auto"/>
        </w:rPr>
      </w:pPr>
    </w:p>
    <w:p>
      <w:pPr>
        <w:jc w:val="both"/>
        <w:ind w:left="740" w:right="20" w:firstLine="756"/>
        <w:spacing w:after="0" w:line="243" w:lineRule="auto"/>
        <w:tabs>
          <w:tab w:leader="none" w:pos="2031"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 by the Holder</w:t>
      </w:r>
      <w:r>
        <w:rPr>
          <w:rFonts w:ascii="Times New Roman" w:cs="Times New Roman" w:eastAsia="Times New Roman" w:hAnsi="Times New Roman"/>
          <w:sz w:val="19"/>
          <w:szCs w:val="19"/>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56" w:lineRule="exact"/>
        <w:rPr>
          <w:sz w:val="20"/>
          <w:szCs w:val="20"/>
          <w:color w:val="auto"/>
        </w:rPr>
      </w:pPr>
    </w:p>
    <w:p>
      <w:pPr>
        <w:ind w:left="740"/>
        <w:spacing w:after="0"/>
        <w:tabs>
          <w:tab w:leader="none" w:pos="1860" w:val="left"/>
        </w:tabs>
        <w:rPr>
          <w:sz w:val="20"/>
          <w:szCs w:val="20"/>
          <w:color w:val="auto"/>
        </w:rPr>
      </w:pP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left="740" w:firstLine="756"/>
        <w:spacing w:after="0" w:line="237" w:lineRule="auto"/>
        <w:tabs>
          <w:tab w:leader="none" w:pos="2031"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Registration Rights</w:t>
      </w:r>
      <w:r>
        <w:rPr>
          <w:rFonts w:ascii="Times New Roman" w:cs="Times New Roman" w:eastAsia="Times New Roman" w:hAnsi="Times New Roman"/>
          <w:sz w:val="19"/>
          <w:szCs w:val="19"/>
          <w:color w:val="auto"/>
        </w:rPr>
        <w:t>. If, at any time following the issuance of this Warrant (or the issuance of the Warrant Shares upon exercise hereof), the Company proposes to file a registration statement under the Securities Act, (other than a registration statement on Form S-8 or any successor or similar form), with respect to an offering of its securities for its own account or for the account of any of its securityholders on a form and in a manner that would permit registration of the Warrant Shares, the Company shall give written notice thereof to the Holder at least 10 Trading Days prior to the anticipated filing date of such registration statement. Upon the written request of the Holder, which must be provided to the Company within 2 Trading Days of delivery of such notice, the Company shall cause all or such portion of the Warrant Shares (it being understood that (x) such inclusion shall be subject to customary underwriter cutback on a pro rata basis and (y) the registration rights set forth in this Section shall not apply to any registration statement on Form S-8 and shall not extend beyond, and shall otherwise comply with, the periods and limitations of FINRA Rule 5110(g)(8)) as the Holder may request, to be included in such registration statement and in any related prospectus, subject to the Holder delivering to the Company any reasonably requested documentation.</w:t>
      </w:r>
    </w:p>
    <w:p>
      <w:pPr>
        <w:spacing w:after="0" w:line="157" w:lineRule="exact"/>
        <w:rPr>
          <w:rFonts w:ascii="Times New Roman" w:cs="Times New Roman" w:eastAsia="Times New Roman" w:hAnsi="Times New Roman"/>
          <w:sz w:val="19"/>
          <w:szCs w:val="19"/>
          <w:color w:val="auto"/>
        </w:rPr>
      </w:pPr>
    </w:p>
    <w:p>
      <w:pPr>
        <w:ind w:left="740" w:right="20" w:firstLine="756"/>
        <w:spacing w:after="0" w:line="262" w:lineRule="auto"/>
        <w:tabs>
          <w:tab w:leader="none" w:pos="2031"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Rights as Stockholder Until Exercise; No Settlement in Cash</w:t>
      </w:r>
      <w:r>
        <w:rPr>
          <w:rFonts w:ascii="Times New Roman" w:cs="Times New Roman" w:eastAsia="Times New Roman" w:hAnsi="Times New Roman"/>
          <w:sz w:val="19"/>
          <w:szCs w:val="19"/>
          <w:color w:val="auto"/>
        </w:rPr>
        <w:t>. This Warrant does not entitle the Holder to any voting rights, dividends or other rights as a stockholder of the Company prior to the exercise hereof as set forth in Section 2(d)(i),</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15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4896-3978-1302, v.6</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76096931.1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89" w:name="page90"/>
    <w:bookmarkEnd w:id="89"/>
    <w:p>
      <w:pPr>
        <w:jc w:val="both"/>
        <w:ind w:left="740"/>
        <w:spacing w:after="0" w:line="248" w:lineRule="auto"/>
        <w:rPr>
          <w:sz w:val="20"/>
          <w:szCs w:val="20"/>
          <w:color w:val="auto"/>
        </w:rPr>
      </w:pPr>
      <w:r>
        <w:rPr>
          <w:rFonts w:ascii="Times New Roman" w:cs="Times New Roman" w:eastAsia="Times New Roman" w:hAnsi="Times New Roman"/>
          <w:sz w:val="19"/>
          <w:szCs w:val="19"/>
          <w:color w:val="auto"/>
        </w:rPr>
        <w:t>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51" w:lineRule="exact"/>
        <w:rPr>
          <w:sz w:val="20"/>
          <w:szCs w:val="20"/>
          <w:color w:val="auto"/>
        </w:rPr>
      </w:pPr>
    </w:p>
    <w:p>
      <w:pPr>
        <w:jc w:val="both"/>
        <w:ind w:left="740" w:firstLine="756"/>
        <w:spacing w:after="0" w:line="239" w:lineRule="auto"/>
        <w:tabs>
          <w:tab w:leader="none" w:pos="2031"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Loss, Theft, Destruction or Mutilation of Warrant</w:t>
      </w:r>
      <w:r>
        <w:rPr>
          <w:rFonts w:ascii="Times New Roman" w:cs="Times New Roman" w:eastAsia="Times New Roman" w:hAnsi="Times New Roman"/>
          <w:sz w:val="19"/>
          <w:szCs w:val="19"/>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61" w:lineRule="exact"/>
        <w:rPr>
          <w:rFonts w:ascii="Times New Roman" w:cs="Times New Roman" w:eastAsia="Times New Roman" w:hAnsi="Times New Roman"/>
          <w:sz w:val="19"/>
          <w:szCs w:val="19"/>
          <w:color w:val="auto"/>
        </w:rPr>
      </w:pPr>
    </w:p>
    <w:p>
      <w:pPr>
        <w:jc w:val="both"/>
        <w:ind w:left="740" w:firstLine="756"/>
        <w:spacing w:after="0" w:line="248" w:lineRule="auto"/>
        <w:tabs>
          <w:tab w:leader="none" w:pos="2031"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Saturdays, Sundays, Holidays, etc</w:t>
      </w:r>
      <w:r>
        <w:rPr>
          <w:rFonts w:ascii="Times New Roman" w:cs="Times New Roman" w:eastAsia="Times New Roman" w:hAnsi="Times New Roman"/>
          <w:sz w:val="19"/>
          <w:szCs w:val="19"/>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50" w:lineRule="exact"/>
        <w:rPr>
          <w:rFonts w:ascii="Times New Roman" w:cs="Times New Roman" w:eastAsia="Times New Roman" w:hAnsi="Times New Roman"/>
          <w:sz w:val="19"/>
          <w:szCs w:val="19"/>
          <w:color w:val="auto"/>
        </w:rPr>
      </w:pPr>
    </w:p>
    <w:p>
      <w:pPr>
        <w:ind w:left="2040" w:hanging="544"/>
        <w:spacing w:after="0"/>
        <w:tabs>
          <w:tab w:leader="none" w:pos="204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Authorized Shares</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left="1500" w:firstLine="1501"/>
        <w:spacing w:after="0" w:line="237" w:lineRule="auto"/>
        <w:rPr>
          <w:sz w:val="20"/>
          <w:szCs w:val="20"/>
          <w:color w:val="auto"/>
        </w:rPr>
      </w:pPr>
      <w:r>
        <w:rPr>
          <w:rFonts w:ascii="Times New Roman" w:cs="Times New Roman" w:eastAsia="Times New Roman" w:hAnsi="Times New Roman"/>
          <w:sz w:val="19"/>
          <w:szCs w:val="19"/>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58" w:lineRule="exact"/>
        <w:rPr>
          <w:sz w:val="20"/>
          <w:szCs w:val="20"/>
          <w:color w:val="auto"/>
        </w:rPr>
      </w:pPr>
    </w:p>
    <w:p>
      <w:pPr>
        <w:jc w:val="both"/>
        <w:ind w:left="1500" w:right="20" w:firstLine="750"/>
        <w:spacing w:after="0" w:line="241" w:lineRule="auto"/>
        <w:rPr>
          <w:sz w:val="20"/>
          <w:szCs w:val="20"/>
          <w:color w:val="auto"/>
        </w:rPr>
      </w:pPr>
      <w:r>
        <w:rPr>
          <w:rFonts w:ascii="Times New Roman" w:cs="Times New Roman" w:eastAsia="Times New Roman" w:hAnsi="Times New Roman"/>
          <w:sz w:val="19"/>
          <w:szCs w:val="19"/>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16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4896-3978-1302, v.6</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76096931.1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90" w:name="page91"/>
    <w:bookmarkEnd w:id="90"/>
    <w:p>
      <w:pPr>
        <w:jc w:val="both"/>
        <w:ind w:left="1500"/>
        <w:spacing w:after="0" w:line="239" w:lineRule="auto"/>
        <w:rPr>
          <w:sz w:val="20"/>
          <w:szCs w:val="20"/>
          <w:color w:val="auto"/>
        </w:rPr>
      </w:pPr>
      <w:r>
        <w:rPr>
          <w:rFonts w:ascii="Times New Roman" w:cs="Times New Roman" w:eastAsia="Times New Roman" w:hAnsi="Times New Roman"/>
          <w:sz w:val="19"/>
          <w:szCs w:val="19"/>
          <w:color w:val="auto"/>
        </w:rPr>
        <w:t>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61" w:lineRule="exact"/>
        <w:rPr>
          <w:sz w:val="20"/>
          <w:szCs w:val="20"/>
          <w:color w:val="auto"/>
        </w:rPr>
      </w:pPr>
    </w:p>
    <w:p>
      <w:pPr>
        <w:jc w:val="both"/>
        <w:ind w:left="1500" w:right="20" w:firstLine="750"/>
        <w:spacing w:after="0" w:line="248" w:lineRule="auto"/>
        <w:rPr>
          <w:sz w:val="20"/>
          <w:szCs w:val="20"/>
          <w:color w:val="auto"/>
        </w:rPr>
      </w:pPr>
      <w:r>
        <w:rPr>
          <w:rFonts w:ascii="Times New Roman" w:cs="Times New Roman" w:eastAsia="Times New Roman" w:hAnsi="Times New Roman"/>
          <w:sz w:val="19"/>
          <w:szCs w:val="19"/>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51" w:lineRule="exact"/>
        <w:rPr>
          <w:sz w:val="20"/>
          <w:szCs w:val="20"/>
          <w:color w:val="auto"/>
        </w:rPr>
      </w:pPr>
    </w:p>
    <w:p>
      <w:pPr>
        <w:jc w:val="both"/>
        <w:ind w:left="740" w:firstLine="756"/>
        <w:spacing w:after="0" w:line="236" w:lineRule="auto"/>
        <w:tabs>
          <w:tab w:leader="none" w:pos="2031"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County of New York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57" w:lineRule="exact"/>
        <w:rPr>
          <w:rFonts w:ascii="Times New Roman" w:cs="Times New Roman" w:eastAsia="Times New Roman" w:hAnsi="Times New Roman"/>
          <w:sz w:val="19"/>
          <w:szCs w:val="19"/>
          <w:color w:val="auto"/>
        </w:rPr>
      </w:pPr>
    </w:p>
    <w:p>
      <w:pPr>
        <w:jc w:val="both"/>
        <w:ind w:left="740" w:right="20" w:firstLine="756"/>
        <w:spacing w:after="0" w:line="248" w:lineRule="auto"/>
        <w:tabs>
          <w:tab w:leader="none" w:pos="2031"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Restrictions</w:t>
      </w:r>
      <w:r>
        <w:rPr>
          <w:rFonts w:ascii="Times New Roman" w:cs="Times New Roman" w:eastAsia="Times New Roman" w:hAnsi="Times New Roman"/>
          <w:sz w:val="19"/>
          <w:szCs w:val="19"/>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17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4896-3978-1302, v.6</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76096931.1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91" w:name="page92"/>
    <w:bookmarkEnd w:id="91"/>
    <w:p>
      <w:pPr>
        <w:jc w:val="both"/>
        <w:ind w:left="740" w:firstLine="756"/>
        <w:spacing w:after="0" w:line="239" w:lineRule="auto"/>
        <w:tabs>
          <w:tab w:leader="none" w:pos="2031"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Nonwaiver and Expenses</w:t>
      </w:r>
      <w:r>
        <w:rPr>
          <w:rFonts w:ascii="Times New Roman" w:cs="Times New Roman" w:eastAsia="Times New Roman" w:hAnsi="Times New Roman"/>
          <w:sz w:val="19"/>
          <w:szCs w:val="19"/>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61" w:lineRule="exact"/>
        <w:rPr>
          <w:rFonts w:ascii="Times New Roman" w:cs="Times New Roman" w:eastAsia="Times New Roman" w:hAnsi="Times New Roman"/>
          <w:sz w:val="19"/>
          <w:szCs w:val="19"/>
          <w:color w:val="auto"/>
        </w:rPr>
      </w:pPr>
    </w:p>
    <w:p>
      <w:pPr>
        <w:jc w:val="both"/>
        <w:ind w:left="740" w:firstLine="756"/>
        <w:spacing w:after="0" w:line="236" w:lineRule="auto"/>
        <w:tabs>
          <w:tab w:leader="none" w:pos="2031"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Any and all notices or other communications or deliveries to be provided by the Holders hereunder including, without limitation, any Notice of Exercise, shall be in writing and delivered personally, by e-mail Attention: Mark Rosenblum, Chief Financial Officer, email address: mrosenblum@decoytx.com with a copy to Annie Yan, Controller, email address: ayan@decoytx.com,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161" w:lineRule="exact"/>
        <w:rPr>
          <w:rFonts w:ascii="Times New Roman" w:cs="Times New Roman" w:eastAsia="Times New Roman" w:hAnsi="Times New Roman"/>
          <w:sz w:val="19"/>
          <w:szCs w:val="19"/>
          <w:color w:val="auto"/>
        </w:rPr>
      </w:pPr>
    </w:p>
    <w:p>
      <w:pPr>
        <w:jc w:val="both"/>
        <w:ind w:left="740" w:firstLine="756"/>
        <w:spacing w:after="0" w:line="243" w:lineRule="auto"/>
        <w:tabs>
          <w:tab w:leader="none" w:pos="2031"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Limitation of Liability</w:t>
      </w:r>
      <w:r>
        <w:rPr>
          <w:rFonts w:ascii="Times New Roman" w:cs="Times New Roman" w:eastAsia="Times New Roman" w:hAnsi="Times New Roman"/>
          <w:sz w:val="19"/>
          <w:szCs w:val="19"/>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55" w:lineRule="exact"/>
        <w:rPr>
          <w:rFonts w:ascii="Times New Roman" w:cs="Times New Roman" w:eastAsia="Times New Roman" w:hAnsi="Times New Roman"/>
          <w:sz w:val="19"/>
          <w:szCs w:val="19"/>
          <w:color w:val="auto"/>
        </w:rPr>
      </w:pPr>
    </w:p>
    <w:p>
      <w:pPr>
        <w:jc w:val="both"/>
        <w:ind w:left="740" w:firstLine="756"/>
        <w:spacing w:after="0" w:line="243" w:lineRule="auto"/>
        <w:tabs>
          <w:tab w:leader="none" w:pos="2031"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Remedies</w:t>
      </w:r>
      <w:r>
        <w:rPr>
          <w:rFonts w:ascii="Times New Roman" w:cs="Times New Roman" w:eastAsia="Times New Roman" w:hAnsi="Times New Roman"/>
          <w:sz w:val="19"/>
          <w:szCs w:val="19"/>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18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4896-3978-1302, v.6</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76096931.1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92" w:name="page93"/>
    <w:bookmarkEnd w:id="92"/>
    <w:p>
      <w:pPr>
        <w:jc w:val="both"/>
        <w:ind w:left="740" w:firstLine="756"/>
        <w:spacing w:after="0" w:line="243" w:lineRule="auto"/>
        <w:tabs>
          <w:tab w:leader="none" w:pos="2031"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55" w:lineRule="exact"/>
        <w:rPr>
          <w:rFonts w:ascii="Times New Roman" w:cs="Times New Roman" w:eastAsia="Times New Roman" w:hAnsi="Times New Roman"/>
          <w:sz w:val="19"/>
          <w:szCs w:val="19"/>
          <w:color w:val="auto"/>
        </w:rPr>
      </w:pPr>
    </w:p>
    <w:p>
      <w:pPr>
        <w:jc w:val="both"/>
        <w:ind w:left="740" w:firstLine="756"/>
        <w:spacing w:after="0" w:line="262" w:lineRule="auto"/>
        <w:tabs>
          <w:tab w:leader="none" w:pos="2031"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Other than Section 2(e) and this Section 5(m), which may not be amended, this Warrant may be modified or amended or the provisions hereof waived with the written consent of the Company, on the one hand, and the Holder, on the other hand.</w:t>
      </w:r>
    </w:p>
    <w:p>
      <w:pPr>
        <w:spacing w:after="0" w:line="137" w:lineRule="exact"/>
        <w:rPr>
          <w:rFonts w:ascii="Times New Roman" w:cs="Times New Roman" w:eastAsia="Times New Roman" w:hAnsi="Times New Roman"/>
          <w:sz w:val="19"/>
          <w:szCs w:val="19"/>
          <w:color w:val="auto"/>
        </w:rPr>
      </w:pPr>
    </w:p>
    <w:p>
      <w:pPr>
        <w:jc w:val="both"/>
        <w:ind w:left="740" w:firstLine="756"/>
        <w:spacing w:after="0" w:line="243" w:lineRule="auto"/>
        <w:tabs>
          <w:tab w:leader="none" w:pos="2031"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55" w:lineRule="exact"/>
        <w:rPr>
          <w:rFonts w:ascii="Times New Roman" w:cs="Times New Roman" w:eastAsia="Times New Roman" w:hAnsi="Times New Roman"/>
          <w:sz w:val="19"/>
          <w:szCs w:val="19"/>
          <w:color w:val="auto"/>
        </w:rPr>
      </w:pPr>
    </w:p>
    <w:p>
      <w:pPr>
        <w:ind w:left="740" w:firstLine="756"/>
        <w:spacing w:after="0" w:line="262" w:lineRule="auto"/>
        <w:tabs>
          <w:tab w:leader="none" w:pos="2031"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The headings used in this Warrant are for the convenience of reference only and shall not, for any purpose, be deemed a part of this Warrant.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(Signature Page Follows)</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19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4896-3978-1302, v.6</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76096931.1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2" w:right="339" w:bottom="1440" w:gutter="0" w:footer="0" w:header="0"/>
        </w:sectPr>
      </w:pPr>
    </w:p>
    <w:bookmarkStart w:id="93" w:name="page94"/>
    <w:bookmarkEnd w:id="93"/>
    <w:p>
      <w:pPr>
        <w:spacing w:after="0" w:line="25" w:lineRule="exact"/>
        <w:rPr>
          <w:sz w:val="20"/>
          <w:szCs w:val="20"/>
          <w:color w:val="auto"/>
        </w:rPr>
      </w:pPr>
    </w:p>
    <w:p>
      <w:pPr>
        <w:ind w:firstLine="1501"/>
        <w:spacing w:after="0" w:line="262" w:lineRule="auto"/>
        <w:rPr>
          <w:sz w:val="20"/>
          <w:szCs w:val="20"/>
          <w:color w:val="auto"/>
        </w:rPr>
      </w:pPr>
      <w:r>
        <w:rPr>
          <w:rFonts w:ascii="Times New Roman" w:cs="Times New Roman" w:eastAsia="Times New Roman" w:hAnsi="Times New Roman"/>
          <w:sz w:val="19"/>
          <w:szCs w:val="19"/>
          <w:color w:val="auto"/>
        </w:rPr>
        <w:t>IN WITNESS WHEREOF, the Company has caused this Warrant to be executed by its officer thereunto duly authorized as of the date first above indicated.</w:t>
      </w:r>
    </w:p>
    <w:p>
      <w:pPr>
        <w:spacing w:after="0" w:line="200" w:lineRule="exact"/>
        <w:rPr>
          <w:sz w:val="20"/>
          <w:szCs w:val="20"/>
          <w:color w:val="auto"/>
        </w:rPr>
      </w:pPr>
    </w:p>
    <w:p>
      <w:pPr>
        <w:spacing w:after="0" w:line="3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DECOY THERAPEUTICS INC.</w:t>
      </w:r>
    </w:p>
    <w:p>
      <w:pPr>
        <w:spacing w:after="0" w:line="200" w:lineRule="exact"/>
        <w:rPr>
          <w:sz w:val="20"/>
          <w:szCs w:val="20"/>
          <w:color w:val="auto"/>
        </w:rPr>
      </w:pPr>
    </w:p>
    <w:p>
      <w:pPr>
        <w:spacing w:after="0" w:line="22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By:__________________________________________</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Name:</w:t>
      </w:r>
    </w:p>
    <w:p>
      <w:pPr>
        <w:ind w:left="32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20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4896-3978-1302, v.6</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76096931.1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9"/>
          <w:szCs w:val="19"/>
          <w:b w:val="1"/>
          <w:bCs w:val="1"/>
          <w:color w:val="auto"/>
        </w:rPr>
        <w:t>NOTICE OF EXERCISE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DECOY THERAPEUTICS INC.</w:t>
      </w:r>
    </w:p>
    <w:p>
      <w:pPr>
        <w:spacing w:after="0" w:line="207" w:lineRule="exact"/>
        <w:rPr>
          <w:sz w:val="20"/>
          <w:szCs w:val="20"/>
          <w:color w:val="auto"/>
        </w:rPr>
      </w:pPr>
    </w:p>
    <w:p>
      <w:pPr>
        <w:jc w:val="both"/>
        <w:ind w:right="20" w:firstLine="1496"/>
        <w:spacing w:after="0" w:line="248" w:lineRule="auto"/>
        <w:tabs>
          <w:tab w:leader="none" w:pos="2041"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50" w:lineRule="exact"/>
        <w:rPr>
          <w:rFonts w:ascii="Times New Roman" w:cs="Times New Roman" w:eastAsia="Times New Roman" w:hAnsi="Times New Roman"/>
          <w:sz w:val="19"/>
          <w:szCs w:val="19"/>
          <w:color w:val="auto"/>
        </w:rPr>
      </w:pPr>
    </w:p>
    <w:p>
      <w:pPr>
        <w:ind w:left="2040" w:hanging="544"/>
        <w:spacing w:after="0"/>
        <w:tabs>
          <w:tab w:leader="none" w:pos="2040"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 shall take the form of (check applicable box):</w:t>
      </w:r>
    </w:p>
    <w:p>
      <w:pPr>
        <w:spacing w:after="0" w:line="18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9"/>
          <w:szCs w:val="19"/>
          <w:color w:val="auto"/>
        </w:rPr>
        <w:t>[ ] in lawful money of the United States; or</w:t>
      </w:r>
    </w:p>
    <w:p>
      <w:pPr>
        <w:spacing w:after="0" w:line="184" w:lineRule="exact"/>
        <w:rPr>
          <w:sz w:val="20"/>
          <w:szCs w:val="20"/>
          <w:color w:val="auto"/>
        </w:rPr>
      </w:pPr>
    </w:p>
    <w:p>
      <w:pPr>
        <w:jc w:val="both"/>
        <w:ind w:left="2240" w:firstLine="6"/>
        <w:spacing w:after="0" w:line="248" w:lineRule="auto"/>
        <w:tabs>
          <w:tab w:leader="none" w:pos="2357"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50" w:lineRule="exact"/>
        <w:rPr>
          <w:rFonts w:ascii="Times New Roman" w:cs="Times New Roman" w:eastAsia="Times New Roman" w:hAnsi="Times New Roman"/>
          <w:sz w:val="19"/>
          <w:szCs w:val="19"/>
          <w:color w:val="auto"/>
        </w:rPr>
      </w:pPr>
    </w:p>
    <w:p>
      <w:pPr>
        <w:ind w:left="2040" w:hanging="544"/>
        <w:spacing w:after="0"/>
        <w:tabs>
          <w:tab w:leader="none" w:pos="2040"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Please issue said Warrant Shares in the name of the undersigned or in such other name as is specified below:</w:t>
      </w:r>
    </w:p>
    <w:p>
      <w:pPr>
        <w:spacing w:after="0" w:line="183" w:lineRule="exact"/>
        <w:rPr>
          <w:rFonts w:ascii="Times New Roman" w:cs="Times New Roman" w:eastAsia="Times New Roman" w:hAnsi="Times New Roman"/>
          <w:sz w:val="19"/>
          <w:szCs w:val="19"/>
          <w:color w:val="auto"/>
        </w:rPr>
      </w:pPr>
    </w:p>
    <w:p>
      <w:pPr>
        <w:ind w:left="11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_______________________________</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Warrant Shares shall be delivered to the following DWAC Account Number:</w:t>
      </w:r>
    </w:p>
    <w:p>
      <w:pPr>
        <w:spacing w:after="0" w:line="20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_______________________________</w:t>
      </w:r>
    </w:p>
    <w:p>
      <w:pPr>
        <w:spacing w:after="0" w:line="20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_______________________________</w:t>
      </w:r>
    </w:p>
    <w:p>
      <w:pPr>
        <w:spacing w:after="0" w:line="20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_______________________________</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[SIGNATURE OF HOLDER]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of Investing Entity: 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Signature of Authorized Signatory of Investing Entity</w:t>
      </w:r>
      <w:r>
        <w:rPr>
          <w:rFonts w:ascii="Times New Roman" w:cs="Times New Roman" w:eastAsia="Times New Roman" w:hAnsi="Times New Roman"/>
          <w:sz w:val="19"/>
          <w:szCs w:val="19"/>
          <w:color w:val="auto"/>
        </w:rPr>
        <w:t>: _________________________________________________</w:t>
      </w:r>
    </w:p>
    <w:p>
      <w:pPr>
        <w:spacing w:after="0" w:line="233" w:lineRule="auto"/>
        <w:rPr>
          <w:sz w:val="20"/>
          <w:szCs w:val="20"/>
          <w:color w:val="auto"/>
        </w:rPr>
      </w:pPr>
      <w:r>
        <w:rPr>
          <w:rFonts w:ascii="Times New Roman" w:cs="Times New Roman" w:eastAsia="Times New Roman" w:hAnsi="Times New Roman"/>
          <w:sz w:val="19"/>
          <w:szCs w:val="19"/>
          <w:color w:val="auto"/>
        </w:rPr>
        <w:t>Name of Authorized Signatory: ___________________________________________________________________</w:t>
      </w:r>
    </w:p>
    <w:p>
      <w:pPr>
        <w:spacing w:after="0" w:line="234" w:lineRule="auto"/>
        <w:rPr>
          <w:sz w:val="20"/>
          <w:szCs w:val="20"/>
          <w:color w:val="auto"/>
        </w:rPr>
      </w:pPr>
      <w:r>
        <w:rPr>
          <w:rFonts w:ascii="Times New Roman" w:cs="Times New Roman" w:eastAsia="Times New Roman" w:hAnsi="Times New Roman"/>
          <w:sz w:val="19"/>
          <w:szCs w:val="19"/>
          <w:color w:val="auto"/>
        </w:rPr>
        <w:t>Title of Authorized Signatory: ____________________________________________________________________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________________________________________________________________________________________</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76047733.2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4896-3978-1302, v.6</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76096931.1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508635</wp:posOffset>
            </wp:positionV>
            <wp:extent cx="7174865"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06" w:right="319" w:bottom="1440" w:gutter="0" w:footer="0" w:header="0"/>
        </w:sectPr>
      </w:pPr>
    </w:p>
    <w:bookmarkStart w:id="95" w:name="page96"/>
    <w:bookmarkEnd w:id="95"/>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76047733.2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4896-3978-1302, v.6</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76096931.1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508635</wp:posOffset>
            </wp:positionV>
            <wp:extent cx="7174865"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96" w:name="page97"/>
    <w:bookmarkEnd w:id="96"/>
    <w:p>
      <w:pPr>
        <w:ind w:left="4680"/>
        <w:spacing w:after="0"/>
        <w:rPr>
          <w:sz w:val="20"/>
          <w:szCs w:val="20"/>
          <w:color w:val="auto"/>
        </w:rPr>
      </w:pPr>
      <w:r>
        <w:rPr>
          <w:rFonts w:ascii="Times New Roman" w:cs="Times New Roman" w:eastAsia="Times New Roman" w:hAnsi="Times New Roman"/>
          <w:sz w:val="19"/>
          <w:szCs w:val="19"/>
          <w:b w:val="1"/>
          <w:bCs w:val="1"/>
          <w:color w:val="auto"/>
        </w:rPr>
        <w:t>ASSIGNMENT FORM</w:t>
      </w:r>
    </w:p>
    <w:p>
      <w:pPr>
        <w:spacing w:after="0" w:line="207" w:lineRule="exact"/>
        <w:rPr>
          <w:sz w:val="20"/>
          <w:szCs w:val="20"/>
          <w:color w:val="auto"/>
        </w:rPr>
      </w:pPr>
    </w:p>
    <w:p>
      <w:pPr>
        <w:ind w:left="220" w:right="199"/>
        <w:spacing w:after="0" w:line="339" w:lineRule="auto"/>
        <w:rPr>
          <w:sz w:val="20"/>
          <w:szCs w:val="20"/>
          <w:color w:val="auto"/>
        </w:rPr>
      </w:pPr>
      <w:r>
        <w:rPr>
          <w:rFonts w:ascii="Times New Roman" w:cs="Times New Roman" w:eastAsia="Times New Roman" w:hAnsi="Times New Roman"/>
          <w:sz w:val="19"/>
          <w:szCs w:val="19"/>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9"/>
          <w:szCs w:val="19"/>
          <w:color w:val="auto"/>
        </w:rPr>
        <w:t>FOR VALUE RECEIVED, the foregoing Warrant and all rights evidenced thereby are hereby assigned to</w:t>
      </w:r>
    </w:p>
    <w:p>
      <w:pPr>
        <w:spacing w:after="0" w:line="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Name:</w:t>
      </w:r>
    </w:p>
    <w:p>
      <w:pPr>
        <w:spacing w:after="0" w:line="14" w:lineRule="exact"/>
        <w:rPr>
          <w:sz w:val="20"/>
          <w:szCs w:val="20"/>
          <w:color w:val="auto"/>
        </w:rPr>
      </w:pPr>
    </w:p>
    <w:tbl>
      <w:tblPr>
        <w:tblLayout w:type="fixed"/>
        <w:tblInd w:w="80" w:type="dxa"/>
        <w:tblCellMar>
          <w:top w:w="0" w:type="dxa"/>
          <w:left w:w="0" w:type="dxa"/>
          <w:bottom w:w="0" w:type="dxa"/>
          <w:right w:w="0" w:type="dxa"/>
        </w:tblCellMar>
      </w:tblPr>
      <w:tr>
        <w:trPr>
          <w:trHeight w:val="245"/>
        </w:trPr>
        <w:tc>
          <w:tcPr>
            <w:tcW w:w="4000" w:type="dxa"/>
            <w:vAlign w:val="bottom"/>
          </w:tcPr>
          <w:p>
            <w:pPr>
              <w:spacing w:after="0"/>
              <w:rPr>
                <w:sz w:val="21"/>
                <w:szCs w:val="21"/>
                <w:color w:val="auto"/>
              </w:rPr>
            </w:pPr>
          </w:p>
        </w:tc>
        <w:tc>
          <w:tcPr>
            <w:tcW w:w="4720" w:type="dxa"/>
            <w:vAlign w:val="bottom"/>
          </w:tcPr>
          <w:p>
            <w:pPr>
              <w:ind w:left="1120"/>
              <w:spacing w:after="0"/>
              <w:rPr>
                <w:sz w:val="20"/>
                <w:szCs w:val="20"/>
                <w:color w:val="auto"/>
              </w:rPr>
            </w:pPr>
            <w:r>
              <w:rPr>
                <w:rFonts w:ascii="Times New Roman" w:cs="Times New Roman" w:eastAsia="Times New Roman" w:hAnsi="Times New Roman"/>
                <w:sz w:val="19"/>
                <w:szCs w:val="19"/>
                <w:color w:val="auto"/>
              </w:rPr>
              <w:t>(Please Print)</w:t>
            </w:r>
          </w:p>
        </w:tc>
        <w:tc>
          <w:tcPr>
            <w:tcW w:w="0" w:type="dxa"/>
            <w:vAlign w:val="bottom"/>
          </w:tcPr>
          <w:p>
            <w:pPr>
              <w:spacing w:after="0"/>
              <w:rPr>
                <w:sz w:val="1"/>
                <w:szCs w:val="1"/>
                <w:color w:val="auto"/>
              </w:rPr>
            </w:pPr>
          </w:p>
        </w:tc>
      </w:tr>
      <w:tr>
        <w:trPr>
          <w:trHeight w:val="382"/>
        </w:trPr>
        <w:tc>
          <w:tcPr>
            <w:tcW w:w="4000" w:type="dxa"/>
            <w:vAlign w:val="bottom"/>
          </w:tcPr>
          <w:p>
            <w:pPr>
              <w:spacing w:after="0"/>
              <w:rPr>
                <w:sz w:val="20"/>
                <w:szCs w:val="20"/>
                <w:color w:val="auto"/>
              </w:rPr>
            </w:pPr>
            <w:r>
              <w:rPr>
                <w:rFonts w:ascii="Times New Roman" w:cs="Times New Roman" w:eastAsia="Times New Roman" w:hAnsi="Times New Roman"/>
                <w:sz w:val="19"/>
                <w:szCs w:val="19"/>
                <w:color w:val="auto"/>
              </w:rPr>
              <w:t>Address:</w:t>
            </w:r>
          </w:p>
        </w:tc>
        <w:tc>
          <w:tcPr>
            <w:tcW w:w="4720" w:type="dxa"/>
            <w:vAlign w:val="bottom"/>
            <w:vMerge w:val="restart"/>
          </w:tcPr>
          <w:p>
            <w:pPr>
              <w:ind w:left="1120"/>
              <w:spacing w:after="0"/>
              <w:rPr>
                <w:sz w:val="20"/>
                <w:szCs w:val="20"/>
                <w:color w:val="auto"/>
              </w:rPr>
            </w:pPr>
            <w:r>
              <w:rPr>
                <w:rFonts w:ascii="Times New Roman" w:cs="Times New Roman" w:eastAsia="Times New Roman" w:hAnsi="Times New Roman"/>
                <w:sz w:val="19"/>
                <w:szCs w:val="19"/>
                <w:color w:val="auto"/>
              </w:rPr>
              <w:t>(Please Print)</w:t>
            </w:r>
          </w:p>
        </w:tc>
        <w:tc>
          <w:tcPr>
            <w:tcW w:w="0" w:type="dxa"/>
            <w:vAlign w:val="bottom"/>
          </w:tcPr>
          <w:p>
            <w:pPr>
              <w:spacing w:after="0"/>
              <w:rPr>
                <w:sz w:val="1"/>
                <w:szCs w:val="1"/>
                <w:color w:val="auto"/>
              </w:rPr>
            </w:pPr>
          </w:p>
        </w:tc>
      </w:tr>
      <w:tr>
        <w:trPr>
          <w:trHeight w:val="213"/>
        </w:trPr>
        <w:tc>
          <w:tcPr>
            <w:tcW w:w="4000" w:type="dxa"/>
            <w:vAlign w:val="bottom"/>
          </w:tcPr>
          <w:p>
            <w:pPr>
              <w:spacing w:after="0"/>
              <w:rPr>
                <w:sz w:val="18"/>
                <w:szCs w:val="18"/>
                <w:color w:val="auto"/>
              </w:rPr>
            </w:pPr>
          </w:p>
        </w:tc>
        <w:tc>
          <w:tcPr>
            <w:tcW w:w="4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00" w:type="dxa"/>
            <w:vAlign w:val="bottom"/>
          </w:tcPr>
          <w:p>
            <w:pPr>
              <w:spacing w:after="0"/>
              <w:rPr>
                <w:sz w:val="20"/>
                <w:szCs w:val="20"/>
                <w:color w:val="auto"/>
              </w:rPr>
            </w:pPr>
            <w:r>
              <w:rPr>
                <w:rFonts w:ascii="Times New Roman" w:cs="Times New Roman" w:eastAsia="Times New Roman" w:hAnsi="Times New Roman"/>
                <w:sz w:val="19"/>
                <w:szCs w:val="19"/>
                <w:color w:val="auto"/>
              </w:rPr>
              <w:t>Phone Number:</w:t>
            </w:r>
          </w:p>
        </w:tc>
        <w:tc>
          <w:tcPr>
            <w:tcW w:w="4720" w:type="dxa"/>
            <w:vAlign w:val="bottom"/>
          </w:tcPr>
          <w:p>
            <w:pPr>
              <w:ind w:left="1120"/>
              <w:spacing w:after="0"/>
              <w:rPr>
                <w:sz w:val="20"/>
                <w:szCs w:val="20"/>
                <w:color w:val="auto"/>
              </w:rPr>
            </w:pPr>
            <w:r>
              <w:rPr>
                <w:rFonts w:ascii="Times New Roman" w:cs="Times New Roman" w:eastAsia="Times New Roman" w:hAnsi="Times New Roman"/>
                <w:sz w:val="19"/>
                <w:szCs w:val="19"/>
                <w:color w:val="auto"/>
                <w:w w:val="99"/>
              </w:rPr>
              <w:t>______________________________________</w:t>
            </w:r>
          </w:p>
        </w:tc>
        <w:tc>
          <w:tcPr>
            <w:tcW w:w="0" w:type="dxa"/>
            <w:vAlign w:val="bottom"/>
          </w:tcPr>
          <w:p>
            <w:pPr>
              <w:spacing w:after="0"/>
              <w:rPr>
                <w:sz w:val="1"/>
                <w:szCs w:val="1"/>
                <w:color w:val="auto"/>
              </w:rPr>
            </w:pPr>
          </w:p>
        </w:tc>
      </w:tr>
      <w:tr>
        <w:trPr>
          <w:trHeight w:val="402"/>
        </w:trPr>
        <w:tc>
          <w:tcPr>
            <w:tcW w:w="4000" w:type="dxa"/>
            <w:vAlign w:val="bottom"/>
          </w:tcPr>
          <w:p>
            <w:pPr>
              <w:spacing w:after="0"/>
              <w:rPr>
                <w:sz w:val="20"/>
                <w:szCs w:val="20"/>
                <w:color w:val="auto"/>
              </w:rPr>
            </w:pPr>
            <w:r>
              <w:rPr>
                <w:rFonts w:ascii="Times New Roman" w:cs="Times New Roman" w:eastAsia="Times New Roman" w:hAnsi="Times New Roman"/>
                <w:sz w:val="19"/>
                <w:szCs w:val="19"/>
                <w:color w:val="auto"/>
              </w:rPr>
              <w:t>Email Address:</w:t>
            </w:r>
          </w:p>
        </w:tc>
        <w:tc>
          <w:tcPr>
            <w:tcW w:w="4720" w:type="dxa"/>
            <w:vAlign w:val="bottom"/>
          </w:tcPr>
          <w:p>
            <w:pPr>
              <w:ind w:left="1120"/>
              <w:spacing w:after="0"/>
              <w:rPr>
                <w:sz w:val="20"/>
                <w:szCs w:val="20"/>
                <w:color w:val="auto"/>
              </w:rPr>
            </w:pPr>
            <w:r>
              <w:rPr>
                <w:rFonts w:ascii="Times New Roman" w:cs="Times New Roman" w:eastAsia="Times New Roman" w:hAnsi="Times New Roman"/>
                <w:sz w:val="19"/>
                <w:szCs w:val="19"/>
                <w:color w:val="auto"/>
                <w:w w:val="99"/>
              </w:rPr>
              <w:t>______________________________________</w:t>
            </w:r>
          </w:p>
        </w:tc>
        <w:tc>
          <w:tcPr>
            <w:tcW w:w="0" w:type="dxa"/>
            <w:vAlign w:val="bottom"/>
          </w:tcPr>
          <w:p>
            <w:pPr>
              <w:spacing w:after="0"/>
              <w:rPr>
                <w:sz w:val="1"/>
                <w:szCs w:val="1"/>
                <w:color w:val="auto"/>
              </w:rPr>
            </w:pPr>
          </w:p>
        </w:tc>
      </w:tr>
      <w:tr>
        <w:trPr>
          <w:trHeight w:val="402"/>
        </w:trPr>
        <w:tc>
          <w:tcPr>
            <w:tcW w:w="4000" w:type="dxa"/>
            <w:vAlign w:val="bottom"/>
          </w:tcPr>
          <w:p>
            <w:pPr>
              <w:spacing w:after="0"/>
              <w:rPr>
                <w:sz w:val="20"/>
                <w:szCs w:val="20"/>
                <w:color w:val="auto"/>
              </w:rPr>
            </w:pPr>
            <w:r>
              <w:rPr>
                <w:rFonts w:ascii="Times New Roman" w:cs="Times New Roman" w:eastAsia="Times New Roman" w:hAnsi="Times New Roman"/>
                <w:sz w:val="19"/>
                <w:szCs w:val="19"/>
                <w:color w:val="auto"/>
              </w:rPr>
              <w:t>Dated: _______________ __, ______</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4000" w:type="dxa"/>
            <w:vAlign w:val="bottom"/>
          </w:tcPr>
          <w:p>
            <w:pPr>
              <w:spacing w:after="0"/>
              <w:rPr>
                <w:sz w:val="20"/>
                <w:szCs w:val="20"/>
                <w:color w:val="auto"/>
              </w:rPr>
            </w:pPr>
            <w:r>
              <w:rPr>
                <w:rFonts w:ascii="Times New Roman" w:cs="Times New Roman" w:eastAsia="Times New Roman" w:hAnsi="Times New Roman"/>
                <w:sz w:val="19"/>
                <w:szCs w:val="19"/>
                <w:color w:val="auto"/>
              </w:rPr>
              <w:t>Holder’s Signature:</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4000" w:type="dxa"/>
            <w:vAlign w:val="bottom"/>
          </w:tcPr>
          <w:p>
            <w:pPr>
              <w:spacing w:after="0"/>
              <w:rPr>
                <w:sz w:val="20"/>
                <w:szCs w:val="20"/>
                <w:color w:val="auto"/>
              </w:rPr>
            </w:pPr>
            <w:r>
              <w:rPr>
                <w:rFonts w:ascii="Times New Roman" w:cs="Times New Roman" w:eastAsia="Times New Roman" w:hAnsi="Times New Roman"/>
                <w:sz w:val="19"/>
                <w:szCs w:val="19"/>
                <w:color w:val="auto"/>
              </w:rPr>
              <w:t>Holder’s Address:</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76047733.2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4896-3978-1302, v.6</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76096931.1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508635</wp:posOffset>
            </wp:positionV>
            <wp:extent cx="7174865"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893" w:right="1440"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PURCHASE AGREEMENT</w:t>
      </w:r>
    </w:p>
    <w:p>
      <w:pPr>
        <w:spacing w:after="0" w:line="196" w:lineRule="exact"/>
        <w:rPr>
          <w:sz w:val="20"/>
          <w:szCs w:val="20"/>
          <w:color w:val="auto"/>
        </w:rPr>
      </w:pPr>
    </w:p>
    <w:p>
      <w:pPr>
        <w:jc w:val="both"/>
        <w:ind w:right="20" w:firstLine="751"/>
        <w:spacing w:after="0" w:line="276" w:lineRule="auto"/>
        <w:rPr>
          <w:sz w:val="20"/>
          <w:szCs w:val="20"/>
          <w:color w:val="auto"/>
        </w:rPr>
      </w:pPr>
      <w:r>
        <w:rPr>
          <w:rFonts w:ascii="Times New Roman" w:cs="Times New Roman" w:eastAsia="Times New Roman" w:hAnsi="Times New Roman"/>
          <w:sz w:val="16"/>
          <w:szCs w:val="16"/>
          <w:color w:val="auto"/>
        </w:rPr>
        <w:t>This Securities Purchase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dated as of June 26, 2026, between Decoy Therapeutics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each of the purchasers identified on the signature pages hereto (including its successors and assigns, the “</w:t>
      </w:r>
      <w:r>
        <w:rPr>
          <w:rFonts w:ascii="Times New Roman" w:cs="Times New Roman" w:eastAsia="Times New Roman" w:hAnsi="Times New Roman"/>
          <w:sz w:val="16"/>
          <w:szCs w:val="16"/>
          <w:u w:val="single" w:color="auto"/>
          <w:color w:val="auto"/>
        </w:rPr>
        <w:t>Purchaser</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jc w:val="both"/>
        <w:ind w:right="20" w:firstLine="751"/>
        <w:spacing w:after="0" w:line="261" w:lineRule="auto"/>
        <w:rPr>
          <w:sz w:val="20"/>
          <w:szCs w:val="20"/>
          <w:color w:val="auto"/>
        </w:rPr>
      </w:pPr>
      <w:r>
        <w:rPr>
          <w:rFonts w:ascii="Times New Roman" w:cs="Times New Roman" w:eastAsia="Times New Roman" w:hAnsi="Times New Roman"/>
          <w:sz w:val="16"/>
          <w:szCs w:val="16"/>
          <w:color w:val="auto"/>
        </w:rPr>
        <w:t>WHEREAS, subject to the terms and conditions set forth in this Agreement and pursuant to Section 4(a)(2) of the Securities Act (as defined below) and/or Rule 506 of Regulation D promulgated thereunder, the Company desires to issue and sell to each Purchaser, and each Purchaser, severally and not jointly, desires to purchase from the Company, securities of the Company as more fully described in this Agreement.</w:t>
      </w:r>
    </w:p>
    <w:p>
      <w:pPr>
        <w:spacing w:after="0" w:line="157" w:lineRule="exact"/>
        <w:rPr>
          <w:sz w:val="20"/>
          <w:szCs w:val="20"/>
          <w:color w:val="auto"/>
        </w:rPr>
      </w:pPr>
    </w:p>
    <w:p>
      <w:pPr>
        <w:jc w:val="both"/>
        <w:ind w:right="20" w:firstLine="751"/>
        <w:spacing w:after="0" w:line="276" w:lineRule="auto"/>
        <w:rPr>
          <w:sz w:val="20"/>
          <w:szCs w:val="20"/>
          <w:color w:val="auto"/>
        </w:rPr>
      </w:pPr>
      <w:r>
        <w:rPr>
          <w:rFonts w:ascii="Times New Roman" w:cs="Times New Roman" w:eastAsia="Times New Roman" w:hAnsi="Times New Roman"/>
          <w:sz w:val="16"/>
          <w:szCs w:val="16"/>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DEFINITIONS</w:t>
      </w:r>
    </w:p>
    <w:p>
      <w:pPr>
        <w:spacing w:after="0" w:line="177" w:lineRule="exact"/>
        <w:rPr>
          <w:sz w:val="20"/>
          <w:szCs w:val="20"/>
          <w:color w:val="auto"/>
        </w:rPr>
      </w:pPr>
    </w:p>
    <w:p>
      <w:pPr>
        <w:jc w:val="both"/>
        <w:ind w:right="20" w:firstLine="751"/>
        <w:spacing w:after="0" w:line="276" w:lineRule="auto"/>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xml:space="preserve">. In addition to the words and terms defined elsewhere in this Agreement, for all purposes of this Agreement, the following words and terms have the meanings set forth in this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Acquiring Person</w:t>
      </w:r>
      <w:r>
        <w:rPr>
          <w:rFonts w:ascii="Times New Roman" w:cs="Times New Roman" w:eastAsia="Times New Roman" w:hAnsi="Times New Roman"/>
          <w:sz w:val="16"/>
          <w:szCs w:val="16"/>
          <w:color w:val="auto"/>
        </w:rPr>
        <w:t xml:space="preserve">” shall have the meaning ascribed to such term in </w:t>
      </w:r>
      <w:r>
        <w:rPr>
          <w:rFonts w:ascii="Times New Roman" w:cs="Times New Roman" w:eastAsia="Times New Roman" w:hAnsi="Times New Roman"/>
          <w:sz w:val="16"/>
          <w:szCs w:val="16"/>
          <w:u w:val="single" w:color="auto"/>
          <w:color w:val="auto"/>
        </w:rPr>
        <w:t>Section 4.5</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ind w:left="740" w:firstLine="750"/>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Applicable Laws</w:t>
      </w:r>
      <w:r>
        <w:rPr>
          <w:rFonts w:ascii="Times New Roman" w:cs="Times New Roman" w:eastAsia="Times New Roman" w:hAnsi="Times New Roman"/>
          <w:sz w:val="16"/>
          <w:szCs w:val="16"/>
          <w:color w:val="auto"/>
        </w:rPr>
        <w:t xml:space="preserve">” shall have the meaning ascribed to such term in </w:t>
      </w:r>
      <w:r>
        <w:rPr>
          <w:rFonts w:ascii="Times New Roman" w:cs="Times New Roman" w:eastAsia="Times New Roman" w:hAnsi="Times New Roman"/>
          <w:sz w:val="16"/>
          <w:szCs w:val="16"/>
          <w:u w:val="single" w:color="auto"/>
          <w:color w:val="auto"/>
        </w:rPr>
        <w:t>Section 3.1(jj)</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Authorizations</w:t>
      </w:r>
      <w:r>
        <w:rPr>
          <w:rFonts w:ascii="Times New Roman" w:cs="Times New Roman" w:eastAsia="Times New Roman" w:hAnsi="Times New Roman"/>
          <w:sz w:val="16"/>
          <w:szCs w:val="16"/>
          <w:color w:val="auto"/>
        </w:rPr>
        <w:t xml:space="preserve">” shall have the meaning ascribed to such term in </w:t>
      </w:r>
      <w:r>
        <w:rPr>
          <w:rFonts w:ascii="Times New Roman" w:cs="Times New Roman" w:eastAsia="Times New Roman" w:hAnsi="Times New Roman"/>
          <w:sz w:val="16"/>
          <w:szCs w:val="16"/>
          <w:u w:val="single" w:color="auto"/>
          <w:color w:val="auto"/>
        </w:rPr>
        <w:t>Section 3.1(jj)</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Beneficial Ownership Limitation</w:t>
      </w:r>
      <w:r>
        <w:rPr>
          <w:rFonts w:ascii="Times New Roman" w:cs="Times New Roman" w:eastAsia="Times New Roman" w:hAnsi="Times New Roman"/>
          <w:sz w:val="16"/>
          <w:szCs w:val="16"/>
          <w:color w:val="auto"/>
        </w:rPr>
        <w:t xml:space="preserve">” shall have the meaning ascribed to such term in </w:t>
      </w:r>
      <w:r>
        <w:rPr>
          <w:rFonts w:ascii="Times New Roman" w:cs="Times New Roman" w:eastAsia="Times New Roman" w:hAnsi="Times New Roman"/>
          <w:sz w:val="16"/>
          <w:szCs w:val="16"/>
          <w:u w:val="single" w:color="auto"/>
          <w:color w:val="auto"/>
        </w:rPr>
        <w:t>Section 2.1(a)</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BHCA</w:t>
      </w:r>
      <w:r>
        <w:rPr>
          <w:rFonts w:ascii="Times New Roman" w:cs="Times New Roman" w:eastAsia="Times New Roman" w:hAnsi="Times New Roman"/>
          <w:sz w:val="16"/>
          <w:szCs w:val="16"/>
          <w:color w:val="auto"/>
        </w:rPr>
        <w:t xml:space="preserve">” shall have the meaning ascribed to such term in </w:t>
      </w:r>
      <w:r>
        <w:rPr>
          <w:rFonts w:ascii="Times New Roman" w:cs="Times New Roman" w:eastAsia="Times New Roman" w:hAnsi="Times New Roman"/>
          <w:sz w:val="16"/>
          <w:szCs w:val="16"/>
          <w:u w:val="single" w:color="auto"/>
          <w:color w:val="auto"/>
        </w:rPr>
        <w:t>Section 3.1(ii)</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Board of Directors</w:t>
      </w:r>
      <w:r>
        <w:rPr>
          <w:rFonts w:ascii="Times New Roman" w:cs="Times New Roman" w:eastAsia="Times New Roman" w:hAnsi="Times New Roman"/>
          <w:sz w:val="16"/>
          <w:szCs w:val="16"/>
          <w:color w:val="auto"/>
        </w:rPr>
        <w:t>” means the board of directors of the Company.</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BSA/PATRIOT Act</w:t>
      </w:r>
      <w:r>
        <w:rPr>
          <w:rFonts w:ascii="Times New Roman" w:cs="Times New Roman" w:eastAsia="Times New Roman" w:hAnsi="Times New Roman"/>
          <w:sz w:val="16"/>
          <w:szCs w:val="16"/>
          <w:color w:val="auto"/>
        </w:rPr>
        <w:t xml:space="preserve">” shall have the meaning ascribed to such term in </w:t>
      </w:r>
      <w:r>
        <w:rPr>
          <w:rFonts w:ascii="Times New Roman" w:cs="Times New Roman" w:eastAsia="Times New Roman" w:hAnsi="Times New Roman"/>
          <w:sz w:val="16"/>
          <w:szCs w:val="16"/>
          <w:u w:val="single" w:color="auto"/>
          <w:color w:val="auto"/>
        </w:rPr>
        <w:t>Section 3.2(j)</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ind w:left="740" w:firstLine="750"/>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xml:space="preserve">” means any day except any Saturday, any Sunday, any day which is a federal legal holiday in the United States or any day on which banking institutions in the State of New York are authorized or required by law or other governmental action to close;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xml:space="preserve">” means the closing of the purchase and sale of the Securities pursuant to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0"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394335</wp:posOffset>
            </wp:positionV>
            <wp:extent cx="7174865"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98" w:name="page99"/>
    <w:bookmarkEnd w:id="98"/>
    <w:p>
      <w:pPr>
        <w:jc w:val="both"/>
        <w:ind w:left="680" w:firstLine="750"/>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first (1st) Trading Day following the date hereof.</w:t>
      </w:r>
    </w:p>
    <w:p>
      <w:pPr>
        <w:spacing w:after="0" w:line="15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Commission</w:t>
      </w:r>
      <w:r>
        <w:rPr>
          <w:rFonts w:ascii="Times New Roman" w:cs="Times New Roman" w:eastAsia="Times New Roman" w:hAnsi="Times New Roman"/>
          <w:sz w:val="16"/>
          <w:szCs w:val="16"/>
          <w:color w:val="auto"/>
        </w:rPr>
        <w:t>” means the United States Securities and Exchange Commission.</w:t>
      </w:r>
    </w:p>
    <w:p>
      <w:pPr>
        <w:spacing w:after="0" w:line="194" w:lineRule="exact"/>
        <w:rPr>
          <w:sz w:val="20"/>
          <w:szCs w:val="20"/>
          <w:color w:val="auto"/>
        </w:rPr>
      </w:pPr>
    </w:p>
    <w:p>
      <w:pPr>
        <w:jc w:val="both"/>
        <w:ind w:left="680" w:right="20" w:firstLine="750"/>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means the common stock of the Company, par value $0.0001 per share, and any other class of securities into which such securities may hereafter be reclassified or changed.</w:t>
      </w:r>
    </w:p>
    <w:p>
      <w:pPr>
        <w:spacing w:after="0" w:line="145" w:lineRule="exact"/>
        <w:rPr>
          <w:sz w:val="20"/>
          <w:szCs w:val="20"/>
          <w:color w:val="auto"/>
        </w:rPr>
      </w:pPr>
    </w:p>
    <w:p>
      <w:pPr>
        <w:jc w:val="both"/>
        <w:ind w:left="680" w:firstLine="750"/>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Common Stock Equivalents</w:t>
      </w:r>
      <w:r>
        <w:rPr>
          <w:rFonts w:ascii="Times New Roman" w:cs="Times New Roman" w:eastAsia="Times New Roman" w:hAnsi="Times New Roman"/>
          <w:sz w:val="16"/>
          <w:szCs w:val="16"/>
          <w:color w:val="auto"/>
        </w:rPr>
        <w:t>” means any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5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Counsel</w:t>
      </w:r>
      <w:r>
        <w:rPr>
          <w:rFonts w:ascii="Times New Roman" w:cs="Times New Roman" w:eastAsia="Times New Roman" w:hAnsi="Times New Roman"/>
          <w:sz w:val="16"/>
          <w:szCs w:val="16"/>
          <w:color w:val="auto"/>
        </w:rPr>
        <w:t>” means Honigman LLP.</w:t>
      </w:r>
    </w:p>
    <w:p>
      <w:pPr>
        <w:spacing w:after="0" w:line="194" w:lineRule="exact"/>
        <w:rPr>
          <w:sz w:val="20"/>
          <w:szCs w:val="20"/>
          <w:color w:val="auto"/>
        </w:rPr>
      </w:pPr>
    </w:p>
    <w:p>
      <w:pPr>
        <w:jc w:val="both"/>
        <w:ind w:left="680" w:firstLine="750"/>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Control</w:t>
      </w:r>
      <w:r>
        <w:rPr>
          <w:rFonts w:ascii="Times New Roman" w:cs="Times New Roman" w:eastAsia="Times New Roman" w:hAnsi="Times New Roman"/>
          <w:sz w:val="16"/>
          <w:szCs w:val="16"/>
          <w:color w:val="auto"/>
        </w:rPr>
        <w:t>” (including the terms “</w:t>
      </w:r>
      <w:r>
        <w:rPr>
          <w:rFonts w:ascii="Times New Roman" w:cs="Times New Roman" w:eastAsia="Times New Roman" w:hAnsi="Times New Roman"/>
          <w:sz w:val="16"/>
          <w:szCs w:val="16"/>
          <w:u w:val="single" w:color="auto"/>
          <w:color w:val="auto"/>
        </w:rPr>
        <w:t>Controlled by</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under common Control with</w:t>
      </w:r>
      <w:r>
        <w:rPr>
          <w:rFonts w:ascii="Times New Roman" w:cs="Times New Roman" w:eastAsia="Times New Roman" w:hAnsi="Times New Roman"/>
          <w:sz w:val="16"/>
          <w:szCs w:val="16"/>
          <w:color w:val="auto"/>
        </w:rPr>
        <w:t>”) means the possession, directly or indirectly, of the power to direct or cause the direction of the management and policies of a person, whether through the ownership of voting securities, as trustee or executor, by contract or otherwise, including the ownership, directly or indirectly, of securities having the power to elect a majority of the board of directors or similar body governing the affairs of such person or securities that represent a majority of the outstanding voting securities of such person.</w:t>
      </w:r>
    </w:p>
    <w:p>
      <w:pPr>
        <w:spacing w:after="0" w:line="16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Disclosure Schedules</w:t>
      </w:r>
      <w:r>
        <w:rPr>
          <w:rFonts w:ascii="Times New Roman" w:cs="Times New Roman" w:eastAsia="Times New Roman" w:hAnsi="Times New Roman"/>
          <w:sz w:val="16"/>
          <w:szCs w:val="16"/>
          <w:color w:val="auto"/>
        </w:rPr>
        <w:t>” means the Disclosure Schedules of the Company delivered concurrently herewith.</w:t>
      </w:r>
    </w:p>
    <w:p>
      <w:pPr>
        <w:spacing w:after="0" w:line="194" w:lineRule="exact"/>
        <w:rPr>
          <w:sz w:val="20"/>
          <w:szCs w:val="20"/>
          <w:color w:val="auto"/>
        </w:rPr>
      </w:pPr>
    </w:p>
    <w:p>
      <w:pPr>
        <w:jc w:val="both"/>
        <w:ind w:left="680" w:firstLine="750"/>
        <w:spacing w:after="0" w:line="27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Disclosure Time</w:t>
      </w:r>
      <w:r>
        <w:rPr>
          <w:rFonts w:ascii="Times New Roman" w:cs="Times New Roman" w:eastAsia="Times New Roman" w:hAnsi="Times New Roman"/>
          <w:sz w:val="15"/>
          <w:szCs w:val="15"/>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4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Disqualification Event</w:t>
      </w:r>
      <w:r>
        <w:rPr>
          <w:rFonts w:ascii="Times New Roman" w:cs="Times New Roman" w:eastAsia="Times New Roman" w:hAnsi="Times New Roman"/>
          <w:sz w:val="16"/>
          <w:szCs w:val="16"/>
          <w:color w:val="auto"/>
        </w:rPr>
        <w:t xml:space="preserve">” shall have the meaning ascribed to such term in </w:t>
      </w:r>
      <w:r>
        <w:rPr>
          <w:rFonts w:ascii="Times New Roman" w:cs="Times New Roman" w:eastAsia="Times New Roman" w:hAnsi="Times New Roman"/>
          <w:sz w:val="16"/>
          <w:szCs w:val="16"/>
          <w:u w:val="single" w:color="auto"/>
          <w:color w:val="auto"/>
        </w:rPr>
        <w:t>Section 3.1(kk)</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means the Securities Exchange Act of 1934, as amended, and the rules and regulations promulgated thereunder.</w:t>
      </w:r>
    </w:p>
    <w:p>
      <w:pPr>
        <w:spacing w:after="0" w:line="194" w:lineRule="exact"/>
        <w:rPr>
          <w:sz w:val="20"/>
          <w:szCs w:val="20"/>
          <w:color w:val="auto"/>
        </w:rPr>
      </w:pPr>
    </w:p>
    <w:p>
      <w:pPr>
        <w:jc w:val="both"/>
        <w:ind w:left="680" w:firstLine="750"/>
        <w:spacing w:after="0" w:line="23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Effectiveness Date</w:t>
      </w:r>
      <w:r>
        <w:rPr>
          <w:rFonts w:ascii="Times New Roman" w:cs="Times New Roman" w:eastAsia="Times New Roman" w:hAnsi="Times New Roman"/>
          <w:sz w:val="16"/>
          <w:szCs w:val="16"/>
          <w:color w:val="auto"/>
        </w:rPr>
        <w:t>” means, with respect to the Registration Statement required to be filed pursuant to the Registration Rights Agreement, the closing of business, Eastern Time, on the 45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calendar day following the date hereof (or, in the event of a “limited review” by the Commission,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calendar day following the date hereof or, in the event of a “full review” by the Commission,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calendar day following the date hereof).</w:t>
      </w:r>
    </w:p>
    <w:p>
      <w:pPr>
        <w:spacing w:after="0" w:line="65" w:lineRule="exact"/>
        <w:rPr>
          <w:sz w:val="20"/>
          <w:szCs w:val="20"/>
          <w:color w:val="auto"/>
        </w:rPr>
      </w:pPr>
    </w:p>
    <w:p>
      <w:pPr>
        <w:jc w:val="both"/>
        <w:ind w:left="680" w:firstLine="750"/>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Exempt Issuance</w:t>
      </w:r>
      <w:r>
        <w:rPr>
          <w:rFonts w:ascii="Times New Roman" w:cs="Times New Roman" w:eastAsia="Times New Roman" w:hAnsi="Times New Roman"/>
          <w:sz w:val="16"/>
          <w:szCs w:val="16"/>
          <w:color w:val="auto"/>
        </w:rPr>
        <w:t>” means (i) the issuance of securities to directors, officers, employees and consultants of the Company pursuant to employee benefit plans, equity incentive plans or other employee compensation plans existing on the date hereof and as described in the SEC Reports or pursuant to Nasdaq Rule 5635(c)(4), (ii) the issuance of securities upon the exercise or exchange of or conversion of any Securities issued hereunder and/or the issuance of securities pursuant to the exercise, exchange or conversion</w:t>
      </w:r>
    </w:p>
    <w:p>
      <w:pPr>
        <w:spacing w:after="0" w:line="200" w:lineRule="exact"/>
        <w:rPr>
          <w:sz w:val="20"/>
          <w:szCs w:val="20"/>
          <w:color w:val="auto"/>
        </w:rPr>
      </w:pPr>
    </w:p>
    <w:p>
      <w:pPr>
        <w:spacing w:after="0" w:line="273" w:lineRule="exact"/>
        <w:rPr>
          <w:sz w:val="20"/>
          <w:szCs w:val="20"/>
          <w:color w:val="auto"/>
        </w:rPr>
      </w:pPr>
    </w:p>
    <w:p>
      <w:pPr>
        <w:ind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394335</wp:posOffset>
            </wp:positionV>
            <wp:extent cx="7174865"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258" w:right="319" w:bottom="1440" w:gutter="0" w:footer="0" w:header="0"/>
        </w:sectPr>
      </w:pPr>
    </w:p>
    <w:bookmarkStart w:id="99" w:name="page100"/>
    <w:bookmarkEnd w:id="99"/>
    <w:p>
      <w:pPr>
        <w:jc w:val="both"/>
        <w:ind w:left="680"/>
        <w:spacing w:after="0" w:line="269" w:lineRule="auto"/>
        <w:rPr>
          <w:sz w:val="20"/>
          <w:szCs w:val="20"/>
          <w:color w:val="auto"/>
        </w:rPr>
      </w:pPr>
      <w:r>
        <w:rPr>
          <w:rFonts w:ascii="Times New Roman" w:cs="Times New Roman" w:eastAsia="Times New Roman" w:hAnsi="Times New Roman"/>
          <w:sz w:val="15"/>
          <w:szCs w:val="15"/>
          <w:color w:val="auto"/>
        </w:rPr>
        <w:t xml:space="preserve">of any options, warrants, restricted stock units, rights or convertible securities outstanding on the date hereof, provided that such options, warrants, restricted stock units, rights or convertible securities have not been amended since the date of this Agreement to increase the number of such securities or to decrease the exercise price, exchange price or conversion price of such securities or to extend the term of such securities, (iii) securities issued pursuant to merger, acquisition, or strategic transactions approved by a majority of the disinterested directors of the Company,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such securities are issued as “restricted securities” (as defined in Rule</w:t>
      </w:r>
    </w:p>
    <w:p>
      <w:pPr>
        <w:spacing w:after="0" w:line="1" w:lineRule="exact"/>
        <w:rPr>
          <w:sz w:val="20"/>
          <w:szCs w:val="20"/>
          <w:color w:val="auto"/>
        </w:rPr>
      </w:pPr>
    </w:p>
    <w:p>
      <w:pPr>
        <w:jc w:val="both"/>
        <w:ind w:left="680" w:firstLine="5"/>
        <w:spacing w:after="0" w:line="247" w:lineRule="auto"/>
        <w:tabs>
          <w:tab w:leader="none" w:pos="1022"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and carry no registration rights that require or permit the filing of any registration statement in connection therewith during the prohibition period in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4.12(a)</w:t>
      </w:r>
      <w:r>
        <w:rPr>
          <w:rFonts w:ascii="Times New Roman" w:cs="Times New Roman" w:eastAsia="Times New Roman" w:hAnsi="Times New Roman"/>
          <w:sz w:val="16"/>
          <w:szCs w:val="16"/>
          <w:color w:val="auto"/>
        </w:rPr>
        <w:t xml:space="preserve"> herein,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xml:space="preserve"> that any such issuance shall only be to a Person (or to the equity holders of a Person) that is, itself or through its subsidiaries, an operating company, or an owner of an asset in a business synergistic with the business of the Company and in which the Company receives benefits in addition to any investment of funds, but shall not include a transaction in which the Company is issuing securities primarily for the purpose of raising capital or to an entity whose primary business is investing in securities, and (iv) securities for settlement of outstanding payables or liabilities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securities are issued as “restricted securities” (as defined in Rule 144) and carry no registration rights that require or permit the filing of any registration statement in connection therewith during the prohibition period in </w:t>
      </w:r>
      <w:r>
        <w:rPr>
          <w:rFonts w:ascii="Times New Roman" w:cs="Times New Roman" w:eastAsia="Times New Roman" w:hAnsi="Times New Roman"/>
          <w:sz w:val="16"/>
          <w:szCs w:val="16"/>
          <w:u w:val="single" w:color="auto"/>
          <w:color w:val="auto"/>
        </w:rPr>
        <w:t>Section 4.12(a)</w:t>
      </w:r>
      <w:r>
        <w:rPr>
          <w:rFonts w:ascii="Times New Roman" w:cs="Times New Roman" w:eastAsia="Times New Roman" w:hAnsi="Times New Roman"/>
          <w:sz w:val="16"/>
          <w:szCs w:val="16"/>
          <w:color w:val="auto"/>
        </w:rPr>
        <w:t xml:space="preserve"> herein.</w:t>
      </w:r>
    </w:p>
    <w:p>
      <w:pPr>
        <w:spacing w:after="0" w:line="17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FCPA</w:t>
      </w:r>
      <w:r>
        <w:rPr>
          <w:rFonts w:ascii="Times New Roman" w:cs="Times New Roman" w:eastAsia="Times New Roman" w:hAnsi="Times New Roman"/>
          <w:sz w:val="16"/>
          <w:szCs w:val="16"/>
          <w:color w:val="auto"/>
        </w:rPr>
        <w:t xml:space="preserve">” means the Foreign Corrupt Practices Act of 1977, as amended, as used in </w:t>
      </w:r>
      <w:r>
        <w:rPr>
          <w:rFonts w:ascii="Times New Roman" w:cs="Times New Roman" w:eastAsia="Times New Roman" w:hAnsi="Times New Roman"/>
          <w:sz w:val="16"/>
          <w:szCs w:val="16"/>
          <w:u w:val="single" w:color="auto"/>
          <w:color w:val="auto"/>
        </w:rPr>
        <w:t>Section 3.1(aa)</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FDA</w:t>
      </w:r>
      <w:r>
        <w:rPr>
          <w:rFonts w:ascii="Times New Roman" w:cs="Times New Roman" w:eastAsia="Times New Roman" w:hAnsi="Times New Roman"/>
          <w:sz w:val="16"/>
          <w:szCs w:val="16"/>
          <w:color w:val="auto"/>
        </w:rPr>
        <w:t xml:space="preserve">” shall have the meaning ascribed to such term in </w:t>
      </w:r>
      <w:r>
        <w:rPr>
          <w:rFonts w:ascii="Times New Roman" w:cs="Times New Roman" w:eastAsia="Times New Roman" w:hAnsi="Times New Roman"/>
          <w:sz w:val="16"/>
          <w:szCs w:val="16"/>
          <w:u w:val="single" w:color="auto"/>
          <w:color w:val="auto"/>
        </w:rPr>
        <w:t>Section 3.1(nn)</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FDCA</w:t>
      </w:r>
      <w:r>
        <w:rPr>
          <w:rFonts w:ascii="Times New Roman" w:cs="Times New Roman" w:eastAsia="Times New Roman" w:hAnsi="Times New Roman"/>
          <w:sz w:val="16"/>
          <w:szCs w:val="16"/>
          <w:color w:val="auto"/>
        </w:rPr>
        <w:t xml:space="preserve">” shall have the meaning ascribed to such term in </w:t>
      </w:r>
      <w:r>
        <w:rPr>
          <w:rFonts w:ascii="Times New Roman" w:cs="Times New Roman" w:eastAsia="Times New Roman" w:hAnsi="Times New Roman"/>
          <w:sz w:val="16"/>
          <w:szCs w:val="16"/>
          <w:u w:val="single" w:color="auto"/>
          <w:color w:val="auto"/>
        </w:rPr>
        <w:t>Section 3.1(nn)</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Food and Drug Regulations</w:t>
      </w:r>
      <w:r>
        <w:rPr>
          <w:rFonts w:ascii="Times New Roman" w:cs="Times New Roman" w:eastAsia="Times New Roman" w:hAnsi="Times New Roman"/>
          <w:sz w:val="16"/>
          <w:szCs w:val="16"/>
          <w:color w:val="auto"/>
        </w:rPr>
        <w:t xml:space="preserve">” shall have the meaning ascribed to such term in </w:t>
      </w:r>
      <w:r>
        <w:rPr>
          <w:rFonts w:ascii="Times New Roman" w:cs="Times New Roman" w:eastAsia="Times New Roman" w:hAnsi="Times New Roman"/>
          <w:sz w:val="16"/>
          <w:szCs w:val="16"/>
          <w:u w:val="single" w:color="auto"/>
          <w:color w:val="auto"/>
        </w:rPr>
        <w:t>Section 3.1(nn)</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FTC</w:t>
      </w:r>
      <w:r>
        <w:rPr>
          <w:rFonts w:ascii="Times New Roman" w:cs="Times New Roman" w:eastAsia="Times New Roman" w:hAnsi="Times New Roman"/>
          <w:sz w:val="16"/>
          <w:szCs w:val="16"/>
          <w:color w:val="auto"/>
        </w:rPr>
        <w:t xml:space="preserve">” shall have the meaning ascribed to such term in </w:t>
      </w:r>
      <w:r>
        <w:rPr>
          <w:rFonts w:ascii="Times New Roman" w:cs="Times New Roman" w:eastAsia="Times New Roman" w:hAnsi="Times New Roman"/>
          <w:sz w:val="16"/>
          <w:szCs w:val="16"/>
          <w:u w:val="single" w:color="auto"/>
          <w:color w:val="auto"/>
        </w:rPr>
        <w:t>Section 3.1(oo)</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GAAP</w:t>
      </w:r>
      <w:r>
        <w:rPr>
          <w:rFonts w:ascii="Times New Roman" w:cs="Times New Roman" w:eastAsia="Times New Roman" w:hAnsi="Times New Roman"/>
          <w:sz w:val="16"/>
          <w:szCs w:val="16"/>
          <w:color w:val="auto"/>
        </w:rPr>
        <w:t xml:space="preserve">” shall have the meaning ascribed to such term in </w:t>
      </w:r>
      <w:r>
        <w:rPr>
          <w:rFonts w:ascii="Times New Roman" w:cs="Times New Roman" w:eastAsia="Times New Roman" w:hAnsi="Times New Roman"/>
          <w:sz w:val="16"/>
          <w:szCs w:val="16"/>
          <w:u w:val="single" w:color="auto"/>
          <w:color w:val="auto"/>
        </w:rPr>
        <w:t>Section 3.1(f)</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GDPR</w:t>
      </w:r>
      <w:r>
        <w:rPr>
          <w:rFonts w:ascii="Times New Roman" w:cs="Times New Roman" w:eastAsia="Times New Roman" w:hAnsi="Times New Roman"/>
          <w:sz w:val="16"/>
          <w:szCs w:val="16"/>
          <w:color w:val="auto"/>
        </w:rPr>
        <w:t xml:space="preserve">” shall have the meaning ascribed to such term in </w:t>
      </w:r>
      <w:r>
        <w:rPr>
          <w:rFonts w:ascii="Times New Roman" w:cs="Times New Roman" w:eastAsia="Times New Roman" w:hAnsi="Times New Roman"/>
          <w:sz w:val="16"/>
          <w:szCs w:val="16"/>
          <w:u w:val="single" w:color="auto"/>
          <w:color w:val="auto"/>
        </w:rPr>
        <w:t>Section 3.1(pp)</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Indebtedness</w:t>
      </w:r>
      <w:r>
        <w:rPr>
          <w:rFonts w:ascii="Times New Roman" w:cs="Times New Roman" w:eastAsia="Times New Roman" w:hAnsi="Times New Roman"/>
          <w:sz w:val="16"/>
          <w:szCs w:val="16"/>
          <w:color w:val="auto"/>
        </w:rPr>
        <w:t xml:space="preserve">” shall have the meaning ascribed to such term in </w:t>
      </w:r>
      <w:r>
        <w:rPr>
          <w:rFonts w:ascii="Times New Roman" w:cs="Times New Roman" w:eastAsia="Times New Roman" w:hAnsi="Times New Roman"/>
          <w:sz w:val="16"/>
          <w:szCs w:val="16"/>
          <w:u w:val="single" w:color="auto"/>
          <w:color w:val="auto"/>
        </w:rPr>
        <w:t>Section 3.1(qq)</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Issuer Covered Persons</w:t>
      </w:r>
      <w:r>
        <w:rPr>
          <w:rFonts w:ascii="Times New Roman" w:cs="Times New Roman" w:eastAsia="Times New Roman" w:hAnsi="Times New Roman"/>
          <w:sz w:val="16"/>
          <w:szCs w:val="16"/>
          <w:color w:val="auto"/>
        </w:rPr>
        <w:t xml:space="preserve">” shall have the meaning ascribed to such term in </w:t>
      </w:r>
      <w:r>
        <w:rPr>
          <w:rFonts w:ascii="Times New Roman" w:cs="Times New Roman" w:eastAsia="Times New Roman" w:hAnsi="Times New Roman"/>
          <w:sz w:val="16"/>
          <w:szCs w:val="16"/>
          <w:u w:val="single" w:color="auto"/>
          <w:color w:val="auto"/>
        </w:rPr>
        <w:t>Section 3.1(kk)</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Issuer Free Writing Prospectus</w:t>
      </w:r>
      <w:r>
        <w:rPr>
          <w:rFonts w:ascii="Times New Roman" w:cs="Times New Roman" w:eastAsia="Times New Roman" w:hAnsi="Times New Roman"/>
          <w:sz w:val="16"/>
          <w:szCs w:val="16"/>
          <w:color w:val="auto"/>
        </w:rPr>
        <w:t xml:space="preserve">” shall have the meaning ascribed to such term in </w:t>
      </w:r>
      <w:r>
        <w:rPr>
          <w:rFonts w:ascii="Times New Roman" w:cs="Times New Roman" w:eastAsia="Times New Roman" w:hAnsi="Times New Roman"/>
          <w:sz w:val="16"/>
          <w:szCs w:val="16"/>
          <w:u w:val="single" w:color="auto"/>
          <w:color w:val="auto"/>
        </w:rPr>
        <w:t>Section 3.1(f)</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IT Systems and Data</w:t>
      </w:r>
      <w:r>
        <w:rPr>
          <w:rFonts w:ascii="Times New Roman" w:cs="Times New Roman" w:eastAsia="Times New Roman" w:hAnsi="Times New Roman"/>
          <w:sz w:val="16"/>
          <w:szCs w:val="16"/>
          <w:color w:val="auto"/>
        </w:rPr>
        <w:t xml:space="preserve">” shall have the meaning ascribed to such term in </w:t>
      </w:r>
      <w:r>
        <w:rPr>
          <w:rFonts w:ascii="Times New Roman" w:cs="Times New Roman" w:eastAsia="Times New Roman" w:hAnsi="Times New Roman"/>
          <w:sz w:val="16"/>
          <w:szCs w:val="16"/>
          <w:u w:val="single" w:color="auto"/>
          <w:color w:val="auto"/>
        </w:rPr>
        <w:t>Section 3.1(ee)</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xml:space="preserve">” shall have the meaning ascribed to such term in </w:t>
      </w:r>
      <w:r>
        <w:rPr>
          <w:rFonts w:ascii="Times New Roman" w:cs="Times New Roman" w:eastAsia="Times New Roman" w:hAnsi="Times New Roman"/>
          <w:sz w:val="16"/>
          <w:szCs w:val="16"/>
          <w:u w:val="single" w:color="auto"/>
          <w:color w:val="auto"/>
        </w:rPr>
        <w:t>Section 3.1(n)</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Liens</w:t>
      </w:r>
      <w:r>
        <w:rPr>
          <w:rFonts w:ascii="Times New Roman" w:cs="Times New Roman" w:eastAsia="Times New Roman" w:hAnsi="Times New Roman"/>
          <w:sz w:val="16"/>
          <w:szCs w:val="16"/>
          <w:color w:val="auto"/>
        </w:rPr>
        <w:t>” means a lien, charge, pledge, security interest, encumbrance, right of first refusal, preemptive right or other restriction.</w:t>
      </w:r>
    </w:p>
    <w:p>
      <w:pPr>
        <w:spacing w:after="0" w:line="1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Lock-Up Agreements</w:t>
      </w:r>
      <w:r>
        <w:rPr>
          <w:rFonts w:ascii="Times New Roman" w:cs="Times New Roman" w:eastAsia="Times New Roman" w:hAnsi="Times New Roman"/>
          <w:sz w:val="16"/>
          <w:szCs w:val="16"/>
          <w:color w:val="auto"/>
        </w:rPr>
        <w:t xml:space="preserve">” means the lock-up agreements in substantially the form of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Material Adverse Effect</w:t>
      </w:r>
      <w:r>
        <w:rPr>
          <w:rFonts w:ascii="Times New Roman" w:cs="Times New Roman" w:eastAsia="Times New Roman" w:hAnsi="Times New Roman"/>
          <w:sz w:val="16"/>
          <w:szCs w:val="16"/>
          <w:color w:val="auto"/>
        </w:rPr>
        <w:t xml:space="preserve">” shall have the meaning assigned to such term in </w:t>
      </w:r>
      <w:r>
        <w:rPr>
          <w:rFonts w:ascii="Times New Roman" w:cs="Times New Roman" w:eastAsia="Times New Roman" w:hAnsi="Times New Roman"/>
          <w:sz w:val="16"/>
          <w:szCs w:val="16"/>
          <w:u w:val="single" w:color="auto"/>
          <w:color w:val="auto"/>
        </w:rPr>
        <w:t>Section 3.1(a)</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ind w:left="680" w:right="20" w:firstLine="750"/>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 Share Purchase Price</w:t>
      </w:r>
      <w:r>
        <w:rPr>
          <w:rFonts w:ascii="Times New Roman" w:cs="Times New Roman" w:eastAsia="Times New Roman" w:hAnsi="Times New Roman"/>
          <w:sz w:val="16"/>
          <w:szCs w:val="16"/>
          <w:color w:val="auto"/>
        </w:rPr>
        <w:t>” equals $5.91, subject to adjustment for reverse and forward stock splits, stock dividends, stock combinations and other similar transactions of the Common Stock that occur after the date of this Agreement and prior to the Closing Date, provided that the purchase price per Pre-Funded Warrant shall be the Per Share Purchase Price minus $0.0001.</w:t>
      </w:r>
    </w:p>
    <w:p>
      <w:pPr>
        <w:spacing w:after="0" w:line="200" w:lineRule="exact"/>
        <w:rPr>
          <w:sz w:val="20"/>
          <w:szCs w:val="20"/>
          <w:color w:val="auto"/>
        </w:rPr>
      </w:pPr>
    </w:p>
    <w:p>
      <w:pPr>
        <w:spacing w:after="0" w:line="268" w:lineRule="exact"/>
        <w:rPr>
          <w:sz w:val="20"/>
          <w:szCs w:val="20"/>
          <w:color w:val="auto"/>
        </w:rPr>
      </w:pPr>
    </w:p>
    <w:p>
      <w:pPr>
        <w:ind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394335</wp:posOffset>
            </wp:positionV>
            <wp:extent cx="7174865"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258" w:right="319" w:bottom="1440" w:gutter="0" w:footer="0" w:header="0"/>
        </w:sectPr>
      </w:pPr>
    </w:p>
    <w:bookmarkStart w:id="100" w:name="page101"/>
    <w:bookmarkEnd w:id="100"/>
    <w:p>
      <w:pPr>
        <w:spacing w:after="0" w:line="8" w:lineRule="exact"/>
        <w:rPr>
          <w:sz w:val="20"/>
          <w:szCs w:val="20"/>
          <w:color w:val="auto"/>
        </w:rPr>
      </w:pPr>
    </w:p>
    <w:p>
      <w:pPr>
        <w:ind w:left="680" w:firstLine="750"/>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Placement Agent</w:t>
      </w:r>
      <w:r>
        <w:rPr>
          <w:rFonts w:ascii="Times New Roman" w:cs="Times New Roman" w:eastAsia="Times New Roman" w:hAnsi="Times New Roman"/>
          <w:sz w:val="16"/>
          <w:szCs w:val="16"/>
          <w:color w:val="auto"/>
        </w:rPr>
        <w:t>” means Curvature Securities LLC.</w:t>
      </w:r>
    </w:p>
    <w:p>
      <w:pPr>
        <w:spacing w:after="0" w:line="1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Policies</w:t>
      </w:r>
      <w:r>
        <w:rPr>
          <w:rFonts w:ascii="Times New Roman" w:cs="Times New Roman" w:eastAsia="Times New Roman" w:hAnsi="Times New Roman"/>
          <w:sz w:val="16"/>
          <w:szCs w:val="16"/>
          <w:color w:val="auto"/>
        </w:rPr>
        <w:t xml:space="preserve">” shall have the meaning ascribed to such term in </w:t>
      </w:r>
      <w:r>
        <w:rPr>
          <w:rFonts w:ascii="Times New Roman" w:cs="Times New Roman" w:eastAsia="Times New Roman" w:hAnsi="Times New Roman"/>
          <w:sz w:val="16"/>
          <w:szCs w:val="16"/>
          <w:u w:val="single" w:color="auto"/>
          <w:color w:val="auto"/>
        </w:rPr>
        <w:t>Section 3.1(pp)</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680" w:firstLine="750"/>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Pre-Funded Warrants</w:t>
      </w:r>
      <w:r>
        <w:rPr>
          <w:rFonts w:ascii="Times New Roman" w:cs="Times New Roman" w:eastAsia="Times New Roman" w:hAnsi="Times New Roman"/>
          <w:sz w:val="16"/>
          <w:szCs w:val="16"/>
          <w:color w:val="auto"/>
        </w:rPr>
        <w:t xml:space="preserve">” means, collectively, the Pre-Funded Common Stock purchase warrants delivered to the Purchasers at the Closing in accordance with </w:t>
      </w:r>
      <w:r>
        <w:rPr>
          <w:rFonts w:ascii="Times New Roman" w:cs="Times New Roman" w:eastAsia="Times New Roman" w:hAnsi="Times New Roman"/>
          <w:sz w:val="16"/>
          <w:szCs w:val="16"/>
          <w:u w:val="single" w:color="auto"/>
          <w:color w:val="auto"/>
        </w:rPr>
        <w:t>Section 2.2(a)</w:t>
      </w:r>
      <w:r>
        <w:rPr>
          <w:rFonts w:ascii="Times New Roman" w:cs="Times New Roman" w:eastAsia="Times New Roman" w:hAnsi="Times New Roman"/>
          <w:sz w:val="16"/>
          <w:szCs w:val="16"/>
          <w:color w:val="auto"/>
        </w:rPr>
        <w:t xml:space="preserve"> hereof, in the form of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attached hereto.</w:t>
      </w:r>
    </w:p>
    <w:p>
      <w:pPr>
        <w:spacing w:after="0" w:line="1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Pre-Funded Warrant Shares</w:t>
      </w:r>
      <w:r>
        <w:rPr>
          <w:rFonts w:ascii="Times New Roman" w:cs="Times New Roman" w:eastAsia="Times New Roman" w:hAnsi="Times New Roman"/>
          <w:sz w:val="16"/>
          <w:szCs w:val="16"/>
          <w:color w:val="auto"/>
        </w:rPr>
        <w:t>” means the shares of Common Stock issuable upon exercise of the Pre-Funded Warrants.</w:t>
      </w:r>
    </w:p>
    <w:p>
      <w:pPr>
        <w:spacing w:after="0" w:line="1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Privacy Laws</w:t>
      </w:r>
      <w:r>
        <w:rPr>
          <w:rFonts w:ascii="Times New Roman" w:cs="Times New Roman" w:eastAsia="Times New Roman" w:hAnsi="Times New Roman"/>
          <w:sz w:val="16"/>
          <w:szCs w:val="16"/>
          <w:color w:val="auto"/>
        </w:rPr>
        <w:t xml:space="preserve">” shall have the meaning ascribed to such term in </w:t>
      </w:r>
      <w:r>
        <w:rPr>
          <w:rFonts w:ascii="Times New Roman" w:cs="Times New Roman" w:eastAsia="Times New Roman" w:hAnsi="Times New Roman"/>
          <w:sz w:val="16"/>
          <w:szCs w:val="16"/>
          <w:u w:val="single" w:color="auto"/>
          <w:color w:val="auto"/>
        </w:rPr>
        <w:t>Section 3.1(pp)</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680" w:right="20" w:firstLine="750"/>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Proceeding</w:t>
      </w:r>
      <w:r>
        <w:rPr>
          <w:rFonts w:ascii="Times New Roman" w:cs="Times New Roman" w:eastAsia="Times New Roman" w:hAnsi="Times New Roman"/>
          <w:sz w:val="16"/>
          <w:szCs w:val="16"/>
          <w:color w:val="auto"/>
        </w:rPr>
        <w:t>” means an action, claim, suit, investigation or proceeding (including, without limitation, a preliminary inquiry, an informal investigation or a partial proceeding, such as a deposition), whether commenced or threatened.</w:t>
      </w:r>
    </w:p>
    <w:p>
      <w:pPr>
        <w:spacing w:after="0" w:line="1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Product</w:t>
      </w:r>
      <w:r>
        <w:rPr>
          <w:rFonts w:ascii="Times New Roman" w:cs="Times New Roman" w:eastAsia="Times New Roman" w:hAnsi="Times New Roman"/>
          <w:sz w:val="16"/>
          <w:szCs w:val="16"/>
          <w:color w:val="auto"/>
        </w:rPr>
        <w:t xml:space="preserve">” shall have the meaning ascribed to such term in </w:t>
      </w:r>
      <w:r>
        <w:rPr>
          <w:rFonts w:ascii="Times New Roman" w:cs="Times New Roman" w:eastAsia="Times New Roman" w:hAnsi="Times New Roman"/>
          <w:sz w:val="16"/>
          <w:szCs w:val="16"/>
          <w:u w:val="single" w:color="auto"/>
          <w:color w:val="auto"/>
        </w:rPr>
        <w:t>Section 3.1(nn)</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Purchaser</w:t>
      </w:r>
      <w:r>
        <w:rPr>
          <w:rFonts w:ascii="Times New Roman" w:cs="Times New Roman" w:eastAsia="Times New Roman" w:hAnsi="Times New Roman"/>
          <w:sz w:val="16"/>
          <w:szCs w:val="16"/>
          <w:color w:val="auto"/>
        </w:rPr>
        <w:t>” shall have the meaning ascribed to such term in the Preamble.</w:t>
      </w:r>
    </w:p>
    <w:p>
      <w:pPr>
        <w:spacing w:after="0" w:line="1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Purchaser Party</w:t>
      </w:r>
      <w:r>
        <w:rPr>
          <w:rFonts w:ascii="Times New Roman" w:cs="Times New Roman" w:eastAsia="Times New Roman" w:hAnsi="Times New Roman"/>
          <w:sz w:val="16"/>
          <w:szCs w:val="16"/>
          <w:color w:val="auto"/>
        </w:rPr>
        <w:t xml:space="preserve">” shall have the meaning ascribed to such term in </w:t>
      </w:r>
      <w:r>
        <w:rPr>
          <w:rFonts w:ascii="Times New Roman" w:cs="Times New Roman" w:eastAsia="Times New Roman" w:hAnsi="Times New Roman"/>
          <w:sz w:val="16"/>
          <w:szCs w:val="16"/>
          <w:u w:val="single" w:color="auto"/>
          <w:color w:val="auto"/>
        </w:rPr>
        <w:t>Section 4.8</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680" w:firstLine="750"/>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Registration Rights Agreement</w:t>
      </w:r>
      <w:r>
        <w:rPr>
          <w:rFonts w:ascii="Times New Roman" w:cs="Times New Roman" w:eastAsia="Times New Roman" w:hAnsi="Times New Roman"/>
          <w:sz w:val="16"/>
          <w:szCs w:val="16"/>
          <w:color w:val="auto"/>
        </w:rPr>
        <w:t xml:space="preserve">” means the Registration Rights Agreement, dated on or about the date hereof, among the Company and the Purchasers, in the form of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xml:space="preserve"> attached hereto.</w:t>
      </w:r>
    </w:p>
    <w:p>
      <w:pPr>
        <w:spacing w:after="0" w:line="145" w:lineRule="exact"/>
        <w:rPr>
          <w:sz w:val="20"/>
          <w:szCs w:val="20"/>
          <w:color w:val="auto"/>
        </w:rPr>
      </w:pPr>
    </w:p>
    <w:p>
      <w:pPr>
        <w:ind w:left="680" w:firstLine="750"/>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means a registration statement meeting the requirements set forth in the Registration Rights Agreement and covering the resale by the Purchasers of the Securities.</w:t>
      </w:r>
    </w:p>
    <w:p>
      <w:pPr>
        <w:spacing w:after="0" w:line="145" w:lineRule="exact"/>
        <w:rPr>
          <w:sz w:val="20"/>
          <w:szCs w:val="20"/>
          <w:color w:val="auto"/>
        </w:rPr>
      </w:pPr>
    </w:p>
    <w:p>
      <w:pPr>
        <w:ind w:left="680" w:right="20" w:firstLine="750"/>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Rule 144</w:t>
      </w:r>
      <w:r>
        <w:rPr>
          <w:rFonts w:ascii="Times New Roman" w:cs="Times New Roman" w:eastAsia="Times New Roman" w:hAnsi="Times New Roman"/>
          <w:sz w:val="16"/>
          <w:szCs w:val="16"/>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45" w:lineRule="exact"/>
        <w:rPr>
          <w:sz w:val="20"/>
          <w:szCs w:val="20"/>
          <w:color w:val="auto"/>
        </w:rPr>
      </w:pPr>
    </w:p>
    <w:p>
      <w:pPr>
        <w:ind w:left="680" w:right="20" w:firstLine="750"/>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Rule 424</w:t>
      </w:r>
      <w:r>
        <w:rPr>
          <w:rFonts w:ascii="Times New Roman" w:cs="Times New Roman" w:eastAsia="Times New Roman" w:hAnsi="Times New Roman"/>
          <w:sz w:val="16"/>
          <w:szCs w:val="16"/>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 Reports</w:t>
      </w:r>
      <w:r>
        <w:rPr>
          <w:rFonts w:ascii="Times New Roman" w:cs="Times New Roman" w:eastAsia="Times New Roman" w:hAnsi="Times New Roman"/>
          <w:sz w:val="16"/>
          <w:szCs w:val="16"/>
          <w:color w:val="auto"/>
        </w:rPr>
        <w:t xml:space="preserve">” shall have the meaning ascribed to such term in </w:t>
      </w:r>
      <w:r>
        <w:rPr>
          <w:rFonts w:ascii="Times New Roman" w:cs="Times New Roman" w:eastAsia="Times New Roman" w:hAnsi="Times New Roman"/>
          <w:sz w:val="16"/>
          <w:szCs w:val="16"/>
          <w:u w:val="single" w:color="auto"/>
          <w:color w:val="auto"/>
        </w:rPr>
        <w:t>Section 3.1(f)</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w:t>
      </w:r>
      <w:r>
        <w:rPr>
          <w:rFonts w:ascii="Times New Roman" w:cs="Times New Roman" w:eastAsia="Times New Roman" w:hAnsi="Times New Roman"/>
          <w:sz w:val="16"/>
          <w:szCs w:val="16"/>
          <w:color w:val="auto"/>
        </w:rPr>
        <w:t>” means the Shares, the Warrants and the Warrant Shares.</w:t>
      </w:r>
    </w:p>
    <w:p>
      <w:pPr>
        <w:spacing w:after="0" w:line="1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means the Securities Act of 1933, as amended, and the rules and regulations promulgated thereunder.</w:t>
      </w:r>
    </w:p>
    <w:p>
      <w:pPr>
        <w:spacing w:after="0" w:line="1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A Warrants</w:t>
      </w:r>
      <w:r>
        <w:rPr>
          <w:rFonts w:ascii="Times New Roman" w:cs="Times New Roman" w:eastAsia="Times New Roman" w:hAnsi="Times New Roman"/>
          <w:sz w:val="16"/>
          <w:szCs w:val="16"/>
          <w:color w:val="auto"/>
        </w:rPr>
        <w:t xml:space="preserve">” means the Series A common warrants to purchase shares of Common Stock, in the form of </w:t>
      </w:r>
      <w:r>
        <w:rPr>
          <w:rFonts w:ascii="Times New Roman" w:cs="Times New Roman" w:eastAsia="Times New Roman" w:hAnsi="Times New Roman"/>
          <w:sz w:val="16"/>
          <w:szCs w:val="16"/>
          <w:u w:val="single" w:color="auto"/>
          <w:color w:val="auto"/>
        </w:rPr>
        <w:t>Exhibit D</w:t>
      </w:r>
      <w:r>
        <w:rPr>
          <w:rFonts w:ascii="Times New Roman" w:cs="Times New Roman" w:eastAsia="Times New Roman" w:hAnsi="Times New Roman"/>
          <w:sz w:val="16"/>
          <w:szCs w:val="16"/>
          <w:color w:val="auto"/>
        </w:rPr>
        <w:t xml:space="preserve"> attached hereto.</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394335</wp:posOffset>
            </wp:positionV>
            <wp:extent cx="7174865" cy="40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40" w:right="319" w:bottom="1440" w:gutter="0" w:footer="0" w:header="0"/>
        </w:sectPr>
      </w:pPr>
    </w:p>
    <w:bookmarkStart w:id="101" w:name="page102"/>
    <w:bookmarkEnd w:id="101"/>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B Warrants</w:t>
      </w:r>
      <w:r>
        <w:rPr>
          <w:rFonts w:ascii="Times New Roman" w:cs="Times New Roman" w:eastAsia="Times New Roman" w:hAnsi="Times New Roman"/>
          <w:sz w:val="16"/>
          <w:szCs w:val="16"/>
          <w:color w:val="auto"/>
        </w:rPr>
        <w:t xml:space="preserve">” means the Series B common warrants to purchase shares of Common Stock, in the form of </w:t>
      </w:r>
      <w:r>
        <w:rPr>
          <w:rFonts w:ascii="Times New Roman" w:cs="Times New Roman" w:eastAsia="Times New Roman" w:hAnsi="Times New Roman"/>
          <w:sz w:val="16"/>
          <w:szCs w:val="16"/>
          <w:u w:val="single" w:color="auto"/>
          <w:color w:val="auto"/>
        </w:rPr>
        <w:t>Exhibit E</w:t>
      </w:r>
      <w:r>
        <w:rPr>
          <w:rFonts w:ascii="Times New Roman" w:cs="Times New Roman" w:eastAsia="Times New Roman" w:hAnsi="Times New Roman"/>
          <w:sz w:val="16"/>
          <w:szCs w:val="16"/>
          <w:color w:val="auto"/>
        </w:rPr>
        <w:t xml:space="preserve"> attached hereto.</w:t>
      </w:r>
    </w:p>
    <w:p>
      <w:pPr>
        <w:spacing w:after="0" w:line="1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C Warrants</w:t>
      </w:r>
      <w:r>
        <w:rPr>
          <w:rFonts w:ascii="Times New Roman" w:cs="Times New Roman" w:eastAsia="Times New Roman" w:hAnsi="Times New Roman"/>
          <w:sz w:val="16"/>
          <w:szCs w:val="16"/>
          <w:color w:val="auto"/>
        </w:rPr>
        <w:t xml:space="preserve">” means the Series C common warrants to purchase shares of Common Stock, in the form of </w:t>
      </w:r>
      <w:r>
        <w:rPr>
          <w:rFonts w:ascii="Times New Roman" w:cs="Times New Roman" w:eastAsia="Times New Roman" w:hAnsi="Times New Roman"/>
          <w:sz w:val="16"/>
          <w:szCs w:val="16"/>
          <w:u w:val="single" w:color="auto"/>
          <w:color w:val="auto"/>
        </w:rPr>
        <w:t>Exhibit F</w:t>
      </w:r>
      <w:r>
        <w:rPr>
          <w:rFonts w:ascii="Times New Roman" w:cs="Times New Roman" w:eastAsia="Times New Roman" w:hAnsi="Times New Roman"/>
          <w:sz w:val="16"/>
          <w:szCs w:val="16"/>
          <w:color w:val="auto"/>
        </w:rPr>
        <w:t xml:space="preserve"> attached hereto.</w:t>
      </w:r>
    </w:p>
    <w:p>
      <w:pPr>
        <w:spacing w:after="0" w:line="1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A Warrant Shares</w:t>
      </w:r>
      <w:r>
        <w:rPr>
          <w:rFonts w:ascii="Times New Roman" w:cs="Times New Roman" w:eastAsia="Times New Roman" w:hAnsi="Times New Roman"/>
          <w:sz w:val="16"/>
          <w:szCs w:val="16"/>
          <w:color w:val="auto"/>
        </w:rPr>
        <w:t>” means the shares of Common Stock issuable upon exercise of the Series A Warrants.</w:t>
      </w:r>
    </w:p>
    <w:p>
      <w:pPr>
        <w:spacing w:after="0" w:line="1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B Warrant Shares</w:t>
      </w:r>
      <w:r>
        <w:rPr>
          <w:rFonts w:ascii="Times New Roman" w:cs="Times New Roman" w:eastAsia="Times New Roman" w:hAnsi="Times New Roman"/>
          <w:sz w:val="16"/>
          <w:szCs w:val="16"/>
          <w:color w:val="auto"/>
        </w:rPr>
        <w:t>” means the shares of Common Stock issuable upon exercise of the Series B Warrants.</w:t>
      </w:r>
    </w:p>
    <w:p>
      <w:pPr>
        <w:spacing w:after="0" w:line="1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C Warrant Shares</w:t>
      </w:r>
      <w:r>
        <w:rPr>
          <w:rFonts w:ascii="Times New Roman" w:cs="Times New Roman" w:eastAsia="Times New Roman" w:hAnsi="Times New Roman"/>
          <w:sz w:val="16"/>
          <w:szCs w:val="16"/>
          <w:color w:val="auto"/>
        </w:rPr>
        <w:t>” means the shares of Common Stock issuable upon exercise of the Series C Warrants.</w:t>
      </w:r>
    </w:p>
    <w:p>
      <w:pPr>
        <w:spacing w:after="0" w:line="19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means the shares of Common Stock issued or issuable to each Purchaser pursuant to this Agreement.</w:t>
      </w:r>
    </w:p>
    <w:p>
      <w:pPr>
        <w:spacing w:after="0" w:line="194" w:lineRule="exact"/>
        <w:rPr>
          <w:sz w:val="20"/>
          <w:szCs w:val="20"/>
          <w:color w:val="auto"/>
        </w:rPr>
      </w:pPr>
    </w:p>
    <w:p>
      <w:pPr>
        <w:jc w:val="both"/>
        <w:ind w:left="680" w:right="20" w:firstLine="750"/>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Short Sales</w:t>
      </w:r>
      <w:r>
        <w:rPr>
          <w:rFonts w:ascii="Times New Roman" w:cs="Times New Roman" w:eastAsia="Times New Roman" w:hAnsi="Times New Roman"/>
          <w:sz w:val="16"/>
          <w:szCs w:val="16"/>
          <w:color w:val="auto"/>
        </w:rPr>
        <w:t>” means all “short sales” as defined in Rule 200 of Regulation SHO under the Exchange Act (but shall not be deemed to include locating and/or borrowing shares of Common Stock).</w:t>
      </w:r>
    </w:p>
    <w:p>
      <w:pPr>
        <w:spacing w:after="0" w:line="145" w:lineRule="exact"/>
        <w:rPr>
          <w:sz w:val="20"/>
          <w:szCs w:val="20"/>
          <w:color w:val="auto"/>
        </w:rPr>
      </w:pPr>
    </w:p>
    <w:p>
      <w:pPr>
        <w:jc w:val="both"/>
        <w:ind w:left="680" w:right="20" w:firstLine="750"/>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Stockholder Approval</w:t>
      </w:r>
      <w:r>
        <w:rPr>
          <w:rFonts w:ascii="Times New Roman" w:cs="Times New Roman" w:eastAsia="Times New Roman" w:hAnsi="Times New Roman"/>
          <w:sz w:val="16"/>
          <w:szCs w:val="16"/>
          <w:color w:val="auto"/>
        </w:rPr>
        <w:t>” means such approval as may be required by the applicable rules and regulations of The Nasdaq Stock Market LLC (or any successor entity) from the stockholders of the Company to consent to any exercise of the Warrants and issuance of Warrant Shares.</w:t>
      </w:r>
    </w:p>
    <w:p>
      <w:pPr>
        <w:spacing w:after="0" w:line="1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Stockholder Approval Date</w:t>
      </w:r>
      <w:r>
        <w:rPr>
          <w:rFonts w:ascii="Times New Roman" w:cs="Times New Roman" w:eastAsia="Times New Roman" w:hAnsi="Times New Roman"/>
          <w:sz w:val="16"/>
          <w:szCs w:val="16"/>
          <w:color w:val="auto"/>
        </w:rPr>
        <w:t>” means the date on which Stockholder Approval is received.</w:t>
      </w:r>
    </w:p>
    <w:p>
      <w:pPr>
        <w:spacing w:after="0" w:line="194" w:lineRule="exact"/>
        <w:rPr>
          <w:sz w:val="20"/>
          <w:szCs w:val="20"/>
          <w:color w:val="auto"/>
        </w:rPr>
      </w:pPr>
    </w:p>
    <w:p>
      <w:pPr>
        <w:jc w:val="both"/>
        <w:ind w:left="680" w:firstLine="750"/>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Subscription Amount</w:t>
      </w:r>
      <w:r>
        <w:rPr>
          <w:rFonts w:ascii="Times New Roman" w:cs="Times New Roman" w:eastAsia="Times New Roman" w:hAnsi="Times New Roman"/>
          <w:sz w:val="16"/>
          <w:szCs w:val="16"/>
          <w:color w:val="auto"/>
        </w:rPr>
        <w:t>” means, as to each Purchaser, the aggregate amount to be paid for Shares, Pre-Funded Warrants (if applicable) and Warrants purchased hereunder as specified below such Purchaser’s name on the signature page of this Agreement and next to the heading “Subscription Amount,” in United States dollars and in immediately available funds (excluding for the avoidance of doubt, if applicable, a Purchaser’s aggregate exercise price of the Pre-Funded Warrants, which amounts shall be paid as and when such Pre-Funded Warrants are exercised for cash).</w:t>
      </w:r>
    </w:p>
    <w:p>
      <w:pPr>
        <w:spacing w:after="0" w:line="161" w:lineRule="exact"/>
        <w:rPr>
          <w:sz w:val="20"/>
          <w:szCs w:val="20"/>
          <w:color w:val="auto"/>
        </w:rPr>
      </w:pPr>
    </w:p>
    <w:p>
      <w:pPr>
        <w:jc w:val="both"/>
        <w:ind w:left="680" w:right="20" w:firstLine="750"/>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Subsidiary</w:t>
      </w:r>
      <w:r>
        <w:rPr>
          <w:rFonts w:ascii="Times New Roman" w:cs="Times New Roman" w:eastAsia="Times New Roman" w:hAnsi="Times New Roman"/>
          <w:sz w:val="16"/>
          <w:szCs w:val="16"/>
          <w:color w:val="auto"/>
        </w:rPr>
        <w:t>” of any person means any corporation, partnership, limited liability company, joint stock company, joint venture or other organization or entity, whether incorporated or unincorporated, which is Controlled by such Person, and shall, where applicable, also include any direct or indirect subsidiary of the Company formed or acquired after the date of this Agreement.</w:t>
      </w:r>
    </w:p>
    <w:p>
      <w:pPr>
        <w:spacing w:after="0" w:line="15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Trading Day</w:t>
      </w:r>
      <w:r>
        <w:rPr>
          <w:rFonts w:ascii="Times New Roman" w:cs="Times New Roman" w:eastAsia="Times New Roman" w:hAnsi="Times New Roman"/>
          <w:sz w:val="16"/>
          <w:szCs w:val="16"/>
          <w:color w:val="auto"/>
        </w:rPr>
        <w:t>” means a day on which the principal Trading Market is open for trading.</w:t>
      </w:r>
    </w:p>
    <w:p>
      <w:pPr>
        <w:spacing w:after="0" w:line="194" w:lineRule="exact"/>
        <w:rPr>
          <w:sz w:val="20"/>
          <w:szCs w:val="20"/>
          <w:color w:val="auto"/>
        </w:rPr>
      </w:pPr>
    </w:p>
    <w:p>
      <w:pPr>
        <w:jc w:val="both"/>
        <w:ind w:left="680" w:firstLine="750"/>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Trading Market</w:t>
      </w:r>
      <w:r>
        <w:rPr>
          <w:rFonts w:ascii="Times New Roman" w:cs="Times New Roman" w:eastAsia="Times New Roman" w:hAnsi="Times New Roman"/>
          <w:sz w:val="16"/>
          <w:szCs w:val="16"/>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57" w:lineRule="exact"/>
        <w:rPr>
          <w:sz w:val="20"/>
          <w:szCs w:val="20"/>
          <w:color w:val="auto"/>
        </w:rPr>
      </w:pPr>
    </w:p>
    <w:p>
      <w:pPr>
        <w:jc w:val="both"/>
        <w:ind w:left="680" w:right="20" w:firstLine="750"/>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Transaction Documents</w:t>
      </w:r>
      <w:r>
        <w:rPr>
          <w:rFonts w:ascii="Times New Roman" w:cs="Times New Roman" w:eastAsia="Times New Roman" w:hAnsi="Times New Roman"/>
          <w:sz w:val="16"/>
          <w:szCs w:val="16"/>
          <w:color w:val="auto"/>
        </w:rPr>
        <w:t>” means this Agreement, the Pre-Funded Warrants, the Series A Warrants, the Series B Warrants, the Series C Warrants, the Lock-Up Agreements, the Placement Agency Agreement, the Registration Rights Agreement, all exhibits and schedules thereto and hereto and any other documents or agreements executed in connection with the transactions contemplated hereunder.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394335</wp:posOffset>
            </wp:positionV>
            <wp:extent cx="7174865"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258" w:right="319" w:bottom="1440" w:gutter="0" w:footer="0" w:header="0"/>
        </w:sectPr>
      </w:pPr>
    </w:p>
    <w:bookmarkStart w:id="102" w:name="page103"/>
    <w:bookmarkEnd w:id="102"/>
    <w:p>
      <w:pPr>
        <w:ind w:left="740" w:right="20" w:firstLine="750"/>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Transfer Agent</w:t>
      </w:r>
      <w:r>
        <w:rPr>
          <w:rFonts w:ascii="Times New Roman" w:cs="Times New Roman" w:eastAsia="Times New Roman" w:hAnsi="Times New Roman"/>
          <w:sz w:val="16"/>
          <w:szCs w:val="16"/>
          <w:color w:val="auto"/>
        </w:rPr>
        <w:t>” means Equiniti Trust Company, LLC, the current transfer agent of the Company, with a mailing address of 1110 Centre Point Curve, Suite 101, Mendota Heights, MN 55120 , and any successor transfer agent of the Company.</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Variable Rate Transaction</w:t>
      </w:r>
      <w:r>
        <w:rPr>
          <w:rFonts w:ascii="Times New Roman" w:cs="Times New Roman" w:eastAsia="Times New Roman" w:hAnsi="Times New Roman"/>
          <w:sz w:val="16"/>
          <w:szCs w:val="16"/>
          <w:color w:val="auto"/>
        </w:rPr>
        <w:t xml:space="preserve">” shall have the meaning ascribed to such term in </w:t>
      </w:r>
      <w:r>
        <w:rPr>
          <w:rFonts w:ascii="Times New Roman" w:cs="Times New Roman" w:eastAsia="Times New Roman" w:hAnsi="Times New Roman"/>
          <w:sz w:val="16"/>
          <w:szCs w:val="16"/>
          <w:u w:val="single" w:color="auto"/>
          <w:color w:val="auto"/>
        </w:rPr>
        <w:t>Section 4.12(b)</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Warrants</w:t>
      </w:r>
      <w:r>
        <w:rPr>
          <w:rFonts w:ascii="Times New Roman" w:cs="Times New Roman" w:eastAsia="Times New Roman" w:hAnsi="Times New Roman"/>
          <w:sz w:val="16"/>
          <w:szCs w:val="16"/>
          <w:color w:val="auto"/>
        </w:rPr>
        <w:t>” means, collectively, the Pre-Funded Warrants, the Series A Warrants, the Series B Warrants, and the Series C Warrants.</w:t>
      </w:r>
    </w:p>
    <w:p>
      <w:pPr>
        <w:spacing w:after="0" w:line="194" w:lineRule="exact"/>
        <w:rPr>
          <w:sz w:val="20"/>
          <w:szCs w:val="20"/>
          <w:color w:val="auto"/>
        </w:rPr>
      </w:pPr>
    </w:p>
    <w:p>
      <w:pPr>
        <w:ind w:left="740" w:right="20" w:firstLine="750"/>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Warrant Shares</w:t>
      </w:r>
      <w:r>
        <w:rPr>
          <w:rFonts w:ascii="Times New Roman" w:cs="Times New Roman" w:eastAsia="Times New Roman" w:hAnsi="Times New Roman"/>
          <w:sz w:val="16"/>
          <w:szCs w:val="16"/>
          <w:color w:val="auto"/>
        </w:rPr>
        <w:t>” means the shares of Common Stock issuable upon exercise of each of the Pre-Funded Warrants, the Series A Warrants, the Series B Warrants, and the Series C Warrants.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PURCHASE AND SALE</w:t>
      </w:r>
    </w:p>
    <w:p>
      <w:pPr>
        <w:spacing w:after="0" w:line="177" w:lineRule="exact"/>
        <w:rPr>
          <w:sz w:val="20"/>
          <w:szCs w:val="20"/>
          <w:color w:val="auto"/>
        </w:rPr>
      </w:pPr>
    </w:p>
    <w:p>
      <w:pPr>
        <w:jc w:val="both"/>
        <w:ind w:firstLine="751"/>
        <w:spacing w:after="0" w:line="248"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xml:space="preserve">. On the Closing Date, upon the terms and subject to the conditions set forth herein, the Company agrees to sell, and the Purchasers, severally and not jointly, agree to purchase approximately $3,500,002.47 of the Securities, which includes, (i) the number of Shares set forth under the heading “Subscription Amount” on the Purchaser’s signature page hereto, at the Per Share Purchase Price, and (ii) Warrants exercisable for shares of Common Stock as calculated pursuant to </w:t>
      </w:r>
      <w:r>
        <w:rPr>
          <w:rFonts w:ascii="Times New Roman" w:cs="Times New Roman" w:eastAsia="Times New Roman" w:hAnsi="Times New Roman"/>
          <w:sz w:val="16"/>
          <w:szCs w:val="16"/>
          <w:u w:val="single" w:color="auto"/>
          <w:color w:val="auto"/>
        </w:rPr>
        <w:t>Section 2.2(a)</w:t>
      </w:r>
      <w:r>
        <w:rPr>
          <w:rFonts w:ascii="Times New Roman" w:cs="Times New Roman" w:eastAsia="Times New Roman" w:hAnsi="Times New Roman"/>
          <w:sz w:val="16"/>
          <w:szCs w:val="16"/>
          <w:color w:val="auto"/>
        </w:rPr>
        <w:t xml:space="preserve">. Notwithstanding anything herein to the contrary, to the extent that any Purchaser determines, in its sole discretion, that the Purchaser’s Subscription Amount would cause such Purchaser’s beneficial ownership of the shares of Common Stock to exceed the Beneficial Ownership Limitation, or as such Purchaser may otherwise choose, such Purchaser may elect to purchase Pre-Funded Warrants in lieu of the Shares as determined pursuant to </w:t>
      </w:r>
      <w:r>
        <w:rPr>
          <w:rFonts w:ascii="Times New Roman" w:cs="Times New Roman" w:eastAsia="Times New Roman" w:hAnsi="Times New Roman"/>
          <w:sz w:val="16"/>
          <w:szCs w:val="16"/>
          <w:u w:val="single" w:color="auto"/>
          <w:color w:val="auto"/>
        </w:rPr>
        <w:t>Section 2.2(a)</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Beneficial Ownership Limitation</w:t>
      </w:r>
      <w:r>
        <w:rPr>
          <w:rFonts w:ascii="Times New Roman" w:cs="Times New Roman" w:eastAsia="Times New Roman" w:hAnsi="Times New Roman"/>
          <w:sz w:val="16"/>
          <w:szCs w:val="16"/>
          <w:color w:val="auto"/>
        </w:rPr>
        <w:t>” shall be 4.99% (or, at the election of each Purchaser at Closing, 9.99%) of the number of shares of the Common Stock outstanding immediately after giving effect to the issuance of the Securities on the Closing Date. Each Purchaser’s Subscription Amount as set forth on the signature page hereto executed by such Purchaser shall be made available for “Delivery Versus Payment” (“</w:t>
      </w:r>
      <w:r>
        <w:rPr>
          <w:rFonts w:ascii="Times New Roman" w:cs="Times New Roman" w:eastAsia="Times New Roman" w:hAnsi="Times New Roman"/>
          <w:sz w:val="16"/>
          <w:szCs w:val="16"/>
          <w:u w:val="single" w:color="auto"/>
          <w:color w:val="auto"/>
        </w:rPr>
        <w:t>DVP</w:t>
      </w:r>
      <w:r>
        <w:rPr>
          <w:rFonts w:ascii="Times New Roman" w:cs="Times New Roman" w:eastAsia="Times New Roman" w:hAnsi="Times New Roman"/>
          <w:sz w:val="16"/>
          <w:szCs w:val="16"/>
          <w:color w:val="auto"/>
        </w:rPr>
        <w:t xml:space="preserve">”) settlement with the Company or its designees. Notwithstanding the foregoing, with respect to any Notice(s) of Exercise (as defined in the Pre-Funded Warrants) delivered on or prior to 12:00 p.m. (New York City time) on the Closing Date, which may be delivered at any time after the time of execution of this Agreement, the Company agrees to deliver the Pre-Funded Warrant Shares subject to such notice(s) by 4:00 p.m. (New York City time) on the Closing Date and the Closing Date shall be the Warrant Share Delivery Date (as defined in the Pre-Funded Warrants) for purposes hereunder, provided that payment of the aggregate Exercise Price (as defined in the Pre-Funded Warrants) (other than in the case of a cashless exercise) is received by such Warrant Share Delivery Date. The Company and each Purchaser shall deliver the other items set forth in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deliverable at the Closing. Upon satisfaction of the covenants and conditions set forth in </w:t>
      </w:r>
      <w:r>
        <w:rPr>
          <w:rFonts w:ascii="Times New Roman" w:cs="Times New Roman" w:eastAsia="Times New Roman" w:hAnsi="Times New Roman"/>
          <w:sz w:val="16"/>
          <w:szCs w:val="16"/>
          <w:u w:val="single" w:color="auto"/>
          <w:color w:val="auto"/>
        </w:rPr>
        <w:t>Sections 2.2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the Closing shall occur remotely or such location as the parties shall mutually agree. Settlement of the Shares shall occur via DVP when such Purchaser makes payment of the Subscription Amount by wire transfer of immediately available funds to a bank account designated by the Company, upon which payment the Company shall issue the Shares registered in such Purchaser’s name and address and released by the Transfer Agent directly to the account(s) at the Placement Agent identified by such Purchaser; upon receipt of such Shares, the Placement Agent shall promptly electronically deliver such Shares to the Purchaser.</w:t>
      </w:r>
    </w:p>
    <w:p>
      <w:pPr>
        <w:spacing w:after="0" w:line="1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Deliveries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color w:val="auto"/>
        </w:rPr>
        <w:t>(a) On or prior to the Closing Date, the Company shall deliver or cause to be delivered to each Purchaser the following:</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0"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394335</wp:posOffset>
            </wp:positionV>
            <wp:extent cx="7174865"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103" w:name="page104"/>
    <w:bookmarkEnd w:id="103"/>
    <w:p>
      <w:pPr>
        <w:ind w:left="1340" w:hanging="548"/>
        <w:spacing w:after="0"/>
        <w:tabs>
          <w:tab w:leader="none" w:pos="1340" w:val="left"/>
        </w:tabs>
        <w:numPr>
          <w:ilvl w:val="2"/>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duly executed by the Company;</w:t>
      </w:r>
    </w:p>
    <w:p>
      <w:pPr>
        <w:spacing w:after="0" w:line="194" w:lineRule="exact"/>
        <w:rPr>
          <w:rFonts w:ascii="Times New Roman" w:cs="Times New Roman" w:eastAsia="Times New Roman" w:hAnsi="Times New Roman"/>
          <w:sz w:val="16"/>
          <w:szCs w:val="16"/>
          <w:color w:val="auto"/>
        </w:rPr>
      </w:pPr>
    </w:p>
    <w:p>
      <w:pPr>
        <w:ind w:left="1340" w:hanging="548"/>
        <w:spacing w:after="0"/>
        <w:tabs>
          <w:tab w:leader="none" w:pos="1340" w:val="left"/>
        </w:tabs>
        <w:numPr>
          <w:ilvl w:val="2"/>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legal opinion of Company Counsel in a form reasonably acceptable to the Placement Agent;</w:t>
      </w:r>
    </w:p>
    <w:p>
      <w:pPr>
        <w:spacing w:after="0" w:line="194" w:lineRule="exact"/>
        <w:rPr>
          <w:rFonts w:ascii="Times New Roman" w:cs="Times New Roman" w:eastAsia="Times New Roman" w:hAnsi="Times New Roman"/>
          <w:sz w:val="16"/>
          <w:szCs w:val="16"/>
          <w:color w:val="auto"/>
        </w:rPr>
      </w:pPr>
    </w:p>
    <w:p>
      <w:pPr>
        <w:ind w:left="1340" w:hanging="548"/>
        <w:spacing w:after="0" w:line="276" w:lineRule="auto"/>
        <w:tabs>
          <w:tab w:leader="none" w:pos="1340" w:val="left"/>
        </w:tabs>
        <w:numPr>
          <w:ilvl w:val="2"/>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provided each Purchaser with the Company’s wire instructions, on Company letterhead and executed by the Chief Executive Officer or Chief Financial Officer;</w:t>
      </w:r>
    </w:p>
    <w:p>
      <w:pPr>
        <w:spacing w:after="0" w:line="144" w:lineRule="exact"/>
        <w:rPr>
          <w:rFonts w:ascii="Times New Roman" w:cs="Times New Roman" w:eastAsia="Times New Roman" w:hAnsi="Times New Roman"/>
          <w:sz w:val="16"/>
          <w:szCs w:val="16"/>
          <w:color w:val="auto"/>
        </w:rPr>
      </w:pPr>
    </w:p>
    <w:p>
      <w:pPr>
        <w:jc w:val="both"/>
        <w:ind w:left="1340" w:hanging="548"/>
        <w:spacing w:after="0" w:line="256" w:lineRule="auto"/>
        <w:tabs>
          <w:tab w:leader="none" w:pos="1340" w:val="left"/>
        </w:tabs>
        <w:numPr>
          <w:ilvl w:val="2"/>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the irrevocable instructions to the Transfer Agent instructing the Transfer Agent to deliver on an expedited basis a certificate (or book entry statement) evidencing a number of Shares equal to such Purchaser’s Subscription Amount divided by the Per Share Purchase Price, registered in the name of such Purchaser, or, at the election of such Purchaser, evidence of the issuance of such Shares hereunder as held in DRS book-entry form by the Transfer Agent and registered in the name of such Purchaser, which evidence shall be reasonably satisfactory to such Purchaser;</w:t>
      </w:r>
    </w:p>
    <w:p>
      <w:pPr>
        <w:spacing w:after="0" w:line="161" w:lineRule="exact"/>
        <w:rPr>
          <w:rFonts w:ascii="Times New Roman" w:cs="Times New Roman" w:eastAsia="Times New Roman" w:hAnsi="Times New Roman"/>
          <w:sz w:val="16"/>
          <w:szCs w:val="16"/>
          <w:color w:val="auto"/>
        </w:rPr>
      </w:pPr>
    </w:p>
    <w:p>
      <w:pPr>
        <w:jc w:val="both"/>
        <w:ind w:left="1340" w:hanging="548"/>
        <w:spacing w:after="0" w:line="286" w:lineRule="auto"/>
        <w:tabs>
          <w:tab w:leader="none" w:pos="1340" w:val="left"/>
        </w:tabs>
        <w:numPr>
          <w:ilvl w:val="2"/>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for each Purchaser of Pre-Funded Warrants pursuant to Section 2.1, a Pre-Funded Warrant registered in the name of such Purchaser to purchase up to a number of shares of Common Stock equal to the portion of such Purchaser’s Subscription Amount applicable to Pre-Funded Warrants divided by the Per Share Purchase Price minus $0.0001, with an exercise price equal to $0.0001 per share of Common Stock, subject to adjustment therein;</w:t>
      </w:r>
    </w:p>
    <w:p>
      <w:pPr>
        <w:spacing w:after="0" w:line="140" w:lineRule="exact"/>
        <w:rPr>
          <w:rFonts w:ascii="Times New Roman" w:cs="Times New Roman" w:eastAsia="Times New Roman" w:hAnsi="Times New Roman"/>
          <w:sz w:val="15"/>
          <w:szCs w:val="15"/>
          <w:color w:val="auto"/>
        </w:rPr>
      </w:pPr>
    </w:p>
    <w:p>
      <w:pPr>
        <w:ind w:left="1340" w:right="20" w:hanging="548"/>
        <w:spacing w:after="0" w:line="276" w:lineRule="auto"/>
        <w:tabs>
          <w:tab w:leader="none" w:pos="1386" w:val="left"/>
        </w:tabs>
        <w:numPr>
          <w:ilvl w:val="2"/>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Series A Warrants registered in the name of each Purchaser to purchase up to a number of shares of Common Stock equal to 100% of the Shares, with an exercise price equal to $5.91, subject to adjustment therein;</w:t>
      </w:r>
    </w:p>
    <w:p>
      <w:pPr>
        <w:spacing w:after="0" w:line="144" w:lineRule="exact"/>
        <w:rPr>
          <w:rFonts w:ascii="Times New Roman" w:cs="Times New Roman" w:eastAsia="Times New Roman" w:hAnsi="Times New Roman"/>
          <w:sz w:val="16"/>
          <w:szCs w:val="16"/>
          <w:color w:val="auto"/>
        </w:rPr>
      </w:pPr>
    </w:p>
    <w:p>
      <w:pPr>
        <w:ind w:left="1340" w:right="20" w:hanging="548"/>
        <w:spacing w:after="0" w:line="276" w:lineRule="auto"/>
        <w:tabs>
          <w:tab w:leader="none" w:pos="1340" w:val="left"/>
        </w:tabs>
        <w:numPr>
          <w:ilvl w:val="2"/>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Series B Warrants registered in the name of each Purchaser to purchase up to a number of shares of Common Stock equal to 100% of the Shares, with an exercise price equal to $5.91, subject to adjustment therein;</w:t>
      </w:r>
    </w:p>
    <w:p>
      <w:pPr>
        <w:spacing w:after="0" w:line="144" w:lineRule="exact"/>
        <w:rPr>
          <w:rFonts w:ascii="Times New Roman" w:cs="Times New Roman" w:eastAsia="Times New Roman" w:hAnsi="Times New Roman"/>
          <w:sz w:val="16"/>
          <w:szCs w:val="16"/>
          <w:color w:val="auto"/>
        </w:rPr>
      </w:pPr>
    </w:p>
    <w:p>
      <w:pPr>
        <w:ind w:left="1340" w:right="20" w:hanging="548"/>
        <w:spacing w:after="0" w:line="276" w:lineRule="auto"/>
        <w:tabs>
          <w:tab w:leader="none" w:pos="1340" w:val="left"/>
        </w:tabs>
        <w:numPr>
          <w:ilvl w:val="2"/>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Series C Warrants registered in the name of each Purchaser to purchase up to a number of shares of Common Stock equal to 100% of the Shares, with an exercise price equal to $5.91, subject to adjustment therein;</w:t>
      </w:r>
    </w:p>
    <w:p>
      <w:pPr>
        <w:spacing w:after="0" w:line="144" w:lineRule="exact"/>
        <w:rPr>
          <w:rFonts w:ascii="Times New Roman" w:cs="Times New Roman" w:eastAsia="Times New Roman" w:hAnsi="Times New Roman"/>
          <w:sz w:val="16"/>
          <w:szCs w:val="16"/>
          <w:color w:val="auto"/>
        </w:rPr>
      </w:pPr>
    </w:p>
    <w:p>
      <w:pPr>
        <w:ind w:left="1220" w:hanging="428"/>
        <w:spacing w:after="0"/>
        <w:tabs>
          <w:tab w:leader="none" w:pos="1220" w:val="left"/>
        </w:tabs>
        <w:numPr>
          <w:ilvl w:val="2"/>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Registration Rights Agreement duly executed by the Company;</w:t>
      </w:r>
    </w:p>
    <w:p>
      <w:pPr>
        <w:spacing w:after="0" w:line="194" w:lineRule="exact"/>
        <w:rPr>
          <w:rFonts w:ascii="Times New Roman" w:cs="Times New Roman" w:eastAsia="Times New Roman" w:hAnsi="Times New Roman"/>
          <w:sz w:val="16"/>
          <w:szCs w:val="16"/>
          <w:color w:val="auto"/>
        </w:rPr>
      </w:pPr>
    </w:p>
    <w:p>
      <w:pPr>
        <w:ind w:left="1220" w:hanging="428"/>
        <w:spacing w:after="0"/>
        <w:tabs>
          <w:tab w:leader="none" w:pos="1220" w:val="left"/>
        </w:tabs>
        <w:numPr>
          <w:ilvl w:val="2"/>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Officer’s Certificate, in form and substance reasonably satisfactory to the Placement Agent;</w:t>
      </w:r>
    </w:p>
    <w:p>
      <w:pPr>
        <w:spacing w:after="0" w:line="194" w:lineRule="exact"/>
        <w:rPr>
          <w:rFonts w:ascii="Times New Roman" w:cs="Times New Roman" w:eastAsia="Times New Roman" w:hAnsi="Times New Roman"/>
          <w:sz w:val="16"/>
          <w:szCs w:val="16"/>
          <w:color w:val="auto"/>
        </w:rPr>
      </w:pPr>
    </w:p>
    <w:p>
      <w:pPr>
        <w:ind w:left="1220" w:hanging="428"/>
        <w:spacing w:after="0"/>
        <w:tabs>
          <w:tab w:leader="none" w:pos="1220" w:val="left"/>
        </w:tabs>
        <w:numPr>
          <w:ilvl w:val="2"/>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Secretary’s Certificate, in form and substance reasonably satisfactory to the Placement Agent; and</w:t>
      </w:r>
    </w:p>
    <w:p>
      <w:pPr>
        <w:spacing w:after="0" w:line="194" w:lineRule="exact"/>
        <w:rPr>
          <w:rFonts w:ascii="Times New Roman" w:cs="Times New Roman" w:eastAsia="Times New Roman" w:hAnsi="Times New Roman"/>
          <w:sz w:val="16"/>
          <w:szCs w:val="16"/>
          <w:color w:val="auto"/>
        </w:rPr>
      </w:pPr>
    </w:p>
    <w:p>
      <w:pPr>
        <w:ind w:left="1260" w:hanging="468"/>
        <w:spacing w:after="0"/>
        <w:tabs>
          <w:tab w:leader="none" w:pos="1260" w:val="left"/>
        </w:tabs>
        <w:numPr>
          <w:ilvl w:val="2"/>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Lock-Up Agreements duly executed by each executive officer and director of the Company.</w:t>
      </w:r>
    </w:p>
    <w:p>
      <w:pPr>
        <w:spacing w:after="0" w:line="194" w:lineRule="exact"/>
        <w:rPr>
          <w:rFonts w:ascii="Times New Roman" w:cs="Times New Roman" w:eastAsia="Times New Roman" w:hAnsi="Times New Roman"/>
          <w:sz w:val="16"/>
          <w:szCs w:val="16"/>
          <w:color w:val="auto"/>
        </w:rPr>
      </w:pPr>
    </w:p>
    <w:p>
      <w:pPr>
        <w:ind w:left="340" w:hanging="287"/>
        <w:spacing w:after="0"/>
        <w:tabs>
          <w:tab w:leader="none" w:pos="34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prior to the Closing Date, each Purchaser shall deliver or cause to be delivered to the Company the following:</w:t>
      </w:r>
    </w:p>
    <w:p>
      <w:pPr>
        <w:spacing w:after="0" w:line="194" w:lineRule="exact"/>
        <w:rPr>
          <w:rFonts w:ascii="Times New Roman" w:cs="Times New Roman" w:eastAsia="Times New Roman" w:hAnsi="Times New Roman"/>
          <w:sz w:val="16"/>
          <w:szCs w:val="16"/>
          <w:color w:val="auto"/>
        </w:rPr>
      </w:pPr>
    </w:p>
    <w:p>
      <w:pPr>
        <w:ind w:left="1120" w:hanging="340"/>
        <w:spacing w:after="0"/>
        <w:tabs>
          <w:tab w:leader="none" w:pos="1120"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duly executed by such Purchaser;</w:t>
      </w:r>
    </w:p>
    <w:p>
      <w:pPr>
        <w:spacing w:after="0" w:line="194" w:lineRule="exact"/>
        <w:rPr>
          <w:rFonts w:ascii="Times New Roman" w:cs="Times New Roman" w:eastAsia="Times New Roman" w:hAnsi="Times New Roman"/>
          <w:sz w:val="16"/>
          <w:szCs w:val="16"/>
          <w:color w:val="auto"/>
        </w:rPr>
      </w:pPr>
    </w:p>
    <w:p>
      <w:pPr>
        <w:ind w:left="1120" w:hanging="340"/>
        <w:spacing w:after="0"/>
        <w:tabs>
          <w:tab w:leader="none" w:pos="1120"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Purchaser’s Subscription Amount, which shall be made available for DVP settlement with the Company or its designees; and</w:t>
      </w:r>
    </w:p>
    <w:p>
      <w:pPr>
        <w:spacing w:after="0" w:line="194" w:lineRule="exact"/>
        <w:rPr>
          <w:rFonts w:ascii="Times New Roman" w:cs="Times New Roman" w:eastAsia="Times New Roman" w:hAnsi="Times New Roman"/>
          <w:sz w:val="16"/>
          <w:szCs w:val="16"/>
          <w:color w:val="auto"/>
        </w:rPr>
      </w:pPr>
    </w:p>
    <w:p>
      <w:pPr>
        <w:ind w:left="1120" w:hanging="340"/>
        <w:spacing w:after="0"/>
        <w:tabs>
          <w:tab w:leader="none" w:pos="1120"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Registration Rights Agreement duly executed by such Purchaser.</w:t>
      </w:r>
    </w:p>
    <w:p>
      <w:pPr>
        <w:spacing w:after="0" w:line="19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16"/>
          <w:szCs w:val="16"/>
          <w:u w:val="single" w:color="auto"/>
          <w:color w:val="auto"/>
        </w:rPr>
        <w:t>Closing Conditions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382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394335</wp:posOffset>
            </wp:positionV>
            <wp:extent cx="7174865"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80" w:top="1258" w:right="259" w:bottom="1440" w:gutter="0" w:footer="0" w:header="0"/>
        </w:sectPr>
      </w:pPr>
    </w:p>
    <w:bookmarkStart w:id="104" w:name="page105"/>
    <w:bookmarkEnd w:id="104"/>
    <w:p>
      <w:pPr>
        <w:ind w:left="1720" w:hanging="224"/>
        <w:spacing w:after="0"/>
        <w:tabs>
          <w:tab w:leader="none" w:pos="1720"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obligations of the Company hereunder in connection with the Closing are subject to the following conditions being met:</w:t>
      </w:r>
    </w:p>
    <w:p>
      <w:pPr>
        <w:spacing w:after="0" w:line="194" w:lineRule="exact"/>
        <w:rPr>
          <w:rFonts w:ascii="Times New Roman" w:cs="Times New Roman" w:eastAsia="Times New Roman" w:hAnsi="Times New Roman"/>
          <w:sz w:val="16"/>
          <w:szCs w:val="16"/>
          <w:color w:val="auto"/>
        </w:rPr>
      </w:pPr>
    </w:p>
    <w:p>
      <w:pPr>
        <w:jc w:val="both"/>
        <w:ind w:left="340" w:hanging="227"/>
        <w:spacing w:after="0" w:line="261" w:lineRule="auto"/>
        <w:tabs>
          <w:tab w:leader="none" w:pos="34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as of such date);</w:t>
      </w:r>
    </w:p>
    <w:p>
      <w:pPr>
        <w:spacing w:after="0" w:line="156" w:lineRule="exact"/>
        <w:rPr>
          <w:rFonts w:ascii="Times New Roman" w:cs="Times New Roman" w:eastAsia="Times New Roman" w:hAnsi="Times New Roman"/>
          <w:sz w:val="16"/>
          <w:szCs w:val="16"/>
          <w:color w:val="auto"/>
        </w:rPr>
      </w:pPr>
    </w:p>
    <w:p>
      <w:pPr>
        <w:ind w:left="400" w:hanging="287"/>
        <w:spacing w:after="0"/>
        <w:tabs>
          <w:tab w:leader="none" w:pos="40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obligations, covenants and agreements of each Purchaser required to be performed at or prior to the Closing Date shall have been performed; and</w:t>
      </w:r>
    </w:p>
    <w:p>
      <w:pPr>
        <w:spacing w:after="0" w:line="194" w:lineRule="exact"/>
        <w:rPr>
          <w:rFonts w:ascii="Times New Roman" w:cs="Times New Roman" w:eastAsia="Times New Roman" w:hAnsi="Times New Roman"/>
          <w:sz w:val="16"/>
          <w:szCs w:val="16"/>
          <w:color w:val="auto"/>
        </w:rPr>
      </w:pPr>
    </w:p>
    <w:p>
      <w:pPr>
        <w:ind w:left="560" w:hanging="447"/>
        <w:spacing w:after="0"/>
        <w:tabs>
          <w:tab w:leader="none" w:pos="56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delivery by each Purchaser of the items set forth in </w:t>
      </w:r>
      <w:r>
        <w:rPr>
          <w:rFonts w:ascii="Times New Roman" w:cs="Times New Roman" w:eastAsia="Times New Roman" w:hAnsi="Times New Roman"/>
          <w:sz w:val="16"/>
          <w:szCs w:val="16"/>
          <w:u w:val="single" w:color="auto"/>
          <w:color w:val="auto"/>
        </w:rPr>
        <w:t>Section 2.2(b)</w:t>
      </w:r>
      <w:r>
        <w:rPr>
          <w:rFonts w:ascii="Times New Roman" w:cs="Times New Roman" w:eastAsia="Times New Roman" w:hAnsi="Times New Roman"/>
          <w:sz w:val="16"/>
          <w:szCs w:val="16"/>
          <w:color w:val="auto"/>
        </w:rPr>
        <w:t xml:space="preserve"> of this Agreement.</w:t>
      </w:r>
    </w:p>
    <w:p>
      <w:pPr>
        <w:spacing w:after="0" w:line="194" w:lineRule="exact"/>
        <w:rPr>
          <w:rFonts w:ascii="Times New Roman" w:cs="Times New Roman" w:eastAsia="Times New Roman" w:hAnsi="Times New Roman"/>
          <w:sz w:val="16"/>
          <w:szCs w:val="16"/>
          <w:color w:val="auto"/>
        </w:rPr>
      </w:pPr>
    </w:p>
    <w:p>
      <w:pPr>
        <w:ind w:left="1720" w:hanging="224"/>
        <w:spacing w:after="0"/>
        <w:tabs>
          <w:tab w:leader="none" w:pos="1720"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respective obligations of each Purchaser in connection with the Closing are subject to the following conditions being met:</w:t>
      </w:r>
    </w:p>
    <w:p>
      <w:pPr>
        <w:spacing w:after="0" w:line="194" w:lineRule="exact"/>
        <w:rPr>
          <w:sz w:val="20"/>
          <w:szCs w:val="20"/>
          <w:color w:val="auto"/>
        </w:rPr>
      </w:pPr>
    </w:p>
    <w:p>
      <w:pPr>
        <w:jc w:val="both"/>
        <w:ind w:left="340" w:hanging="227"/>
        <w:spacing w:after="0" w:line="261" w:lineRule="auto"/>
        <w:tabs>
          <w:tab w:leader="none" w:pos="34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56" w:lineRule="exact"/>
        <w:rPr>
          <w:rFonts w:ascii="Times New Roman" w:cs="Times New Roman" w:eastAsia="Times New Roman" w:hAnsi="Times New Roman"/>
          <w:sz w:val="16"/>
          <w:szCs w:val="16"/>
          <w:color w:val="auto"/>
        </w:rPr>
      </w:pPr>
    </w:p>
    <w:p>
      <w:pPr>
        <w:ind w:left="400" w:hanging="287"/>
        <w:spacing w:after="0"/>
        <w:tabs>
          <w:tab w:leader="none" w:pos="40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obligations, covenants and agreements of the Company required to be performed at or prior to the Closing Date shall have been performed;</w:t>
      </w:r>
    </w:p>
    <w:p>
      <w:pPr>
        <w:spacing w:after="0" w:line="194" w:lineRule="exact"/>
        <w:rPr>
          <w:rFonts w:ascii="Times New Roman" w:cs="Times New Roman" w:eastAsia="Times New Roman" w:hAnsi="Times New Roman"/>
          <w:sz w:val="16"/>
          <w:szCs w:val="16"/>
          <w:color w:val="auto"/>
        </w:rPr>
      </w:pPr>
    </w:p>
    <w:p>
      <w:pPr>
        <w:ind w:left="580" w:hanging="467"/>
        <w:spacing w:after="0"/>
        <w:tabs>
          <w:tab w:leader="none" w:pos="58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delivery by the Company of the items set forth in </w:t>
      </w:r>
      <w:r>
        <w:rPr>
          <w:rFonts w:ascii="Times New Roman" w:cs="Times New Roman" w:eastAsia="Times New Roman" w:hAnsi="Times New Roman"/>
          <w:sz w:val="16"/>
          <w:szCs w:val="16"/>
          <w:u w:val="single" w:color="auto"/>
          <w:color w:val="auto"/>
        </w:rPr>
        <w:t>Section 2.2(a)</w:t>
      </w:r>
      <w:r>
        <w:rPr>
          <w:rFonts w:ascii="Times New Roman" w:cs="Times New Roman" w:eastAsia="Times New Roman" w:hAnsi="Times New Roman"/>
          <w:sz w:val="16"/>
          <w:szCs w:val="16"/>
          <w:color w:val="auto"/>
        </w:rPr>
        <w:t xml:space="preserve"> of this Agreement;</w:t>
      </w:r>
    </w:p>
    <w:p>
      <w:pPr>
        <w:spacing w:after="0" w:line="194" w:lineRule="exact"/>
        <w:rPr>
          <w:rFonts w:ascii="Times New Roman" w:cs="Times New Roman" w:eastAsia="Times New Roman" w:hAnsi="Times New Roman"/>
          <w:sz w:val="16"/>
          <w:szCs w:val="16"/>
          <w:color w:val="auto"/>
        </w:rPr>
      </w:pPr>
    </w:p>
    <w:p>
      <w:pPr>
        <w:ind w:left="480" w:hanging="367"/>
        <w:spacing w:after="0"/>
        <w:tabs>
          <w:tab w:leader="none" w:pos="48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shall have been no Material Adverse Effect with respect to the Company since the date hereof; and</w:t>
      </w:r>
    </w:p>
    <w:p>
      <w:pPr>
        <w:spacing w:after="0" w:line="194" w:lineRule="exact"/>
        <w:rPr>
          <w:rFonts w:ascii="Times New Roman" w:cs="Times New Roman" w:eastAsia="Times New Roman" w:hAnsi="Times New Roman"/>
          <w:sz w:val="16"/>
          <w:szCs w:val="16"/>
          <w:color w:val="auto"/>
        </w:rPr>
      </w:pPr>
    </w:p>
    <w:p>
      <w:pPr>
        <w:jc w:val="both"/>
        <w:ind w:left="400" w:right="20" w:hanging="287"/>
        <w:spacing w:after="0" w:line="252" w:lineRule="auto"/>
        <w:tabs>
          <w:tab w:leader="none" w:pos="40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the Purchaser, makes it impracticable or inadvisable to purchase the Securities at the Closing.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REPRESENTATIONS AND WARRANTIES</w:t>
      </w:r>
    </w:p>
    <w:p>
      <w:pPr>
        <w:spacing w:after="0" w:line="177" w:lineRule="exact"/>
        <w:rPr>
          <w:sz w:val="20"/>
          <w:szCs w:val="20"/>
          <w:color w:val="auto"/>
        </w:rPr>
      </w:pPr>
    </w:p>
    <w:p>
      <w:pPr>
        <w:jc w:val="both"/>
        <w:ind w:right="20" w:firstLine="751"/>
        <w:spacing w:after="0" w:line="261"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Representations and Warranties of the Company</w:t>
      </w:r>
      <w:r>
        <w:rPr>
          <w:rFonts w:ascii="Times New Roman" w:cs="Times New Roman" w:eastAsia="Times New Roman" w:hAnsi="Times New Roman"/>
          <w:sz w:val="16"/>
          <w:szCs w:val="16"/>
          <w:color w:val="auto"/>
        </w:rPr>
        <w:t>. Except as set forth in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the Purchaser:</w:t>
      </w:r>
    </w:p>
    <w:p>
      <w:pPr>
        <w:spacing w:after="0" w:line="157" w:lineRule="exact"/>
        <w:rPr>
          <w:sz w:val="20"/>
          <w:szCs w:val="20"/>
          <w:color w:val="auto"/>
        </w:rPr>
      </w:pPr>
    </w:p>
    <w:p>
      <w:pPr>
        <w:jc w:val="both"/>
        <w:ind w:firstLine="1496"/>
        <w:spacing w:after="0" w:line="279" w:lineRule="auto"/>
        <w:tabs>
          <w:tab w:leader="none" w:pos="1715"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Organization and Good Standing</w:t>
      </w:r>
      <w:r>
        <w:rPr>
          <w:rFonts w:ascii="Times New Roman" w:cs="Times New Roman" w:eastAsia="Times New Roman" w:hAnsi="Times New Roman"/>
          <w:sz w:val="15"/>
          <w:szCs w:val="15"/>
          <w:color w:val="auto"/>
        </w:rPr>
        <w:t xml:space="preserve">. Each of the subsidiaries of the Company are set forth on </w:t>
      </w:r>
      <w:r>
        <w:rPr>
          <w:rFonts w:ascii="Times New Roman" w:cs="Times New Roman" w:eastAsia="Times New Roman" w:hAnsi="Times New Roman"/>
          <w:sz w:val="15"/>
          <w:szCs w:val="15"/>
          <w:u w:val="single" w:color="auto"/>
          <w:color w:val="auto"/>
        </w:rPr>
        <w:t>Schedule 3.1(a)</w:t>
      </w:r>
      <w:r>
        <w:rPr>
          <w:rFonts w:ascii="Times New Roman" w:cs="Times New Roman" w:eastAsia="Times New Roman" w:hAnsi="Times New Roman"/>
          <w:sz w:val="15"/>
          <w:szCs w:val="15"/>
          <w:color w:val="auto"/>
        </w:rPr>
        <w:t>. Each of the Company and its subsidiaries has been duly incorporated or organized, as applicable, is validly existing and is in good standing (to the extent the concept of good standing is applicable in such jurisdiction) under the laws of its jurisdiction of incorporation or organization. Each of the Company and its subsidiaries has the requisite power and authority to own its properties and conduct its business as currently being carried on and as described in the SEC Reports, and is duly qualified to do business as a foreign corporation or other entity in good</w:t>
      </w:r>
    </w:p>
    <w:p>
      <w:pPr>
        <w:spacing w:after="0" w:line="200" w:lineRule="exact"/>
        <w:rPr>
          <w:sz w:val="20"/>
          <w:szCs w:val="20"/>
          <w:color w:val="auto"/>
        </w:rPr>
      </w:pPr>
    </w:p>
    <w:p>
      <w:pPr>
        <w:spacing w:after="0" w:line="256" w:lineRule="exact"/>
        <w:rPr>
          <w:sz w:val="20"/>
          <w:szCs w:val="20"/>
          <w:color w:val="auto"/>
        </w:rPr>
      </w:pPr>
    </w:p>
    <w:p>
      <w:pPr>
        <w:ind w:left="60"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394335</wp:posOffset>
            </wp:positionV>
            <wp:extent cx="7174865"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105" w:name="page106"/>
    <w:bookmarkEnd w:id="105"/>
    <w:p>
      <w:pPr>
        <w:ind w:left="5"/>
        <w:spacing w:after="0"/>
        <w:rPr>
          <w:sz w:val="20"/>
          <w:szCs w:val="20"/>
          <w:color w:val="auto"/>
        </w:rPr>
      </w:pPr>
      <w:r>
        <w:rPr>
          <w:rFonts w:ascii="Times New Roman" w:cs="Times New Roman" w:eastAsia="Times New Roman" w:hAnsi="Times New Roman"/>
          <w:sz w:val="16"/>
          <w:szCs w:val="16"/>
          <w:color w:val="auto"/>
        </w:rPr>
        <w:t>standing in each jurisdiction in which the conduct of its business or ownership of property makes such qualification necessary and in which the failure to so qualify would have</w:t>
      </w:r>
    </w:p>
    <w:p>
      <w:pPr>
        <w:spacing w:after="0" w:line="22" w:lineRule="exact"/>
        <w:rPr>
          <w:sz w:val="20"/>
          <w:szCs w:val="20"/>
          <w:color w:val="auto"/>
        </w:rPr>
      </w:pPr>
    </w:p>
    <w:p>
      <w:pPr>
        <w:jc w:val="both"/>
        <w:ind w:left="5" w:hanging="5"/>
        <w:spacing w:after="0" w:line="250" w:lineRule="auto"/>
        <w:tabs>
          <w:tab w:leader="none" w:pos="267"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material adverse effect upon the business, properties, operations, financial condition or results of operations of the Company and its subsidiaries, taken as a whole, or (B) a material adverse effect on the Company’s ability to perform in any material respect on a timely basis its obligations under the Transaction Documents (“</w:t>
      </w:r>
      <w:r>
        <w:rPr>
          <w:rFonts w:ascii="Times New Roman" w:cs="Times New Roman" w:eastAsia="Times New Roman" w:hAnsi="Times New Roman"/>
          <w:sz w:val="16"/>
          <w:szCs w:val="16"/>
          <w:u w:val="single" w:color="auto"/>
          <w:color w:val="auto"/>
        </w:rPr>
        <w:t>Material Adverse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Effect</w:t>
      </w:r>
      <w:r>
        <w:rPr>
          <w:rFonts w:ascii="Times New Roman" w:cs="Times New Roman" w:eastAsia="Times New Roman" w:hAnsi="Times New Roman"/>
          <w:sz w:val="16"/>
          <w:szCs w:val="16"/>
          <w:color w:val="auto"/>
        </w:rPr>
        <w:t>”).</w:t>
      </w:r>
    </w:p>
    <w:p>
      <w:pPr>
        <w:spacing w:after="0" w:line="164" w:lineRule="exact"/>
        <w:rPr>
          <w:rFonts w:ascii="Times New Roman" w:cs="Times New Roman" w:eastAsia="Times New Roman" w:hAnsi="Times New Roman"/>
          <w:sz w:val="16"/>
          <w:szCs w:val="16"/>
          <w:color w:val="auto"/>
        </w:rPr>
      </w:pPr>
    </w:p>
    <w:p>
      <w:pPr>
        <w:jc w:val="both"/>
        <w:ind w:left="5" w:firstLine="1496"/>
        <w:spacing w:after="0" w:line="251" w:lineRule="auto"/>
        <w:tabs>
          <w:tab w:leader="none" w:pos="1729" w:val="left"/>
        </w:tabs>
        <w:numPr>
          <w:ilvl w:val="1"/>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Violations or Defaults</w:t>
      </w:r>
      <w:r>
        <w:rPr>
          <w:rFonts w:ascii="Times New Roman" w:cs="Times New Roman" w:eastAsia="Times New Roman" w:hAnsi="Times New Roman"/>
          <w:sz w:val="16"/>
          <w:szCs w:val="16"/>
          <w:color w:val="auto"/>
        </w:rPr>
        <w:t>. Neither the Company nor any of its subsidiaries (A) is in violation of its respective charters, bylaws or other organizational documents, (B) is in breach of or otherwise in default and no event has occurred which, with notice or lapse of time or both, would constitute such a default, in the performance or observance of any term, covenant or condition contained in any contract, indenture, mortgage, deed of trust, loan agreement, lease or other agreement or instrument to which it is a party or by which it is bound or to which any of its material property or assets is subject, or (C) is in violation in any respect of any law, ordinance, governmental rule, regulation or court order, decree or judgment to which it or its property or assets may be subject, including the Sarbanes–Oxley Act and the Exchange Act; except, in the case of clauses (A), (B) and (C) of this paragraph (b), for any breaches, violations or defaults which, singularly or in the aggregate, would not reasonably be expected to have a Material Adverse Effect.</w:t>
      </w:r>
    </w:p>
    <w:p>
      <w:pPr>
        <w:spacing w:after="0" w:line="166" w:lineRule="exact"/>
        <w:rPr>
          <w:rFonts w:ascii="Times New Roman" w:cs="Times New Roman" w:eastAsia="Times New Roman" w:hAnsi="Times New Roman"/>
          <w:sz w:val="16"/>
          <w:szCs w:val="16"/>
          <w:color w:val="auto"/>
        </w:rPr>
      </w:pPr>
    </w:p>
    <w:p>
      <w:pPr>
        <w:jc w:val="both"/>
        <w:ind w:left="5" w:firstLine="1496"/>
        <w:spacing w:after="0" w:line="248" w:lineRule="auto"/>
        <w:tabs>
          <w:tab w:leader="none" w:pos="1721" w:val="left"/>
        </w:tabs>
        <w:numPr>
          <w:ilvl w:val="1"/>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Authorization; No Conflicts; Authority</w:t>
      </w:r>
      <w:r>
        <w:rPr>
          <w:rFonts w:ascii="Times New Roman" w:cs="Times New Roman" w:eastAsia="Times New Roman" w:hAnsi="Times New Roman"/>
          <w:sz w:val="16"/>
          <w:szCs w:val="16"/>
          <w:color w:val="auto"/>
        </w:rPr>
        <w:t>. This Agreement has been duly authorized, executed and delivered by the Company, and constitutes a valid, legal and binding obligation of the Company, enforceable in accordance with its terms, except as rights to indemnity hereunder may be limited by federal or state securities laws and except as such enforceability may be limited by bankruptcy, insolvency, reorganization or similar laws affecting the rights of creditors generally and subject to general principles of equity. The Registration Rights Agreement has been duly authorized, executed and delivered by the Company, and constitutes a valid, legal and binding obligation of the Company, enforceable in accordance with its terms, except as rights to indemnity hereunder may be limited by federal or state securities laws and except as such enforceability may be limited by bankruptcy, insolvency, reorganization or similar laws affecting the rights of creditors generally and subject to general principles of equity. Subject to the Stockholder Approval, the Warrants have been duly authorized, and when executed and delivered by the Company, shall constitute a valid, legal and binding obligation of the Company, enforceable in accordance with their terms, except as such enforceability may be limited by bankruptcy, insolvency, reorganization or similar laws affecting the rights of creditors generally and subject to general principles of equity. Subject to the Stockholder Approval, the execution, delivery and performance of the Transaction Documents and the consummation of the transactions herein and therein contemplated will not (A)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and which is material to the Company and its subsidiaries taken as a whole, (B) result in any violation of the provisions of the Company’s charter or by-laws or (C) result in the violation of any law or statute or any judgment, order, rule, regulation or decree of any court or arbitrator or federal, state, local or foreign governmental agency or regulatory authority having jurisdiction over the Company or any of its subsidiaries or any of their properties or assets (each, a “</w:t>
      </w:r>
      <w:r>
        <w:rPr>
          <w:rFonts w:ascii="Times New Roman" w:cs="Times New Roman" w:eastAsia="Times New Roman" w:hAnsi="Times New Roman"/>
          <w:sz w:val="16"/>
          <w:szCs w:val="16"/>
          <w:u w:val="single" w:color="auto"/>
          <w:color w:val="auto"/>
        </w:rPr>
        <w:t>Governmental Authority</w:t>
      </w:r>
      <w:r>
        <w:rPr>
          <w:rFonts w:ascii="Times New Roman" w:cs="Times New Roman" w:eastAsia="Times New Roman" w:hAnsi="Times New Roman"/>
          <w:sz w:val="16"/>
          <w:szCs w:val="16"/>
          <w:color w:val="auto"/>
        </w:rPr>
        <w:t>”), except in the case of clause (A) or (C) as would not result in a Material Adverse Effect. No consent, approval, authorization or order of, or registration or filing with any Governmental Authority is required for the execution, delivery and performance of this Agreement or for the consummation of the transactions contemplated hereby, including the issuance or sale of the Shares by the Company, except such as may be required under the Act, the rules of the Financial Industry Regulatory Authority (“</w:t>
      </w:r>
      <w:r>
        <w:rPr>
          <w:rFonts w:ascii="Times New Roman" w:cs="Times New Roman" w:eastAsia="Times New Roman" w:hAnsi="Times New Roman"/>
          <w:sz w:val="16"/>
          <w:szCs w:val="16"/>
          <w:u w:val="single" w:color="auto"/>
          <w:color w:val="auto"/>
        </w:rPr>
        <w:t>FINRA</w:t>
      </w:r>
      <w:r>
        <w:rPr>
          <w:rFonts w:ascii="Times New Roman" w:cs="Times New Roman" w:eastAsia="Times New Roman" w:hAnsi="Times New Roman"/>
          <w:sz w:val="16"/>
          <w:szCs w:val="16"/>
          <w:color w:val="auto"/>
        </w:rPr>
        <w:t>”) or state securities or blue sky laws; and the Company has full power and authority to enter into the Transaction Documents and to consummate the transactions contemplated hereby and thereby, including the authorization, issuance and sale of the Securities as contemplated by this Agreement.</w:t>
      </w:r>
    </w:p>
    <w:p>
      <w:pPr>
        <w:spacing w:after="0" w:line="170" w:lineRule="exact"/>
        <w:rPr>
          <w:rFonts w:ascii="Times New Roman" w:cs="Times New Roman" w:eastAsia="Times New Roman" w:hAnsi="Times New Roman"/>
          <w:sz w:val="16"/>
          <w:szCs w:val="16"/>
          <w:color w:val="auto"/>
        </w:rPr>
      </w:pPr>
    </w:p>
    <w:p>
      <w:pPr>
        <w:ind w:left="5" w:right="20" w:firstLine="1496"/>
        <w:spacing w:after="0" w:line="310" w:lineRule="auto"/>
        <w:tabs>
          <w:tab w:leader="none" w:pos="1729" w:val="left"/>
        </w:tabs>
        <w:numPr>
          <w:ilvl w:val="1"/>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Issuance of the Securities; Registration</w:t>
      </w:r>
      <w:r>
        <w:rPr>
          <w:rFonts w:ascii="Times New Roman" w:cs="Times New Roman" w:eastAsia="Times New Roman" w:hAnsi="Times New Roman"/>
          <w:sz w:val="15"/>
          <w:szCs w:val="15"/>
          <w:color w:val="auto"/>
        </w:rPr>
        <w:t>. The Shares are duly authorized and, when issued and paid for in accordance with the applicable Transaction Documents, will be duly and validly issued, fully paid and nonassessable, free and clear of all Liens imposed by the Company. When paid for and issued in accordance with this</w:t>
      </w:r>
    </w:p>
    <w:p>
      <w:pPr>
        <w:spacing w:after="0" w:line="200" w:lineRule="exact"/>
        <w:rPr>
          <w:sz w:val="20"/>
          <w:szCs w:val="20"/>
          <w:color w:val="auto"/>
        </w:rPr>
      </w:pPr>
    </w:p>
    <w:p>
      <w:pPr>
        <w:spacing w:after="0" w:line="234" w:lineRule="exact"/>
        <w:rPr>
          <w:sz w:val="20"/>
          <w:szCs w:val="20"/>
          <w:color w:val="auto"/>
        </w:rPr>
      </w:pPr>
    </w:p>
    <w:p>
      <w:pPr>
        <w:ind w:left="65"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394335</wp:posOffset>
            </wp:positionV>
            <wp:extent cx="7174865"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8" w:right="319" w:bottom="1440" w:gutter="0" w:footer="0" w:header="0"/>
        </w:sectPr>
      </w:pPr>
    </w:p>
    <w:bookmarkStart w:id="106" w:name="page107"/>
    <w:bookmarkEnd w:id="106"/>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Agreement, the Warrants will constitute valid and binding obligations of the Company, enforceable against the Company in accordance with their respective terms, except as such enforceability may be limited by bankruptcy, insolvency, reorganization or similar laws affecting the rights of creditors generally and subject to general principles of equity. The Warrant Shares, when issued in accordance with the terms of the Warrants, will be validly issued, fully paid and nonassessable, free and clear of all Liens imposed by the Company. The Company has reserved from its duly authorized capital stock the maximum number of Shares issuable pursuant to this Agreement shall reserve from its duly authorized capital stock the maximum number of Warrant Shares issuable pursuant to the Warrants.</w:t>
      </w:r>
    </w:p>
    <w:p>
      <w:pPr>
        <w:spacing w:after="0" w:line="162" w:lineRule="exact"/>
        <w:rPr>
          <w:sz w:val="20"/>
          <w:szCs w:val="20"/>
          <w:color w:val="auto"/>
        </w:rPr>
      </w:pPr>
    </w:p>
    <w:p>
      <w:pPr>
        <w:jc w:val="both"/>
        <w:ind w:firstLine="1496"/>
        <w:spacing w:after="0" w:line="249" w:lineRule="auto"/>
        <w:tabs>
          <w:tab w:leader="none" w:pos="1715"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 xml:space="preserve">. The capitalization of the Company as of the date hereof is as set forth on </w:t>
      </w:r>
      <w:r>
        <w:rPr>
          <w:rFonts w:ascii="Times New Roman" w:cs="Times New Roman" w:eastAsia="Times New Roman" w:hAnsi="Times New Roman"/>
          <w:sz w:val="16"/>
          <w:szCs w:val="16"/>
          <w:u w:val="single" w:color="auto"/>
          <w:color w:val="auto"/>
        </w:rPr>
        <w:t>Schedule 3.1(e</w:t>
      </w:r>
      <w:r>
        <w:rPr>
          <w:rFonts w:ascii="Times New Roman" w:cs="Times New Roman" w:eastAsia="Times New Roman" w:hAnsi="Times New Roman"/>
          <w:sz w:val="16"/>
          <w:szCs w:val="16"/>
          <w:color w:val="auto"/>
        </w:rPr>
        <w:t xml:space="preserve">). All of the issued and outstanding shares of capital stock of the Company, including the outstanding shares of Common Stock, are duly authorized and validly issued, fully paid and nonassessable, have been issued in compliance with all federal and state and foreign securities laws, were not issued in violation of or subject to any preemptive rights or other rights to subscribe for or purchase securities that have not been waived in writing, and the holders thereof are not subject to personal liability by reason of being such holders; the capital stock of the Company, including the Common Stock, conforms in all material respects to the description thereof in the SEC Reports. Except as set forth on </w:t>
      </w:r>
      <w:r>
        <w:rPr>
          <w:rFonts w:ascii="Times New Roman" w:cs="Times New Roman" w:eastAsia="Times New Roman" w:hAnsi="Times New Roman"/>
          <w:sz w:val="16"/>
          <w:szCs w:val="16"/>
          <w:u w:val="single" w:color="auto"/>
          <w:color w:val="auto"/>
        </w:rPr>
        <w:t>Schedule 3.1(e</w:t>
      </w:r>
      <w:r>
        <w:rPr>
          <w:rFonts w:ascii="Times New Roman" w:cs="Times New Roman" w:eastAsia="Times New Roman" w:hAnsi="Times New Roman"/>
          <w:sz w:val="16"/>
          <w:szCs w:val="16"/>
          <w:color w:val="auto"/>
        </w:rPr>
        <w:t>), (A) there are no preemptive rights or other rights to subscribe for or to purchase, or any restriction upon the voting or transfer of, any shares of Common Stock pursuant to the Company’s charter, by-laws or any agreement or other instrument to which the Company or any of its subsidiaries is a party or by which the Company or any of its subsidiaries is bound; and (B) neither the filing of the Registration Statement nor the offering or sale of the Securities as contemplated by this Agreement gives rise to any rights for or relating to the registration of any shares of Common Stock or other securities of the Company (collectively “</w:t>
      </w:r>
      <w:r>
        <w:rPr>
          <w:rFonts w:ascii="Times New Roman" w:cs="Times New Roman" w:eastAsia="Times New Roman" w:hAnsi="Times New Roman"/>
          <w:sz w:val="16"/>
          <w:szCs w:val="16"/>
          <w:u w:val="single" w:color="auto"/>
          <w:color w:val="auto"/>
        </w:rPr>
        <w:t>Registration Rights</w:t>
      </w:r>
      <w:r>
        <w:rPr>
          <w:rFonts w:ascii="Times New Roman" w:cs="Times New Roman" w:eastAsia="Times New Roman" w:hAnsi="Times New Roman"/>
          <w:sz w:val="16"/>
          <w:szCs w:val="16"/>
          <w:color w:val="auto"/>
        </w:rPr>
        <w:t>”), except as have been validly waived or complied with in connection with the sale of Securities as contemplated by this Agreement.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169" w:lineRule="exact"/>
        <w:rPr>
          <w:rFonts w:ascii="Times New Roman" w:cs="Times New Roman" w:eastAsia="Times New Roman" w:hAnsi="Times New Roman"/>
          <w:sz w:val="16"/>
          <w:szCs w:val="16"/>
          <w:color w:val="auto"/>
        </w:rPr>
      </w:pPr>
    </w:p>
    <w:p>
      <w:pPr>
        <w:jc w:val="both"/>
        <w:ind w:firstLine="1496"/>
        <w:spacing w:after="0" w:line="248" w:lineRule="auto"/>
        <w:tabs>
          <w:tab w:leader="none" w:pos="171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 Reports</w:t>
      </w:r>
      <w:r>
        <w:rPr>
          <w:rFonts w:ascii="Times New Roman" w:cs="Times New Roman" w:eastAsia="Times New Roman" w:hAnsi="Times New Roman"/>
          <w:sz w:val="16"/>
          <w:szCs w:val="16"/>
          <w:color w:val="auto"/>
        </w:rPr>
        <w:t>. The Company has filed all reports, schedules, forms, statements and other documents required to be filed by the Company under the Securities Act and the Exchange Act, including pursuant to Section 13(a) or 15(d) thereof, for the two (2)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6"/>
          <w:szCs w:val="16"/>
          <w:u w:val="single" w:color="auto"/>
          <w:color w:val="auto"/>
        </w:rPr>
        <w:t>SEC Reports</w:t>
      </w:r>
      <w:r>
        <w:rPr>
          <w:rFonts w:ascii="Times New Roman" w:cs="Times New Roman" w:eastAsia="Times New Roman" w:hAnsi="Times New Roman"/>
          <w:sz w:val="16"/>
          <w:szCs w:val="16"/>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SEC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6"/>
          <w:szCs w:val="16"/>
          <w:u w:val="single" w:color="auto"/>
          <w:color w:val="auto"/>
        </w:rPr>
        <w:t>GAAP</w:t>
      </w:r>
      <w:r>
        <w:rPr>
          <w:rFonts w:ascii="Times New Roman" w:cs="Times New Roman" w:eastAsia="Times New Roman" w:hAnsi="Times New Roman"/>
          <w:sz w:val="16"/>
          <w:szCs w:val="16"/>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The selected financial data set forth under the caption “Selected Financial Data” in the SEC Reports fairly present, on the basis stated in such SEC Reports, the information included therein. The agreements and documents described in the SEC Reports conform in all material aspects to the descriptions thereof contained therein and there are no agreements or other documents required by the Securities Act and the rules and regulations thereunder to be described in the SEC Reports, that have not been so described or filed. Each agreement or other instrument (however characterized or described) to which the Company is a party or by which it is or may be bound or affected and (A) that is referred to in SEC Reports, or (B) is</w:t>
      </w:r>
    </w:p>
    <w:p>
      <w:pPr>
        <w:spacing w:after="0" w:line="200" w:lineRule="exact"/>
        <w:rPr>
          <w:sz w:val="20"/>
          <w:szCs w:val="20"/>
          <w:color w:val="auto"/>
        </w:rPr>
      </w:pPr>
    </w:p>
    <w:p>
      <w:pPr>
        <w:spacing w:after="0" w:line="286" w:lineRule="exact"/>
        <w:rPr>
          <w:sz w:val="20"/>
          <w:szCs w:val="20"/>
          <w:color w:val="auto"/>
        </w:rPr>
      </w:pPr>
    </w:p>
    <w:p>
      <w:pPr>
        <w:ind w:left="60"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394335</wp:posOffset>
            </wp:positionV>
            <wp:extent cx="7174865"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107" w:name="page108"/>
    <w:bookmarkEnd w:id="107"/>
    <w:p>
      <w:pPr>
        <w:jc w:val="both"/>
        <w:ind w:left="5"/>
        <w:spacing w:after="0" w:line="269" w:lineRule="auto"/>
        <w:rPr>
          <w:sz w:val="20"/>
          <w:szCs w:val="20"/>
          <w:color w:val="auto"/>
        </w:rPr>
      </w:pPr>
      <w:r>
        <w:rPr>
          <w:rFonts w:ascii="Times New Roman" w:cs="Times New Roman" w:eastAsia="Times New Roman" w:hAnsi="Times New Roman"/>
          <w:sz w:val="15"/>
          <w:szCs w:val="15"/>
          <w:color w:val="auto"/>
        </w:rPr>
        <w:t>material to the Company’s business, has been duly authorized and validly executed by the Company, is in full force and effect in all material respects and is enforceable against the Company and, to the Company’s knowledge, the other parties thereto, in accordance with its terms, except (i) 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therefore may be brought. None of such agreements or instruments has been assigned by the Company, and neither the Company nor, to the best of the Company’s knowledge, any other party is in default thereunder and, to the best of the Company’s knowledge, no event has occurred that, with the lapse of time or the giving of notice, or both, would constitute a default thereunder. To the Company’s knowledge, performance by the Company of the material provisions of such agreements or instruments will not result in a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spacing w:after="0" w:line="152" w:lineRule="exact"/>
        <w:rPr>
          <w:sz w:val="20"/>
          <w:szCs w:val="20"/>
          <w:color w:val="auto"/>
        </w:rPr>
      </w:pPr>
    </w:p>
    <w:p>
      <w:pPr>
        <w:jc w:val="both"/>
        <w:ind w:left="5" w:firstLine="1496"/>
        <w:spacing w:after="0" w:line="265" w:lineRule="auto"/>
        <w:tabs>
          <w:tab w:leader="none" w:pos="1741" w:val="left"/>
        </w:tabs>
        <w:numPr>
          <w:ilvl w:val="1"/>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Financial Statements</w:t>
      </w:r>
      <w:r>
        <w:rPr>
          <w:rFonts w:ascii="Times New Roman" w:cs="Times New Roman" w:eastAsia="Times New Roman" w:hAnsi="Times New Roman"/>
          <w:sz w:val="15"/>
          <w:szCs w:val="15"/>
          <w:color w:val="auto"/>
        </w:rPr>
        <w:t>. The financial statements of the Company, together with the related notes, set forth or incorporated by reference in the SEC Reports comply in all material respects with the requirements of the Securities Act and the Exchange Act and fairly present the financial condition of the Company and its consolidated subsidiaries as of the dates indicated and the results of operations and changes in cash flows for the periods therein specified in conformity with generally accepted accounting principles in the United States consistently applied throughout the periods involved; the supporting schedules included in the Registration Statement present fairly the information required to be stated therein; all non-GAAP financial information included in the SEC Reports complies with the requirements of Regulation G and Item 10 of Regulation S-K under the Act; and, except as disclosed in the SEC Reports, there are no material off-balance sheet arrangements (as defined in Regulation S-K under the Act, Item 303(a)(4)(ii)) or any other relationships with unconsolidated entities or other persons, that may have a material current effect or, to the Company’s knowledge, material future effect on the Company’s financial condition, results of operations, liquidity, capital expenditures, capital resources or significant components of revenue or expenses. No other financial statements or schedules are required to be included in the SEC Reports. To the Company’s knowledge, the Company’s current independent accounting firm, Ernst</w:t>
      </w:r>
    </w:p>
    <w:p>
      <w:pPr>
        <w:spacing w:after="0" w:line="6" w:lineRule="exact"/>
        <w:rPr>
          <w:rFonts w:ascii="Times New Roman" w:cs="Times New Roman" w:eastAsia="Times New Roman" w:hAnsi="Times New Roman"/>
          <w:sz w:val="15"/>
          <w:szCs w:val="15"/>
          <w:color w:val="auto"/>
        </w:rPr>
      </w:pPr>
    </w:p>
    <w:p>
      <w:pPr>
        <w:jc w:val="both"/>
        <w:ind w:left="5" w:right="20" w:hanging="5"/>
        <w:spacing w:after="0" w:line="274" w:lineRule="auto"/>
        <w:tabs>
          <w:tab w:leader="none" w:pos="169" w:val="left"/>
        </w:tabs>
        <w:numPr>
          <w:ilvl w:val="0"/>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Young LLP, having expressed its opinion with respect to the financial statements and schedules filed as a part of the SEC Reports and included in the SEC Reports is and was, as the case may be (A) an independent public accounting firm within the meaning of the Act and the Rules and Regulations, (B) a registered public accounting firm (as defined in Section 2(a)(12) of the Sarbanes-Oxley Act of 2002 (the “</w:t>
      </w:r>
      <w:r>
        <w:rPr>
          <w:rFonts w:ascii="Times New Roman" w:cs="Times New Roman" w:eastAsia="Times New Roman" w:hAnsi="Times New Roman"/>
          <w:sz w:val="15"/>
          <w:szCs w:val="15"/>
          <w:u w:val="single" w:color="auto"/>
          <w:color w:val="auto"/>
        </w:rPr>
        <w:t>Sarbanes-Oxley Act</w:t>
      </w:r>
      <w:r>
        <w:rPr>
          <w:rFonts w:ascii="Times New Roman" w:cs="Times New Roman" w:eastAsia="Times New Roman" w:hAnsi="Times New Roman"/>
          <w:sz w:val="15"/>
          <w:szCs w:val="15"/>
          <w:color w:val="auto"/>
        </w:rPr>
        <w:t>”)) and (C) is not in violation of the auditor independence requirements of the Sarbanes-Oxley Act.</w:t>
      </w:r>
    </w:p>
    <w:p>
      <w:pPr>
        <w:spacing w:after="0" w:line="148" w:lineRule="exact"/>
        <w:rPr>
          <w:rFonts w:ascii="Times New Roman" w:cs="Times New Roman" w:eastAsia="Times New Roman" w:hAnsi="Times New Roman"/>
          <w:sz w:val="15"/>
          <w:szCs w:val="15"/>
          <w:color w:val="auto"/>
        </w:rPr>
      </w:pPr>
    </w:p>
    <w:p>
      <w:pPr>
        <w:jc w:val="both"/>
        <w:ind w:left="5" w:firstLine="1496"/>
        <w:spacing w:after="0" w:line="269" w:lineRule="auto"/>
        <w:tabs>
          <w:tab w:leader="none" w:pos="1729" w:val="left"/>
        </w:tabs>
        <w:numPr>
          <w:ilvl w:val="1"/>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Absence of Certain Events; Undisclosed Events, Liabilities or Developments</w:t>
      </w:r>
      <w:r>
        <w:rPr>
          <w:rFonts w:ascii="Times New Roman" w:cs="Times New Roman" w:eastAsia="Times New Roman" w:hAnsi="Times New Roman"/>
          <w:sz w:val="15"/>
          <w:szCs w:val="15"/>
          <w:color w:val="auto"/>
        </w:rPr>
        <w:t>. Subsequent to the respective dates as of which information is given in the SEC Reports, neither the Company nor any of its subsidiaries has (A) incurred any material liabilities, direct or contingent, other than trade payables and accrued expenses incurred in the ordinary course of business consistent with past practices and liabilities not required to be reflected in the Company’s financial statements pursuant to generally accepted accounting principles or disclosed in filings made with the SEC; (B) declared or paid any dividends or made any distribution of any kind with respect to its capital stock;</w:t>
      </w:r>
    </w:p>
    <w:p>
      <w:pPr>
        <w:jc w:val="both"/>
        <w:ind w:left="5"/>
        <w:spacing w:after="0" w:line="24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 xml:space="preserve">(C) there has not been any change in the capital stock of the Company (other than a change in the number of outstanding shares of Common Stock due to the issuance of shares upon the exercise of outstanding options or warrants, settlement of restricted stock units or conversion of convertible securities); (D) any issuance of options, warrants, restricted stock units, convertible securities or other rights to purchase the capital stock of the Company or any of its subsidiaries, or (E) any event or development that has had a Material Adverse Effect or any development which could reasonably be expected to result in any Material Adverse Effect. Except for (i) the issuance of the Securities contemplated by this Agreement, or (ii) as set forth on </w:t>
      </w:r>
      <w:r>
        <w:rPr>
          <w:rFonts w:ascii="Times New Roman" w:cs="Times New Roman" w:eastAsia="Times New Roman" w:hAnsi="Times New Roman"/>
          <w:sz w:val="16"/>
          <w:szCs w:val="16"/>
          <w:u w:val="single" w:color="auto"/>
          <w:color w:val="auto"/>
        </w:rPr>
        <w:t>Schedule 3.1(h)</w:t>
      </w:r>
      <w:r>
        <w:rPr>
          <w:rFonts w:ascii="Times New Roman" w:cs="Times New Roman" w:eastAsia="Times New Roman" w:hAnsi="Times New Roman"/>
          <w:sz w:val="16"/>
          <w:szCs w:val="16"/>
          <w:color w:val="auto"/>
        </w:rPr>
        <w:t>, no material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prior to the date that this representation is made.</w:t>
      </w:r>
    </w:p>
    <w:p>
      <w:pPr>
        <w:spacing w:after="0" w:line="200" w:lineRule="exact"/>
        <w:rPr>
          <w:sz w:val="20"/>
          <w:szCs w:val="20"/>
          <w:color w:val="auto"/>
        </w:rPr>
      </w:pPr>
    </w:p>
    <w:p>
      <w:pPr>
        <w:spacing w:after="0" w:line="283" w:lineRule="exact"/>
        <w:rPr>
          <w:sz w:val="20"/>
          <w:szCs w:val="20"/>
          <w:color w:val="auto"/>
        </w:rPr>
      </w:pPr>
    </w:p>
    <w:p>
      <w:pPr>
        <w:ind w:left="65"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394335</wp:posOffset>
            </wp:positionV>
            <wp:extent cx="7174865"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8" w:right="319" w:bottom="1440" w:gutter="0" w:footer="0" w:header="0"/>
        </w:sectPr>
      </w:pPr>
    </w:p>
    <w:bookmarkStart w:id="108" w:name="page109"/>
    <w:bookmarkEnd w:id="108"/>
    <w:p>
      <w:pPr>
        <w:spacing w:after="0" w:line="8" w:lineRule="exact"/>
        <w:rPr>
          <w:sz w:val="20"/>
          <w:szCs w:val="20"/>
          <w:color w:val="auto"/>
        </w:rPr>
      </w:pPr>
    </w:p>
    <w:p>
      <w:pPr>
        <w:jc w:val="both"/>
        <w:ind w:left="-60" w:firstLine="1496"/>
        <w:spacing w:after="0" w:line="251" w:lineRule="auto"/>
        <w:tabs>
          <w:tab w:leader="none" w:pos="1641"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Absence of Proceedings</w:t>
      </w:r>
      <w:r>
        <w:rPr>
          <w:rFonts w:ascii="Times New Roman" w:cs="Times New Roman" w:eastAsia="Times New Roman" w:hAnsi="Times New Roman"/>
          <w:sz w:val="16"/>
          <w:szCs w:val="16"/>
          <w:color w:val="auto"/>
        </w:rPr>
        <w:t>. There is not pending or, to the knowledge of the Company, threatened, any action, suit or proceeding (A) to which the Company or any of its subsidiaries is a party or (B) which has as the subject thereof any officer or director of the Company or any subsidiary, any employee benefit plan sponsored by the Company or any subsidiary or any property or assets owned or leased by the Company or any subsidiary before or by any court or Governmental Authority, or any arbitrator, which, individually or in the aggregate, would reasonably be expected to result in any Material Adverse Effect, or would materially and adversely affect the ability of the Company to perform its obligations under the Transaction Documents. There are no current or, to the knowledge of the Company, pending, legal, governmental or regulatory actions, suits or proceedings (i) to which the Company or any of its subsidiaries is subject or (ii) which has as the subject thereof any officer or director of the Company or any subsidiary, any employee plan sponsored by the Company or any subsidiary or any property or assets owned or leased by the Company or any subsidiary, that are required to be described in the SEC Reports by the Securities Act or by the Rules and Regulations and that have not been so described in all material respects.</w:t>
      </w:r>
    </w:p>
    <w:p>
      <w:pPr>
        <w:spacing w:after="0" w:line="163" w:lineRule="exact"/>
        <w:rPr>
          <w:rFonts w:ascii="Times New Roman" w:cs="Times New Roman" w:eastAsia="Times New Roman" w:hAnsi="Times New Roman"/>
          <w:sz w:val="16"/>
          <w:szCs w:val="16"/>
          <w:color w:val="auto"/>
        </w:rPr>
      </w:pPr>
    </w:p>
    <w:p>
      <w:pPr>
        <w:jc w:val="both"/>
        <w:ind w:left="-60" w:right="20" w:firstLine="1496"/>
        <w:spacing w:after="0" w:line="261" w:lineRule="auto"/>
        <w:tabs>
          <w:tab w:leader="none" w:pos="1641"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Labor Relations</w:t>
      </w:r>
      <w:r>
        <w:rPr>
          <w:rFonts w:ascii="Times New Roman" w:cs="Times New Roman" w:eastAsia="Times New Roman" w:hAnsi="Times New Roman"/>
          <w:sz w:val="16"/>
          <w:szCs w:val="16"/>
          <w:color w:val="auto"/>
        </w:rPr>
        <w:t>. No material labor dispute with the employees of the Company or any of its subsidiaries exists or, to the Company’s knowledge, is threatened or imminent, and the Company is not aware of any existing or imminent labor disturbance by the employees of any of its or its subsidiaries’ principal suppliers, contractors or customers, that would reasonably be expected to have a Material Adverse Effect.</w:t>
      </w:r>
    </w:p>
    <w:p>
      <w:pPr>
        <w:spacing w:after="0" w:line="156" w:lineRule="exact"/>
        <w:rPr>
          <w:rFonts w:ascii="Times New Roman" w:cs="Times New Roman" w:eastAsia="Times New Roman" w:hAnsi="Times New Roman"/>
          <w:sz w:val="16"/>
          <w:szCs w:val="16"/>
          <w:color w:val="auto"/>
        </w:rPr>
      </w:pPr>
    </w:p>
    <w:p>
      <w:pPr>
        <w:ind w:left="1660" w:hanging="224"/>
        <w:spacing w:after="0"/>
        <w:tabs>
          <w:tab w:leader="none" w:pos="166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[Reserved]</w:t>
      </w:r>
      <w:r>
        <w:rPr>
          <w:rFonts w:ascii="Times New Roman" w:cs="Times New Roman" w:eastAsia="Times New Roman" w:hAnsi="Times New Roman"/>
          <w:sz w:val="16"/>
          <w:szCs w:val="16"/>
          <w:color w:val="auto"/>
        </w:rPr>
        <w:t>.</w:t>
      </w:r>
    </w:p>
    <w:p>
      <w:pPr>
        <w:spacing w:after="0" w:line="194" w:lineRule="exact"/>
        <w:rPr>
          <w:rFonts w:ascii="Times New Roman" w:cs="Times New Roman" w:eastAsia="Times New Roman" w:hAnsi="Times New Roman"/>
          <w:sz w:val="16"/>
          <w:szCs w:val="16"/>
          <w:color w:val="auto"/>
        </w:rPr>
      </w:pPr>
    </w:p>
    <w:p>
      <w:pPr>
        <w:jc w:val="both"/>
        <w:ind w:left="-60" w:right="20" w:firstLine="1496"/>
        <w:spacing w:after="0" w:line="252" w:lineRule="auto"/>
        <w:tabs>
          <w:tab w:leader="none" w:pos="1629"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Environmental Laws</w:t>
      </w:r>
      <w:r>
        <w:rPr>
          <w:rFonts w:ascii="Times New Roman" w:cs="Times New Roman" w:eastAsia="Times New Roman" w:hAnsi="Times New Roman"/>
          <w:sz w:val="16"/>
          <w:szCs w:val="16"/>
          <w:color w:val="auto"/>
        </w:rPr>
        <w:t>. Except as disclosed in the SEC Reports, neither the Company nor any of its subsidiaries is (A) in violation of any statute, any rule, regulation, decision or order of any Governmental Authority or any court, domestic or foreign, relating to the use, disposal or release of hazardous or toxic substances or relating to the protection or restoration of the environment or human exposure to hazardous or toxic substances (collectively, “</w:t>
      </w:r>
      <w:r>
        <w:rPr>
          <w:rFonts w:ascii="Times New Roman" w:cs="Times New Roman" w:eastAsia="Times New Roman" w:hAnsi="Times New Roman"/>
          <w:sz w:val="16"/>
          <w:szCs w:val="16"/>
          <w:u w:val="single" w:color="auto"/>
          <w:color w:val="auto"/>
        </w:rPr>
        <w:t>Environmental Laws</w:t>
      </w:r>
      <w:r>
        <w:rPr>
          <w:rFonts w:ascii="Times New Roman" w:cs="Times New Roman" w:eastAsia="Times New Roman" w:hAnsi="Times New Roman"/>
          <w:sz w:val="16"/>
          <w:szCs w:val="16"/>
          <w:color w:val="auto"/>
        </w:rPr>
        <w:t>”), (B) owns or operates any real property contaminated with any substance that is subject to any environmental laws, (C) is liable for any off-site disposal or contamination pursuant to any Environmental Laws, or (D) is subject to any claim relating to any Environmental Laws, which violation, contamination, liability or claim would individually or in the aggregate, have a Material Adverse Effect.</w:t>
      </w:r>
    </w:p>
    <w:p>
      <w:pPr>
        <w:spacing w:after="0" w:line="165" w:lineRule="exact"/>
        <w:rPr>
          <w:rFonts w:ascii="Times New Roman" w:cs="Times New Roman" w:eastAsia="Times New Roman" w:hAnsi="Times New Roman"/>
          <w:sz w:val="16"/>
          <w:szCs w:val="16"/>
          <w:color w:val="auto"/>
        </w:rPr>
      </w:pPr>
    </w:p>
    <w:p>
      <w:pPr>
        <w:jc w:val="both"/>
        <w:ind w:left="-60" w:right="20" w:firstLine="1496"/>
        <w:spacing w:after="0" w:line="254" w:lineRule="auto"/>
        <w:tabs>
          <w:tab w:leader="none" w:pos="1708"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Ownership of Assets</w:t>
      </w:r>
      <w:r>
        <w:rPr>
          <w:rFonts w:ascii="Times New Roman" w:cs="Times New Roman" w:eastAsia="Times New Roman" w:hAnsi="Times New Roman"/>
          <w:sz w:val="16"/>
          <w:szCs w:val="16"/>
          <w:color w:val="auto"/>
        </w:rPr>
        <w:t>. The Company and its subsidiaries have good and marketable title to all property (whether real or personal) described in the SEC Reports as being owned by them which is material to the Company and its subsidiaries taken as a whole, in each case free and clear of all liens, claims, security interests, other encumbrances or defects except such as are described in the SEC Reports or as would not, individually or in the aggregate, be reasonably expected to result in a Material Adverse Effect. The property held under lease by the Company and its subsidiaries is held by them under valid, subsisting and enforceable leases with only such exceptions with respect to any particular lease as do not interfere in any material respect with the conduct of the business of the Company or its subsidiaries.</w:t>
      </w:r>
    </w:p>
    <w:p>
      <w:pPr>
        <w:spacing w:after="0" w:line="161" w:lineRule="exact"/>
        <w:rPr>
          <w:rFonts w:ascii="Times New Roman" w:cs="Times New Roman" w:eastAsia="Times New Roman" w:hAnsi="Times New Roman"/>
          <w:sz w:val="16"/>
          <w:szCs w:val="16"/>
          <w:color w:val="auto"/>
        </w:rPr>
      </w:pPr>
    </w:p>
    <w:p>
      <w:pPr>
        <w:jc w:val="both"/>
        <w:ind w:left="-60" w:firstLine="1496"/>
        <w:spacing w:after="0" w:line="250" w:lineRule="auto"/>
        <w:tabs>
          <w:tab w:leader="none" w:pos="1676"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xml:space="preserve"> The Company and each of its subsidiaries owns, possesses, or can acquire on reasonable terms, all Intellectual Property (as defined below) necessary for the conduct of the Company’s and it subsidiaries’ business as now conducted or as described in the SEC Reports to be conducted, except as such failure to own, possess, or acquire such rights would not reasonably be expected to result in a Material Adverse Effect. Furthermore, except as described in the SEC Reports, (A) to the knowledge of the Company after reasonable investigation (“</w:t>
      </w:r>
      <w:r>
        <w:rPr>
          <w:rFonts w:ascii="Times New Roman" w:cs="Times New Roman" w:eastAsia="Times New Roman" w:hAnsi="Times New Roman"/>
          <w:sz w:val="16"/>
          <w:szCs w:val="16"/>
          <w:u w:val="single" w:color="auto"/>
          <w:color w:val="auto"/>
        </w:rPr>
        <w:t>Knowledge</w:t>
      </w:r>
      <w:r>
        <w:rPr>
          <w:rFonts w:ascii="Times New Roman" w:cs="Times New Roman" w:eastAsia="Times New Roman" w:hAnsi="Times New Roman"/>
          <w:sz w:val="16"/>
          <w:szCs w:val="16"/>
          <w:color w:val="auto"/>
        </w:rPr>
        <w:t>”), there is no infringement, misappropriation or violation by third parties of any such Intellectual Property, except as such infringement, misappropriation or violation would not result in a Material Adverse Effect; (B) there is no pending or, to the Knowledge of the Company, threatened, action, suit, proceeding or claim by others challenging the Company’s or any of its subsidiaries’ rights in or to any such Intellectual Property, and the Company is unaware of any objective facts which would form a reasonable basis for any such claim; (C) the Intellectual Property owned by the Company and its subsidiaries, and to the Knowledge of the Company, the Intellectual Property licensed to the Company and its subsidiaries, has not been adjudged invalid or unenforceable, in whole or in part, and there is no pending or, to the Knowledge of the Company, threatened action, suit, proceeding or</w:t>
      </w:r>
    </w:p>
    <w:p>
      <w:pPr>
        <w:spacing w:after="0" w:line="200" w:lineRule="exact"/>
        <w:rPr>
          <w:sz w:val="20"/>
          <w:szCs w:val="20"/>
          <w:color w:val="auto"/>
        </w:rPr>
      </w:pPr>
    </w:p>
    <w:p>
      <w:pPr>
        <w:spacing w:after="0" w:line="279" w:lineRule="exact"/>
        <w:rPr>
          <w:sz w:val="20"/>
          <w:szCs w:val="20"/>
          <w:color w:val="auto"/>
        </w:rPr>
      </w:pPr>
    </w:p>
    <w:p>
      <w:pPr>
        <w:ind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394335</wp:posOffset>
            </wp:positionV>
            <wp:extent cx="717486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40" w:right="319" w:bottom="1440" w:gutter="0" w:footer="0" w:header="0"/>
        </w:sectPr>
      </w:pPr>
    </w:p>
    <w:bookmarkStart w:id="109" w:name="page110"/>
    <w:bookmarkEnd w:id="109"/>
    <w:p>
      <w:pPr>
        <w:jc w:val="both"/>
        <w:spacing w:after="0" w:line="250" w:lineRule="auto"/>
        <w:rPr>
          <w:sz w:val="20"/>
          <w:szCs w:val="20"/>
          <w:color w:val="auto"/>
        </w:rPr>
      </w:pPr>
      <w:r>
        <w:rPr>
          <w:rFonts w:ascii="Times New Roman" w:cs="Times New Roman" w:eastAsia="Times New Roman" w:hAnsi="Times New Roman"/>
          <w:sz w:val="16"/>
          <w:szCs w:val="16"/>
          <w:color w:val="auto"/>
        </w:rPr>
        <w:t>claim by others challenging the validity or scope of any such Intellectual Property; (D) there is no pending or, to the Knowledge of the Company, threatened action, suit, proceeding or claim by others that the Company or any of its subsidiaries infringes, misappropriates or otherwise violates any Intellectual Property or other proprietary rights of others, and neither the Company or any of its subsidiaries has received any written notice of such claim; and (E) to the Company’s knowledge, no employee of the Company or any of its subsidiaries is in or has ever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any of its subsidiaries or actions undertaken by the employee while employed with the Company or any of its subsidiaries, except as such violation would not result in a Material Adverse Effect.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shall mean all patents, patent applications, trademarks, trademark registrations, service marks, service mark registrations, trade names, copyrights, copyright registrations, licenses, inventions, trade secrets, Internet domain names, Internet domain name registrations, technology, registrations, trade secret rights, know-how and other intellectual property.</w:t>
      </w:r>
    </w:p>
    <w:p>
      <w:pPr>
        <w:spacing w:after="0" w:line="167" w:lineRule="exact"/>
        <w:rPr>
          <w:sz w:val="20"/>
          <w:szCs w:val="20"/>
          <w:color w:val="auto"/>
        </w:rPr>
      </w:pPr>
    </w:p>
    <w:p>
      <w:pPr>
        <w:jc w:val="both"/>
        <w:ind w:firstLine="1496"/>
        <w:spacing w:after="0" w:line="252" w:lineRule="auto"/>
        <w:tabs>
          <w:tab w:leader="none" w:pos="1724"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The Company and each of its subsidiaries carries, or is covered by, insurance from insurers of recognized financial responsibility in such amounts and covering such risks as is customary for companies engaged in similar businesses in similar industries; all policies of insurance and any fidelity or surety bonds insuring the Company or any of its subsidiaries or its business, assets, employees, officers and directors are in full force and effect, except as would not have a Material Adverse Effect; the Company and its subsidiaries are in compliance with the terms of such policies and instruments in all material respects; and neither the Company nor any of its subsidiaries has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65" w:lineRule="exact"/>
        <w:rPr>
          <w:rFonts w:ascii="Times New Roman" w:cs="Times New Roman" w:eastAsia="Times New Roman" w:hAnsi="Times New Roman"/>
          <w:sz w:val="16"/>
          <w:szCs w:val="16"/>
          <w:color w:val="auto"/>
        </w:rPr>
      </w:pPr>
    </w:p>
    <w:p>
      <w:pPr>
        <w:jc w:val="both"/>
        <w:ind w:firstLine="1496"/>
        <w:spacing w:after="0" w:line="250" w:lineRule="auto"/>
        <w:tabs>
          <w:tab w:leader="none" w:pos="1736"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Internal Accounting Controls</w:t>
      </w:r>
      <w:r>
        <w:rPr>
          <w:rFonts w:ascii="Times New Roman" w:cs="Times New Roman" w:eastAsia="Times New Roman" w:hAnsi="Times New Roman"/>
          <w:sz w:val="16"/>
          <w:szCs w:val="16"/>
          <w:color w:val="auto"/>
        </w:rPr>
        <w:t>. The Company and its subsidiaries maintain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generally accepted accounting principles in the United States and to maintain accountability for assets; (C) access to assets is permitted only in accordance with management’s general or specific authorization; and (iv) the recorded accountability for assets is compared with existing assets at reasonable intervals and appropriate action is taken with respect to any differences. Since the end of the latest audited fiscal year, there has been no change in the Company’s internal control over financial reporting (whether or not remediated) that has materially affected, or is reasonably likely to materially affect, the Company’s internal control over financial reporting. The Company’s board of directors has, subject to the exceptions, cure periods and the phase in periods specified in the applicable stock exchange rules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u w:val="single" w:color="auto"/>
          <w:color w:val="auto"/>
        </w:rPr>
        <w:t>Exchange Rules</w:t>
      </w:r>
      <w:r>
        <w:rPr>
          <w:rFonts w:ascii="Times New Roman" w:cs="Times New Roman" w:eastAsia="Times New Roman" w:hAnsi="Times New Roman"/>
          <w:sz w:val="16"/>
          <w:szCs w:val="16"/>
          <w:color w:val="auto"/>
        </w:rPr>
        <w:t>”), validly appointed an audit committee to oversee internal accounting controls whose composition satisfies the applicable requirements of the Exchange Rules and the Company’s board of directors and/or the audit committee has adopted a charter that satisfies the requirements of the Exchange Rules.</w:t>
      </w:r>
    </w:p>
    <w:p>
      <w:pPr>
        <w:spacing w:after="0" w:line="167" w:lineRule="exact"/>
        <w:rPr>
          <w:rFonts w:ascii="Times New Roman" w:cs="Times New Roman" w:eastAsia="Times New Roman" w:hAnsi="Times New Roman"/>
          <w:sz w:val="16"/>
          <w:szCs w:val="16"/>
          <w:color w:val="auto"/>
        </w:rPr>
      </w:pPr>
    </w:p>
    <w:p>
      <w:pPr>
        <w:jc w:val="both"/>
        <w:ind w:right="20" w:firstLine="1496"/>
        <w:spacing w:after="0" w:line="254" w:lineRule="auto"/>
        <w:tabs>
          <w:tab w:leader="none" w:pos="1724"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Fees</w:t>
      </w:r>
      <w:r>
        <w:rPr>
          <w:rFonts w:ascii="Times New Roman" w:cs="Times New Roman" w:eastAsia="Times New Roman" w:hAnsi="Times New Roman"/>
          <w:sz w:val="16"/>
          <w:szCs w:val="16"/>
          <w:color w:val="auto"/>
        </w:rPr>
        <w:t>. Except for fees payable to the Placement Agent (including the respective allocations thereof among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Each Purchaser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61" w:lineRule="exact"/>
        <w:rPr>
          <w:rFonts w:ascii="Times New Roman" w:cs="Times New Roman" w:eastAsia="Times New Roman" w:hAnsi="Times New Roman"/>
          <w:sz w:val="16"/>
          <w:szCs w:val="16"/>
          <w:color w:val="auto"/>
        </w:rPr>
      </w:pPr>
    </w:p>
    <w:p>
      <w:pPr>
        <w:ind w:right="20" w:firstLine="1496"/>
        <w:spacing w:after="0" w:line="276" w:lineRule="auto"/>
        <w:tabs>
          <w:tab w:leader="none" w:pos="1698"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Investment Company</w:t>
      </w:r>
      <w:r>
        <w:rPr>
          <w:rFonts w:ascii="Times New Roman" w:cs="Times New Roman" w:eastAsia="Times New Roman" w:hAnsi="Times New Roman"/>
          <w:sz w:val="16"/>
          <w:szCs w:val="16"/>
          <w:color w:val="auto"/>
        </w:rPr>
        <w:t>. The Company is not and, after giving effect to the offering and sale of the Securities, will not be an “investment company,” as such term is defined in the Investment Company Act of 1940, as amended.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0"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394335</wp:posOffset>
            </wp:positionV>
            <wp:extent cx="7174865"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110" w:name="page111"/>
    <w:bookmarkEnd w:id="110"/>
    <w:p>
      <w:pPr>
        <w:jc w:val="both"/>
        <w:ind w:left="-60" w:firstLine="1496"/>
        <w:spacing w:after="0" w:line="251" w:lineRule="auto"/>
        <w:tabs>
          <w:tab w:leader="none" w:pos="1647"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Listing and Maintenance Requirements</w:t>
      </w:r>
      <w:r>
        <w:rPr>
          <w:rFonts w:ascii="Times New Roman" w:cs="Times New Roman" w:eastAsia="Times New Roman" w:hAnsi="Times New Roman"/>
          <w:sz w:val="16"/>
          <w:szCs w:val="16"/>
          <w:color w:val="auto"/>
        </w:rPr>
        <w:t xml:space="preserve">.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set forth on </w:t>
      </w:r>
      <w:r>
        <w:rPr>
          <w:rFonts w:ascii="Times New Roman" w:cs="Times New Roman" w:eastAsia="Times New Roman" w:hAnsi="Times New Roman"/>
          <w:sz w:val="16"/>
          <w:szCs w:val="16"/>
          <w:u w:val="single" w:color="auto"/>
          <w:color w:val="auto"/>
        </w:rPr>
        <w:t>Schedule 3.1(s)</w:t>
      </w:r>
      <w:r>
        <w:rPr>
          <w:rFonts w:ascii="Times New Roman" w:cs="Times New Roman" w:eastAsia="Times New Roman" w:hAnsi="Times New Roman"/>
          <w:sz w:val="16"/>
          <w:szCs w:val="16"/>
          <w:color w:val="auto"/>
        </w:rPr>
        <w:t xml:space="preserve">,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except as set forth on </w:t>
      </w:r>
      <w:r>
        <w:rPr>
          <w:rFonts w:ascii="Times New Roman" w:cs="Times New Roman" w:eastAsia="Times New Roman" w:hAnsi="Times New Roman"/>
          <w:sz w:val="16"/>
          <w:szCs w:val="16"/>
          <w:u w:val="single" w:color="auto"/>
          <w:color w:val="auto"/>
        </w:rPr>
        <w:t>Schedule 3.1(s)</w:t>
      </w:r>
      <w:r>
        <w:rPr>
          <w:rFonts w:ascii="Times New Roman" w:cs="Times New Roman" w:eastAsia="Times New Roman" w:hAnsi="Times New Roman"/>
          <w:sz w:val="16"/>
          <w:szCs w:val="16"/>
          <w:color w:val="auto"/>
        </w:rPr>
        <w:t>.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63" w:lineRule="exact"/>
        <w:rPr>
          <w:rFonts w:ascii="Times New Roman" w:cs="Times New Roman" w:eastAsia="Times New Roman" w:hAnsi="Times New Roman"/>
          <w:sz w:val="16"/>
          <w:szCs w:val="16"/>
          <w:color w:val="auto"/>
        </w:rPr>
      </w:pPr>
    </w:p>
    <w:p>
      <w:pPr>
        <w:jc w:val="both"/>
        <w:ind w:left="-60" w:firstLine="1496"/>
        <w:spacing w:after="0" w:line="279" w:lineRule="auto"/>
        <w:tabs>
          <w:tab w:leader="none" w:pos="1629"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Application of Takeover Protections</w:t>
      </w:r>
      <w:r>
        <w:rPr>
          <w:rFonts w:ascii="Times New Roman" w:cs="Times New Roman" w:eastAsia="Times New Roman" w:hAnsi="Times New Roman"/>
          <w:sz w:val="15"/>
          <w:szCs w:val="15"/>
          <w:color w:val="auto"/>
        </w:rPr>
        <w:t>. The Company and the Board of Directors have taken all necessary action, if any, in order to render inapplicable any control share acquisition, business combination or other similar anti-takeover provision under the Company’s certificate of incorporation (or similar charter documents) or the laws of its state of incorporation that is or could become applicable to each Purchaser as a result of each Purchaser and the Company fulfilling their obligations or exercising their rights under the Transaction Documents, including without limitation as a result of the Company’s issuance of the Securities and the Purchaser’s ownership of the Securities.</w:t>
      </w:r>
    </w:p>
    <w:p>
      <w:pPr>
        <w:spacing w:after="0" w:line="144" w:lineRule="exact"/>
        <w:rPr>
          <w:rFonts w:ascii="Times New Roman" w:cs="Times New Roman" w:eastAsia="Times New Roman" w:hAnsi="Times New Roman"/>
          <w:sz w:val="15"/>
          <w:szCs w:val="15"/>
          <w:color w:val="auto"/>
        </w:rPr>
      </w:pPr>
    </w:p>
    <w:p>
      <w:pPr>
        <w:jc w:val="both"/>
        <w:ind w:left="-60" w:firstLine="1496"/>
        <w:spacing w:after="0" w:line="251" w:lineRule="auto"/>
        <w:tabs>
          <w:tab w:leader="none" w:pos="1676"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Disclosure</w:t>
      </w:r>
      <w:r>
        <w:rPr>
          <w:rFonts w:ascii="Times New Roman" w:cs="Times New Roman" w:eastAsia="Times New Roman" w:hAnsi="Times New Roman"/>
          <w:sz w:val="16"/>
          <w:szCs w:val="16"/>
          <w:color w:val="auto"/>
        </w:rPr>
        <w:t xml:space="preserve">. Except with respect to the material terms and conditions of the transactions contemplated by the Transaction Documents, the Company confirms that neither it nor any other Person acting on its behalf has provided to each Purchaser or its agents or counsel with any information that it believes constitutes or might constitute material, non-public information which is not otherwise disclosed in the SEC Reports. The Company understands and confirms that each Purchaser will rely on the foregoing representation in effecting transactions in securities of the Company. All of the disclosure furnished by or on behalf of the Company to each Purchaser regarding the Company and its subsidiaries, their respective businesses and the transactions contemplated hereby, including the Disclosure Schedules to this Agreement, when taken together as a whole, is true and correct and does not contain any untrue statement of a material fact or omit to state any material fact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w:t>
      </w:r>
      <w:r>
        <w:rPr>
          <w:rFonts w:ascii="Times New Roman" w:cs="Times New Roman" w:eastAsia="Times New Roman" w:hAnsi="Times New Roman"/>
          <w:sz w:val="16"/>
          <w:szCs w:val="16"/>
          <w:u w:val="single" w:color="auto"/>
          <w:color w:val="auto"/>
        </w:rPr>
        <w:t>Section 3.2</w:t>
      </w:r>
      <w:r>
        <w:rPr>
          <w:rFonts w:ascii="Times New Roman" w:cs="Times New Roman" w:eastAsia="Times New Roman" w:hAnsi="Times New Roman"/>
          <w:sz w:val="16"/>
          <w:szCs w:val="16"/>
          <w:color w:val="auto"/>
        </w:rPr>
        <w:t xml:space="preserve"> hereof.</w:t>
      </w:r>
    </w:p>
    <w:p>
      <w:pPr>
        <w:spacing w:after="0" w:line="163" w:lineRule="exact"/>
        <w:rPr>
          <w:rFonts w:ascii="Times New Roman" w:cs="Times New Roman" w:eastAsia="Times New Roman" w:hAnsi="Times New Roman"/>
          <w:sz w:val="16"/>
          <w:szCs w:val="16"/>
          <w:color w:val="auto"/>
        </w:rPr>
      </w:pPr>
    </w:p>
    <w:p>
      <w:pPr>
        <w:jc w:val="both"/>
        <w:ind w:left="-60" w:firstLine="1496"/>
        <w:spacing w:after="0" w:line="256" w:lineRule="auto"/>
        <w:tabs>
          <w:tab w:leader="none" w:pos="1664"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Integrated Offering</w:t>
      </w:r>
      <w:r>
        <w:rPr>
          <w:rFonts w:ascii="Times New Roman" w:cs="Times New Roman" w:eastAsia="Times New Roman" w:hAnsi="Times New Roman"/>
          <w:sz w:val="16"/>
          <w:szCs w:val="16"/>
          <w:color w:val="auto"/>
        </w:rPr>
        <w:t xml:space="preserve">. Assuming the accuracy of the Purchaser’s representations and warranties set forth in </w:t>
      </w:r>
      <w:r>
        <w:rPr>
          <w:rFonts w:ascii="Times New Roman" w:cs="Times New Roman" w:eastAsia="Times New Roman" w:hAnsi="Times New Roman"/>
          <w:sz w:val="16"/>
          <w:szCs w:val="16"/>
          <w:u w:val="single" w:color="auto"/>
          <w:color w:val="auto"/>
        </w:rPr>
        <w:t>Section 3.2</w:t>
      </w:r>
      <w:r>
        <w:rPr>
          <w:rFonts w:ascii="Times New Roman" w:cs="Times New Roman" w:eastAsia="Times New Roman" w:hAnsi="Times New Roman"/>
          <w:sz w:val="16"/>
          <w:szCs w:val="16"/>
          <w:color w:val="auto"/>
        </w:rPr>
        <w:t>,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161" w:lineRule="exact"/>
        <w:rPr>
          <w:rFonts w:ascii="Times New Roman" w:cs="Times New Roman" w:eastAsia="Times New Roman" w:hAnsi="Times New Roman"/>
          <w:sz w:val="16"/>
          <w:szCs w:val="16"/>
          <w:color w:val="auto"/>
        </w:rPr>
      </w:pPr>
    </w:p>
    <w:p>
      <w:pPr>
        <w:jc w:val="both"/>
        <w:ind w:left="-60" w:right="20" w:firstLine="1496"/>
        <w:spacing w:after="0" w:line="261" w:lineRule="auto"/>
        <w:tabs>
          <w:tab w:leader="none" w:pos="1723"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 xml:space="preserve">. Assuming the accuracy of the Purchaser’s representations and warranties set forth in </w:t>
      </w:r>
      <w:r>
        <w:rPr>
          <w:rFonts w:ascii="Times New Roman" w:cs="Times New Roman" w:eastAsia="Times New Roman" w:hAnsi="Times New Roman"/>
          <w:sz w:val="16"/>
          <w:szCs w:val="16"/>
          <w:u w:val="single" w:color="auto"/>
          <w:color w:val="auto"/>
        </w:rPr>
        <w:t>Section 3.2</w:t>
      </w:r>
      <w:r>
        <w:rPr>
          <w:rFonts w:ascii="Times New Roman" w:cs="Times New Roman" w:eastAsia="Times New Roman" w:hAnsi="Times New Roman"/>
          <w:sz w:val="16"/>
          <w:szCs w:val="16"/>
          <w:color w:val="auto"/>
        </w:rPr>
        <w:t>, no registration under the Securities Act is required for the offer and sale of the Securities by the Company to the Purchasers as contemplated hereby. The issuance and sale of the Securities hereunder does not contravene the rules and regulations of the Trading Market.</w:t>
      </w:r>
    </w:p>
    <w:p>
      <w:pPr>
        <w:spacing w:after="0" w:line="156" w:lineRule="exact"/>
        <w:rPr>
          <w:rFonts w:ascii="Times New Roman" w:cs="Times New Roman" w:eastAsia="Times New Roman" w:hAnsi="Times New Roman"/>
          <w:sz w:val="16"/>
          <w:szCs w:val="16"/>
          <w:color w:val="auto"/>
        </w:rPr>
      </w:pPr>
    </w:p>
    <w:p>
      <w:pPr>
        <w:jc w:val="both"/>
        <w:ind w:left="-60" w:right="20" w:firstLine="1496"/>
        <w:spacing w:after="0" w:line="261" w:lineRule="auto"/>
        <w:tabs>
          <w:tab w:leader="none" w:pos="1664"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General Solicitation</w:t>
      </w:r>
      <w:r>
        <w:rPr>
          <w:rFonts w:ascii="Times New Roman" w:cs="Times New Roman" w:eastAsia="Times New Roman" w:hAnsi="Times New Roman"/>
          <w:sz w:val="16"/>
          <w:szCs w:val="16"/>
          <w:color w:val="auto"/>
        </w:rPr>
        <w:t>. Neither the Company nor any Person acting on behalf of the Company has offered or sold any of the Securities by any form of general solicitation or general advertising. The Company has offered the Securities for sale only to the Purchasers and certain other “accredited investors” within the meaning of Rule 501 under the Securities Act.</w:t>
      </w:r>
    </w:p>
    <w:p>
      <w:pPr>
        <w:spacing w:after="0" w:line="156" w:lineRule="exact"/>
        <w:rPr>
          <w:rFonts w:ascii="Times New Roman" w:cs="Times New Roman" w:eastAsia="Times New Roman" w:hAnsi="Times New Roman"/>
          <w:sz w:val="16"/>
          <w:szCs w:val="16"/>
          <w:color w:val="auto"/>
        </w:rPr>
      </w:pPr>
    </w:p>
    <w:p>
      <w:pPr>
        <w:ind w:left="1660" w:hanging="224"/>
        <w:spacing w:after="0"/>
        <w:tabs>
          <w:tab w:leader="none" w:pos="166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[Reserved]</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06" w:lineRule="exact"/>
        <w:rPr>
          <w:sz w:val="20"/>
          <w:szCs w:val="20"/>
          <w:color w:val="auto"/>
        </w:rPr>
      </w:pPr>
    </w:p>
    <w:p>
      <w:pPr>
        <w:ind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394335</wp:posOffset>
            </wp:positionV>
            <wp:extent cx="7174865"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258" w:right="319" w:bottom="1440" w:gutter="0" w:footer="0" w:header="0"/>
        </w:sectPr>
      </w:pPr>
    </w:p>
    <w:bookmarkStart w:id="111" w:name="page112"/>
    <w:bookmarkEnd w:id="111"/>
    <w:p>
      <w:pPr>
        <w:spacing w:after="0" w:line="8" w:lineRule="exact"/>
        <w:rPr>
          <w:sz w:val="20"/>
          <w:szCs w:val="20"/>
          <w:color w:val="auto"/>
        </w:rPr>
      </w:pPr>
    </w:p>
    <w:p>
      <w:pPr>
        <w:jc w:val="both"/>
        <w:ind w:left="-60" w:firstLine="1496"/>
        <w:spacing w:after="0" w:line="252" w:lineRule="auto"/>
        <w:tabs>
          <w:tab w:leader="none" w:pos="1655"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Status</w:t>
      </w:r>
      <w:r>
        <w:rPr>
          <w:rFonts w:ascii="Times New Roman" w:cs="Times New Roman" w:eastAsia="Times New Roman" w:hAnsi="Times New Roman"/>
          <w:sz w:val="16"/>
          <w:szCs w:val="16"/>
          <w:color w:val="auto"/>
        </w:rPr>
        <w:t>. The Company and its subsidiaries (A) have timely filed all federal, state, local and foreign income and franchise tax returns required to be filed and (B) are not in default in the payment of any taxes which were payable pursuant to said returns or any assessments with respect thereto, other than any which the Company or any of its subsidiaries is contesting in good faith; except those, in each of the cases described in clauses (A) and (B) of this paragraph (z), that would not, singularly or in the aggregate, reasonably be expected to have a Material Adverse Effect. There is no pending material dispute with any taxing authority relating to any of such returns, and the Company has no knowledge of any proposed material liability for any tax to be imposed upon the properties or assets of the Company for which there is not an adequate reserve reflected in the Company’s financial statements included in the SEC Reports.</w:t>
      </w:r>
    </w:p>
    <w:p>
      <w:pPr>
        <w:spacing w:after="0" w:line="165" w:lineRule="exact"/>
        <w:rPr>
          <w:sz w:val="20"/>
          <w:szCs w:val="20"/>
          <w:color w:val="auto"/>
        </w:rPr>
      </w:pPr>
    </w:p>
    <w:p>
      <w:pPr>
        <w:jc w:val="both"/>
        <w:ind w:left="-60" w:firstLine="1496"/>
        <w:spacing w:after="0" w:line="268" w:lineRule="auto"/>
        <w:tabs>
          <w:tab w:leader="none" w:pos="1737"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Anti-Bribery and Anti-Money Laundering Laws</w:t>
      </w:r>
      <w:r>
        <w:rPr>
          <w:rFonts w:ascii="Times New Roman" w:cs="Times New Roman" w:eastAsia="Times New Roman" w:hAnsi="Times New Roman"/>
          <w:sz w:val="15"/>
          <w:szCs w:val="15"/>
          <w:color w:val="auto"/>
        </w:rPr>
        <w:t>. Each of the Company, its subsidiaries, its affiliates and any of their respective officers, directors, supervisors, managers, agents, or employees, each in their respective roles with the Company, has not violated, its participation in the offering will not violate, and the Company and each of its subsidiaries has instituted and maintains policies and procedures designed to ensure continued compliance in all material respects with, each of the following laws: anti-bribery laws, including but not limited to, any applicable law, rule, or regulation of any locality in which the Company does business, including but not limited to any applicable law, rule, or regulation promulgated to implement the OECD Convention on Combating Bribery of Foreign Public Officials in International Business Transactions, signed December 17, 1997, including the U.S. Foreign Corrupt Practices Act of 1977 (the “</w:t>
      </w:r>
      <w:r>
        <w:rPr>
          <w:rFonts w:ascii="Times New Roman" w:cs="Times New Roman" w:eastAsia="Times New Roman" w:hAnsi="Times New Roman"/>
          <w:sz w:val="15"/>
          <w:szCs w:val="15"/>
          <w:u w:val="single" w:color="auto"/>
          <w:color w:val="auto"/>
        </w:rPr>
        <w:t>FCPA</w:t>
      </w:r>
      <w:r>
        <w:rPr>
          <w:rFonts w:ascii="Times New Roman" w:cs="Times New Roman" w:eastAsia="Times New Roman" w:hAnsi="Times New Roman"/>
          <w:sz w:val="15"/>
          <w:szCs w:val="15"/>
          <w:color w:val="auto"/>
        </w:rPr>
        <w:t>”), as amended, the U.K. Bribery Act 2010 (to the extent applicable), or any other applicable law, rule or regulation of similar purposes and scope, or anti-money laundering laws, including but not limited to, applicable federal, state, international, foreign or other laws, regulations or government guidance regarding anti-money laundering, including, without limitation, Title 18 US. Code section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w:t>
      </w:r>
    </w:p>
    <w:p>
      <w:pPr>
        <w:spacing w:after="0" w:line="151" w:lineRule="exact"/>
        <w:rPr>
          <w:rFonts w:ascii="Times New Roman" w:cs="Times New Roman" w:eastAsia="Times New Roman" w:hAnsi="Times New Roman"/>
          <w:sz w:val="15"/>
          <w:szCs w:val="15"/>
          <w:color w:val="auto"/>
        </w:rPr>
      </w:pPr>
    </w:p>
    <w:p>
      <w:pPr>
        <w:jc w:val="both"/>
        <w:ind w:left="-60" w:firstLine="1496"/>
        <w:spacing w:after="0" w:line="251" w:lineRule="auto"/>
        <w:tabs>
          <w:tab w:leader="none" w:pos="1743"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Acknowledgment Regarding Purchaser’s Purchase of Securities</w:t>
      </w:r>
      <w:r>
        <w:rPr>
          <w:rFonts w:ascii="Times New Roman" w:cs="Times New Roman" w:eastAsia="Times New Roman" w:hAnsi="Times New Roman"/>
          <w:sz w:val="16"/>
          <w:szCs w:val="16"/>
          <w:color w:val="auto"/>
        </w:rPr>
        <w:t>. The Company acknowledges and agrees that each Purchaser is acting solely in the capacity of an arm’s length purchaser with respect to the Transaction Documents and the transactions contemplated thereby. The Company further acknowledges that each Purchaser is not acting as a financial advisor or fiduciary of the Company (or in any similar capacity) with respect to the Transaction Documents and the transactions contemplated thereby and any advice given by each Purchaser or any of its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66" w:lineRule="exact"/>
        <w:rPr>
          <w:rFonts w:ascii="Times New Roman" w:cs="Times New Roman" w:eastAsia="Times New Roman" w:hAnsi="Times New Roman"/>
          <w:sz w:val="16"/>
          <w:szCs w:val="16"/>
          <w:color w:val="auto"/>
        </w:rPr>
      </w:pPr>
    </w:p>
    <w:p>
      <w:pPr>
        <w:jc w:val="both"/>
        <w:ind w:left="-60" w:firstLine="1496"/>
        <w:spacing w:after="0" w:line="251" w:lineRule="auto"/>
        <w:tabs>
          <w:tab w:leader="none" w:pos="1725"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Acknowledgment Regarding Purchaser’s Trading Activity</w:t>
      </w:r>
      <w:r>
        <w:rPr>
          <w:rFonts w:ascii="Times New Roman" w:cs="Times New Roman" w:eastAsia="Times New Roman" w:hAnsi="Times New Roman"/>
          <w:sz w:val="16"/>
          <w:szCs w:val="16"/>
          <w:color w:val="auto"/>
        </w:rPr>
        <w:t xml:space="preserve">. Anything in this Agreement or elsewhere herein to the contrary notwithstanding (except for </w:t>
      </w:r>
      <w:r>
        <w:rPr>
          <w:rFonts w:ascii="Times New Roman" w:cs="Times New Roman" w:eastAsia="Times New Roman" w:hAnsi="Times New Roman"/>
          <w:sz w:val="16"/>
          <w:szCs w:val="16"/>
          <w:u w:val="single" w:color="auto"/>
          <w:color w:val="auto"/>
        </w:rPr>
        <w:t>Sections 3.2(f)</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4.14</w:t>
      </w:r>
      <w:r>
        <w:rPr>
          <w:rFonts w:ascii="Times New Roman" w:cs="Times New Roman" w:eastAsia="Times New Roman" w:hAnsi="Times New Roman"/>
          <w:sz w:val="16"/>
          <w:szCs w:val="16"/>
          <w:color w:val="auto"/>
        </w:rPr>
        <w:t xml:space="preserve"> hereof), it is understood and acknowledged by the Company that: (A) each Purchaser has not been asked by the Company to agree, nor has each Purchaser agreed, to desist from purchasing or selling, long and/or short, securities of the Company, or “derivative” securities based on securities issued by the Company or to hold the Securities for any specified term; (B) past or future open market or other transactions by the Purchaser, specifically including, without limitation, Short Sales or “derivative” transactions, before or after the closing of this or future private placement transactions, may negatively impact the market price of the Company’s publicly-traded securities; (C) the Purchaser, and counter-parties in “derivative” transactions, if any, to which each Purchaser is a party, directly or indirectly, presently may have a “short” position in the Common Stock, and (D) each Purchaser shall not be deemed to have any affiliation with or control over any arm’s length counter-party in any “derivative” transaction. The Company further understands and acknowledges that (i) each Purchaser may engage in hedging activities at various times during the period that the</w:t>
      </w:r>
    </w:p>
    <w:p>
      <w:pPr>
        <w:spacing w:after="0" w:line="200" w:lineRule="exact"/>
        <w:rPr>
          <w:sz w:val="20"/>
          <w:szCs w:val="20"/>
          <w:color w:val="auto"/>
        </w:rPr>
      </w:pPr>
    </w:p>
    <w:p>
      <w:pPr>
        <w:spacing w:after="0" w:line="275" w:lineRule="exact"/>
        <w:rPr>
          <w:sz w:val="20"/>
          <w:szCs w:val="20"/>
          <w:color w:val="auto"/>
        </w:rPr>
      </w:pPr>
    </w:p>
    <w:p>
      <w:pPr>
        <w:ind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394335</wp:posOffset>
            </wp:positionV>
            <wp:extent cx="7174865"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40" w:right="319" w:bottom="1440" w:gutter="0" w:footer="0" w:header="0"/>
        </w:sectPr>
      </w:pPr>
    </w:p>
    <w:bookmarkStart w:id="112" w:name="page113"/>
    <w:bookmarkEnd w:id="112"/>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Securities are outstanding, and (ii)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57" w:lineRule="exact"/>
        <w:rPr>
          <w:sz w:val="20"/>
          <w:szCs w:val="20"/>
          <w:color w:val="auto"/>
        </w:rPr>
      </w:pPr>
    </w:p>
    <w:p>
      <w:pPr>
        <w:jc w:val="both"/>
        <w:ind w:firstLine="1496"/>
        <w:spacing w:after="0" w:line="254" w:lineRule="auto"/>
        <w:tabs>
          <w:tab w:leader="none" w:pos="1803"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Regulation M Compliance</w:t>
      </w:r>
      <w:r>
        <w:rPr>
          <w:rFonts w:ascii="Times New Roman" w:cs="Times New Roman" w:eastAsia="Times New Roman" w:hAnsi="Times New Roman"/>
          <w:sz w:val="16"/>
          <w:szCs w:val="16"/>
          <w:color w:val="auto"/>
        </w:rPr>
        <w:t>. The Company has not, and to its knowledge no one acting on its behalf has, (A) taken, directly or indirectly, any action designed to cause or to result in the stabilization or manipulation of the price of any security of the Company to facilitate the sale or resale of any of the Securities, (B) sold, bid for, purchased, or, paid any compensation for soliciting purchases of, any of the Securities, or (C) paid or agreed to pay to any Person any compensation for soliciting another to purchase any other securities of the Company, other than, in the case of clauses (B) and (C), compensation paid to the Placement Agent in connection with the placement of the Securities.</w:t>
      </w:r>
    </w:p>
    <w:p>
      <w:pPr>
        <w:spacing w:after="0" w:line="161" w:lineRule="exact"/>
        <w:rPr>
          <w:rFonts w:ascii="Times New Roman" w:cs="Times New Roman" w:eastAsia="Times New Roman" w:hAnsi="Times New Roman"/>
          <w:sz w:val="16"/>
          <w:szCs w:val="16"/>
          <w:color w:val="auto"/>
        </w:rPr>
      </w:pPr>
    </w:p>
    <w:p>
      <w:pPr>
        <w:jc w:val="both"/>
        <w:ind w:firstLine="1496"/>
        <w:spacing w:after="0" w:line="251" w:lineRule="auto"/>
        <w:tabs>
          <w:tab w:leader="none" w:pos="1797"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Cybersecurity</w:t>
      </w:r>
      <w:r>
        <w:rPr>
          <w:rFonts w:ascii="Times New Roman" w:cs="Times New Roman" w:eastAsia="Times New Roman" w:hAnsi="Times New Roman"/>
          <w:sz w:val="16"/>
          <w:szCs w:val="16"/>
          <w:color w:val="auto"/>
        </w:rPr>
        <w:t>. Except as would not, individually or in the aggregate, have a Material Adverse Effect, (A)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6"/>
          <w:szCs w:val="16"/>
          <w:u w:val="single" w:color="auto"/>
          <w:color w:val="auto"/>
        </w:rPr>
        <w:t>IT Systems and Data</w:t>
      </w:r>
      <w:r>
        <w:rPr>
          <w:rFonts w:ascii="Times New Roman" w:cs="Times New Roman" w:eastAsia="Times New Roman" w:hAnsi="Times New Roman"/>
          <w:sz w:val="16"/>
          <w:szCs w:val="16"/>
          <w:color w:val="auto"/>
        </w:rPr>
        <w:t>”) and to the protection of such IT Systems and Data from unauthorized use, access, misappropriation or modification; (B) the Company and the Subsidiaries have implemented and maintained commercially reasonable safeguards to maintain and protect its material confidential information and the integrity, continuous operation, redundancy and security of all IT Systems and Data; and (C) the Company and the Subsidiaries have implemented backup and disaster recovery technology consistent with commercially reasonable industry standards and practices.</w:t>
      </w:r>
    </w:p>
    <w:p>
      <w:pPr>
        <w:spacing w:after="0" w:line="163" w:lineRule="exact"/>
        <w:rPr>
          <w:rFonts w:ascii="Times New Roman" w:cs="Times New Roman" w:eastAsia="Times New Roman" w:hAnsi="Times New Roman"/>
          <w:sz w:val="16"/>
          <w:szCs w:val="16"/>
          <w:color w:val="auto"/>
        </w:rPr>
      </w:pPr>
    </w:p>
    <w:p>
      <w:pPr>
        <w:jc w:val="both"/>
        <w:ind w:firstLine="1496"/>
        <w:spacing w:after="0" w:line="250" w:lineRule="auto"/>
        <w:tabs>
          <w:tab w:leader="none" w:pos="175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 Option Plans</w:t>
      </w:r>
      <w:r>
        <w:rPr>
          <w:rFonts w:ascii="Times New Roman" w:cs="Times New Roman" w:eastAsia="Times New Roman" w:hAnsi="Times New Roman"/>
          <w:sz w:val="16"/>
          <w:szCs w:val="16"/>
          <w:color w:val="auto"/>
        </w:rPr>
        <w:t>. Except as described in the SEC Reports, there are no options, warrants, restricted stock units, agreements, contracts or other rights in existence to purchase or acquire from the Company or any subsidiary of the Company any shares of the capital stock of the Company or any subsidiary of the Company. The description of the Company’s stock option, stock bonus and other stock plans or arrangements (the “</w:t>
      </w:r>
      <w:r>
        <w:rPr>
          <w:rFonts w:ascii="Times New Roman" w:cs="Times New Roman" w:eastAsia="Times New Roman" w:hAnsi="Times New Roman"/>
          <w:sz w:val="16"/>
          <w:szCs w:val="16"/>
          <w:u w:val="single" w:color="auto"/>
          <w:color w:val="auto"/>
        </w:rPr>
        <w:t>Company Stock Plans</w:t>
      </w:r>
      <w:r>
        <w:rPr>
          <w:rFonts w:ascii="Times New Roman" w:cs="Times New Roman" w:eastAsia="Times New Roman" w:hAnsi="Times New Roman"/>
          <w:sz w:val="16"/>
          <w:szCs w:val="16"/>
          <w:color w:val="auto"/>
        </w:rPr>
        <w:t>”), and the options (the “</w:t>
      </w:r>
      <w:r>
        <w:rPr>
          <w:rFonts w:ascii="Times New Roman" w:cs="Times New Roman" w:eastAsia="Times New Roman" w:hAnsi="Times New Roman"/>
          <w:sz w:val="16"/>
          <w:szCs w:val="16"/>
          <w:u w:val="single" w:color="auto"/>
          <w:color w:val="auto"/>
        </w:rPr>
        <w:t>Options</w:t>
      </w:r>
      <w:r>
        <w:rPr>
          <w:rFonts w:ascii="Times New Roman" w:cs="Times New Roman" w:eastAsia="Times New Roman" w:hAnsi="Times New Roman"/>
          <w:sz w:val="16"/>
          <w:szCs w:val="16"/>
          <w:color w:val="auto"/>
        </w:rPr>
        <w:t>”) or other rights granted thereunder, set forth in the SEC Reports accurately and fairly presents the information required to be shown with respect to such plans, arrangements, options and rights. Each grant of an Option (A) was duly authorized no later than the date on which the grant of such Option was by its terms to be effective by all necessary corporate action, including, as applicable, approval by the board of directors of the Company (or a duly constituted and authorized committee thereof) and any required shareholder approval by the necessary number of votes or written consents, and the award agreement governing such grant (if any) was duly executed and delivered by each party thereto and (B) was made in accordance in all material respects with the terms of the applicable Company Stock Plan, and all applicable laws and regulatory rules or requirements, including all applicable federal securities laws.</w:t>
      </w:r>
    </w:p>
    <w:p>
      <w:pPr>
        <w:spacing w:after="0" w:line="167" w:lineRule="exact"/>
        <w:rPr>
          <w:rFonts w:ascii="Times New Roman" w:cs="Times New Roman" w:eastAsia="Times New Roman" w:hAnsi="Times New Roman"/>
          <w:sz w:val="16"/>
          <w:szCs w:val="16"/>
          <w:color w:val="auto"/>
        </w:rPr>
      </w:pPr>
    </w:p>
    <w:p>
      <w:pPr>
        <w:jc w:val="both"/>
        <w:ind w:right="20" w:firstLine="1496"/>
        <w:spacing w:after="0" w:line="261" w:lineRule="auto"/>
        <w:tabs>
          <w:tab w:leader="none" w:pos="1803"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Office of Foreign Assets Control</w:t>
      </w:r>
      <w:r>
        <w:rPr>
          <w:rFonts w:ascii="Times New Roman" w:cs="Times New Roman" w:eastAsia="Times New Roman" w:hAnsi="Times New Roman"/>
          <w:sz w:val="16"/>
          <w:szCs w:val="16"/>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6"/>
          <w:szCs w:val="16"/>
          <w:u w:val="single" w:color="auto"/>
          <w:color w:val="auto"/>
        </w:rPr>
        <w:t>OFAC</w:t>
      </w:r>
      <w:r>
        <w:rPr>
          <w:rFonts w:ascii="Times New Roman" w:cs="Times New Roman" w:eastAsia="Times New Roman" w:hAnsi="Times New Roman"/>
          <w:sz w:val="16"/>
          <w:szCs w:val="16"/>
          <w:color w:val="auto"/>
        </w:rPr>
        <w:t>”).</w:t>
      </w:r>
    </w:p>
    <w:p>
      <w:pPr>
        <w:spacing w:after="0" w:line="156" w:lineRule="exact"/>
        <w:rPr>
          <w:rFonts w:ascii="Times New Roman" w:cs="Times New Roman" w:eastAsia="Times New Roman" w:hAnsi="Times New Roman"/>
          <w:sz w:val="16"/>
          <w:szCs w:val="16"/>
          <w:color w:val="auto"/>
        </w:rPr>
      </w:pPr>
    </w:p>
    <w:p>
      <w:pPr>
        <w:ind w:right="20" w:firstLine="1496"/>
        <w:spacing w:after="0" w:line="276" w:lineRule="auto"/>
        <w:tabs>
          <w:tab w:leader="none" w:pos="1815"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U.S. Real Property Holding Corporation</w:t>
      </w:r>
      <w:r>
        <w:rPr>
          <w:rFonts w:ascii="Times New Roman" w:cs="Times New Roman" w:eastAsia="Times New Roman" w:hAnsi="Times New Roman"/>
          <w:sz w:val="16"/>
          <w:szCs w:val="16"/>
          <w:color w:val="auto"/>
        </w:rPr>
        <w:t>. The Company is not and has never been a U.S. real property holding corporation within the meaning of Section 897 of the Internal Revenue Code of 1986, as amended, and the Company shall so certify upon a Purchaser’s request.</w:t>
      </w:r>
    </w:p>
    <w:p>
      <w:pPr>
        <w:spacing w:after="0" w:line="144" w:lineRule="exact"/>
        <w:rPr>
          <w:rFonts w:ascii="Times New Roman" w:cs="Times New Roman" w:eastAsia="Times New Roman" w:hAnsi="Times New Roman"/>
          <w:sz w:val="16"/>
          <w:szCs w:val="16"/>
          <w:color w:val="auto"/>
        </w:rPr>
      </w:pPr>
    </w:p>
    <w:p>
      <w:pPr>
        <w:ind w:right="20" w:firstLine="1496"/>
        <w:spacing w:after="0" w:line="310" w:lineRule="auto"/>
        <w:tabs>
          <w:tab w:leader="none" w:pos="1733"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Bank Holding Company Act</w:t>
      </w:r>
      <w:r>
        <w:rPr>
          <w:rFonts w:ascii="Times New Roman" w:cs="Times New Roman" w:eastAsia="Times New Roman" w:hAnsi="Times New Roman"/>
          <w:sz w:val="15"/>
          <w:szCs w:val="15"/>
          <w:color w:val="auto"/>
        </w:rPr>
        <w:t>. Neither the Company nor any of its subsidiaries or Affiliates is subject to the Bank Holding Company Act of 1956, as amended (the “</w:t>
      </w:r>
      <w:r>
        <w:rPr>
          <w:rFonts w:ascii="Times New Roman" w:cs="Times New Roman" w:eastAsia="Times New Roman" w:hAnsi="Times New Roman"/>
          <w:sz w:val="15"/>
          <w:szCs w:val="15"/>
          <w:u w:val="single" w:color="auto"/>
          <w:color w:val="auto"/>
        </w:rPr>
        <w:t>BHCA</w:t>
      </w:r>
      <w:r>
        <w:rPr>
          <w:rFonts w:ascii="Times New Roman" w:cs="Times New Roman" w:eastAsia="Times New Roman" w:hAnsi="Times New Roman"/>
          <w:sz w:val="15"/>
          <w:szCs w:val="15"/>
          <w:color w:val="auto"/>
        </w:rPr>
        <w:t>”) and to regulation by the Board of Governors of the Federal Reserve System (the “</w:t>
      </w:r>
      <w:r>
        <w:rPr>
          <w:rFonts w:ascii="Times New Roman" w:cs="Times New Roman" w:eastAsia="Times New Roman" w:hAnsi="Times New Roman"/>
          <w:sz w:val="15"/>
          <w:szCs w:val="15"/>
          <w:u w:val="single" w:color="auto"/>
          <w:color w:val="auto"/>
        </w:rPr>
        <w:t>Federal Reserve</w:t>
      </w:r>
      <w:r>
        <w:rPr>
          <w:rFonts w:ascii="Times New Roman" w:cs="Times New Roman" w:eastAsia="Times New Roman" w:hAnsi="Times New Roman"/>
          <w:sz w:val="15"/>
          <w:szCs w:val="15"/>
          <w:color w:val="auto"/>
        </w:rPr>
        <w:t>”). Neither the Company nor any of its subsidiaries or</w:t>
      </w:r>
    </w:p>
    <w:p>
      <w:pPr>
        <w:spacing w:after="0" w:line="200" w:lineRule="exact"/>
        <w:rPr>
          <w:sz w:val="20"/>
          <w:szCs w:val="20"/>
          <w:color w:val="auto"/>
        </w:rPr>
      </w:pPr>
    </w:p>
    <w:p>
      <w:pPr>
        <w:spacing w:after="0" w:line="234" w:lineRule="exact"/>
        <w:rPr>
          <w:sz w:val="20"/>
          <w:szCs w:val="20"/>
          <w:color w:val="auto"/>
        </w:rPr>
      </w:pPr>
    </w:p>
    <w:p>
      <w:pPr>
        <w:ind w:left="60"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394335</wp:posOffset>
            </wp:positionV>
            <wp:extent cx="717486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113" w:name="page114"/>
    <w:bookmarkEnd w:id="113"/>
    <w:p>
      <w:pPr>
        <w:jc w:val="both"/>
        <w:spacing w:after="0" w:line="261" w:lineRule="auto"/>
        <w:rPr>
          <w:sz w:val="20"/>
          <w:szCs w:val="20"/>
          <w:color w:val="auto"/>
        </w:rPr>
      </w:pPr>
      <w:r>
        <w:rPr>
          <w:rFonts w:ascii="Times New Roman" w:cs="Times New Roman" w:eastAsia="Times New Roman" w:hAnsi="Times New Roman"/>
          <w:sz w:val="16"/>
          <w:szCs w:val="16"/>
          <w:color w:val="auto"/>
        </w:rPr>
        <w:t>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57" w:lineRule="exact"/>
        <w:rPr>
          <w:sz w:val="20"/>
          <w:szCs w:val="20"/>
          <w:color w:val="auto"/>
        </w:rPr>
      </w:pPr>
    </w:p>
    <w:p>
      <w:pPr>
        <w:jc w:val="both"/>
        <w:ind w:firstLine="1496"/>
        <w:spacing w:after="0" w:line="248" w:lineRule="auto"/>
        <w:tabs>
          <w:tab w:leader="none" w:pos="1733"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Regulatory</w:t>
      </w:r>
      <w:r>
        <w:rPr>
          <w:rFonts w:ascii="Times New Roman" w:cs="Times New Roman" w:eastAsia="Times New Roman" w:hAnsi="Times New Roman"/>
          <w:sz w:val="16"/>
          <w:szCs w:val="16"/>
          <w:color w:val="auto"/>
        </w:rPr>
        <w:t xml:space="preserve">. Except as described on </w:t>
      </w:r>
      <w:r>
        <w:rPr>
          <w:rFonts w:ascii="Times New Roman" w:cs="Times New Roman" w:eastAsia="Times New Roman" w:hAnsi="Times New Roman"/>
          <w:sz w:val="16"/>
          <w:szCs w:val="16"/>
          <w:u w:val="single" w:color="auto"/>
          <w:color w:val="auto"/>
        </w:rPr>
        <w:t>Schedule 3.1(f)</w:t>
      </w:r>
      <w:r>
        <w:rPr>
          <w:rFonts w:ascii="Times New Roman" w:cs="Times New Roman" w:eastAsia="Times New Roman" w:hAnsi="Times New Roman"/>
          <w:sz w:val="16"/>
          <w:szCs w:val="16"/>
          <w:color w:val="auto"/>
        </w:rPr>
        <w:t>, the Company and its Subsidiaries (A) are and at all times have been in material compliance with all statutes, rules and regulations applicable to the Company including, without limitation, the federal Anti-Kickback Statute (42 U.S.C. § 1320a-7b(b)), the regulations promulgated pursuant to such laws, and any successor government programs and comparable state laws, and all other local, state, federal, national, supranational and foreign laws, manual provisions, policies and administrative guidance relating to the regulation of the Company (collectively, the “</w:t>
      </w:r>
      <w:r>
        <w:rPr>
          <w:rFonts w:ascii="Times New Roman" w:cs="Times New Roman" w:eastAsia="Times New Roman" w:hAnsi="Times New Roman"/>
          <w:sz w:val="16"/>
          <w:szCs w:val="16"/>
          <w:u w:val="single" w:color="auto"/>
          <w:color w:val="auto"/>
        </w:rPr>
        <w:t>Applicable Laws</w:t>
      </w:r>
      <w:r>
        <w:rPr>
          <w:rFonts w:ascii="Times New Roman" w:cs="Times New Roman" w:eastAsia="Times New Roman" w:hAnsi="Times New Roman"/>
          <w:sz w:val="16"/>
          <w:szCs w:val="16"/>
          <w:color w:val="auto"/>
        </w:rPr>
        <w:t>”); (B) have not received any notice from any court or arbitrator or governmental or regulatory authority or third party alleging or asserting noncompliance with any Applicable Laws or any licenses, exemptions, certificates, approvals, clearances, authorizations, permits, registrations and supplements or amendments thereto required by any such Applicable Laws (“</w:t>
      </w:r>
      <w:r>
        <w:rPr>
          <w:rFonts w:ascii="Times New Roman" w:cs="Times New Roman" w:eastAsia="Times New Roman" w:hAnsi="Times New Roman"/>
          <w:sz w:val="16"/>
          <w:szCs w:val="16"/>
          <w:u w:val="single" w:color="auto"/>
          <w:color w:val="auto"/>
        </w:rPr>
        <w:t>Authorizations</w:t>
      </w:r>
      <w:r>
        <w:rPr>
          <w:rFonts w:ascii="Times New Roman" w:cs="Times New Roman" w:eastAsia="Times New Roman" w:hAnsi="Times New Roman"/>
          <w:sz w:val="16"/>
          <w:szCs w:val="16"/>
          <w:color w:val="auto"/>
        </w:rPr>
        <w:t>”); (C) possess all material Authorizations and such Authorizations are valid and in full force and effect and are not in violation of any term of any such Authorizations; (D) have not received written notice of any claim, action, suit, proceeding, hearing, enforcement, investigation arbitration or other action from any court or arbitrator or governmental or regulatory authority or third party alleging that any product operation or activity is in violation of any Applicable Laws or Authorizations nor is any such claim, action, suit, proceeding, hearing, enforcement, investigation, arbitration or other action threatened; (E) have not received any written notice that any court or arbitrator or governmental or regulatory authority has taken, is taking or intends to take, action to limit, suspend, materially modify or revoke any Authorizations nor is any such limitation, suspension, modification or revocation threatened; (F) have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accurate on the date filed (or were corrected or supplemented by a subsequent submission); and (G) are not a party to any corporate integrity agreements, monitoring agreements, consent decrees, settlement orders, or similar agreements with or imposed by any governmental or regulatory authority.</w:t>
      </w:r>
    </w:p>
    <w:p>
      <w:pPr>
        <w:spacing w:after="0" w:line="174" w:lineRule="exact"/>
        <w:rPr>
          <w:rFonts w:ascii="Times New Roman" w:cs="Times New Roman" w:eastAsia="Times New Roman" w:hAnsi="Times New Roman"/>
          <w:sz w:val="16"/>
          <w:szCs w:val="16"/>
          <w:color w:val="auto"/>
        </w:rPr>
      </w:pPr>
    </w:p>
    <w:p>
      <w:pPr>
        <w:jc w:val="both"/>
        <w:ind w:firstLine="1496"/>
        <w:spacing w:after="0" w:line="271" w:lineRule="auto"/>
        <w:tabs>
          <w:tab w:leader="none" w:pos="1803"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Disqualification Events</w:t>
      </w:r>
      <w:r>
        <w:rPr>
          <w:rFonts w:ascii="Times New Roman" w:cs="Times New Roman" w:eastAsia="Times New Roman" w:hAnsi="Times New Roman"/>
          <w:sz w:val="15"/>
          <w:szCs w:val="15"/>
          <w:color w:val="auto"/>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5"/>
          <w:szCs w:val="15"/>
          <w:u w:val="single" w:color="auto"/>
          <w:color w:val="auto"/>
        </w:rPr>
        <w:t>Issuer Covered Person</w:t>
      </w:r>
      <w:r>
        <w:rPr>
          <w:rFonts w:ascii="Times New Roman" w:cs="Times New Roman" w:eastAsia="Times New Roman" w:hAnsi="Times New Roman"/>
          <w:sz w:val="15"/>
          <w:szCs w:val="15"/>
          <w:color w:val="auto"/>
        </w:rPr>
        <w:t>” and, together, “</w:t>
      </w:r>
      <w:r>
        <w:rPr>
          <w:rFonts w:ascii="Times New Roman" w:cs="Times New Roman" w:eastAsia="Times New Roman" w:hAnsi="Times New Roman"/>
          <w:sz w:val="15"/>
          <w:szCs w:val="15"/>
          <w:u w:val="single" w:color="auto"/>
          <w:color w:val="auto"/>
        </w:rPr>
        <w:t>Issuer Covered Persons</w:t>
      </w:r>
      <w:r>
        <w:rPr>
          <w:rFonts w:ascii="Times New Roman" w:cs="Times New Roman" w:eastAsia="Times New Roman" w:hAnsi="Times New Roman"/>
          <w:sz w:val="15"/>
          <w:szCs w:val="15"/>
          <w:color w:val="auto"/>
        </w:rPr>
        <w:t>”) is subject to any of the “</w:t>
      </w:r>
      <w:r>
        <w:rPr>
          <w:rFonts w:ascii="Times New Roman" w:cs="Times New Roman" w:eastAsia="Times New Roman" w:hAnsi="Times New Roman"/>
          <w:sz w:val="15"/>
          <w:szCs w:val="15"/>
          <w:u w:val="single" w:color="auto"/>
          <w:color w:val="auto"/>
        </w:rPr>
        <w:t>Bad Actor</w:t>
      </w:r>
      <w:r>
        <w:rPr>
          <w:rFonts w:ascii="Times New Roman" w:cs="Times New Roman" w:eastAsia="Times New Roman" w:hAnsi="Times New Roman"/>
          <w:sz w:val="15"/>
          <w:szCs w:val="15"/>
          <w:color w:val="auto"/>
        </w:rPr>
        <w:t>” disqualifications described in Rule 506(d)(1)(i) to (viii) under the Securities Act (a “</w:t>
      </w:r>
      <w:r>
        <w:rPr>
          <w:rFonts w:ascii="Times New Roman" w:cs="Times New Roman" w:eastAsia="Times New Roman" w:hAnsi="Times New Roman"/>
          <w:sz w:val="15"/>
          <w:szCs w:val="15"/>
          <w:u w:val="single" w:color="auto"/>
          <w:color w:val="auto"/>
        </w:rPr>
        <w:t>Disqualification Event</w:t>
      </w:r>
      <w:r>
        <w:rPr>
          <w:rFonts w:ascii="Times New Roman" w:cs="Times New Roman" w:eastAsia="Times New Roman" w:hAnsi="Times New Roman"/>
          <w:sz w:val="15"/>
          <w:szCs w:val="15"/>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150" w:lineRule="exact"/>
        <w:rPr>
          <w:rFonts w:ascii="Times New Roman" w:cs="Times New Roman" w:eastAsia="Times New Roman" w:hAnsi="Times New Roman"/>
          <w:sz w:val="15"/>
          <w:szCs w:val="15"/>
          <w:color w:val="auto"/>
        </w:rPr>
      </w:pPr>
    </w:p>
    <w:p>
      <w:pPr>
        <w:ind w:right="20" w:firstLine="1496"/>
        <w:spacing w:after="0" w:line="276" w:lineRule="auto"/>
        <w:tabs>
          <w:tab w:leader="none" w:pos="1745"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Covered Persons</w:t>
      </w:r>
      <w:r>
        <w:rPr>
          <w:rFonts w:ascii="Times New Roman" w:cs="Times New Roman" w:eastAsia="Times New Roman" w:hAnsi="Times New Roman"/>
          <w:sz w:val="16"/>
          <w:szCs w:val="16"/>
          <w:color w:val="auto"/>
        </w:rPr>
        <w:t>. Other than the Placement Agent, the Company is not aware of any person (other than any Issuer Covered Person) that has been or will be paid (directly or indirectly) remuneration for solicitation of purchasers in connection with the sale of any Securities.</w:t>
      </w:r>
    </w:p>
    <w:p>
      <w:pPr>
        <w:spacing w:after="0" w:line="144" w:lineRule="exact"/>
        <w:rPr>
          <w:rFonts w:ascii="Times New Roman" w:cs="Times New Roman" w:eastAsia="Times New Roman" w:hAnsi="Times New Roman"/>
          <w:sz w:val="16"/>
          <w:szCs w:val="16"/>
          <w:color w:val="auto"/>
        </w:rPr>
      </w:pPr>
    </w:p>
    <w:p>
      <w:pPr>
        <w:jc w:val="both"/>
        <w:ind w:right="20" w:firstLine="1496"/>
        <w:spacing w:after="0" w:line="261" w:lineRule="auto"/>
        <w:tabs>
          <w:tab w:leader="none" w:pos="1891"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 of Disqualification Events</w:t>
      </w:r>
      <w:r>
        <w:rPr>
          <w:rFonts w:ascii="Times New Roman" w:cs="Times New Roman" w:eastAsia="Times New Roman" w:hAnsi="Times New Roman"/>
          <w:sz w:val="16"/>
          <w:szCs w:val="16"/>
          <w:color w:val="auto"/>
        </w:rPr>
        <w:t>. The Company will notify the Purchasers and the Placement Agent in writing, prior to the Closing Date of (i) any Disqualification Event relating to any Issuer Covered Person and (ii) any event that would, with the passage of time, become a Disqualification Event relating to any Issuer Covered Person.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394335</wp:posOffset>
            </wp:positionV>
            <wp:extent cx="7174865"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114" w:name="page115"/>
    <w:bookmarkEnd w:id="114"/>
    <w:p>
      <w:pPr>
        <w:jc w:val="both"/>
        <w:ind w:left="-60" w:firstLine="1496"/>
        <w:spacing w:after="0" w:line="248" w:lineRule="auto"/>
        <w:tabs>
          <w:tab w:leader="none" w:pos="1743"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Food and Drug Regulations</w:t>
      </w:r>
      <w:r>
        <w:rPr>
          <w:rFonts w:ascii="Times New Roman" w:cs="Times New Roman" w:eastAsia="Times New Roman" w:hAnsi="Times New Roman"/>
          <w:sz w:val="16"/>
          <w:szCs w:val="16"/>
          <w:color w:val="auto"/>
        </w:rPr>
        <w:t>. As to each product subject to the jurisdiction of the U.S. Food and Drug Administration (the “</w:t>
      </w:r>
      <w:r>
        <w:rPr>
          <w:rFonts w:ascii="Times New Roman" w:cs="Times New Roman" w:eastAsia="Times New Roman" w:hAnsi="Times New Roman"/>
          <w:sz w:val="16"/>
          <w:szCs w:val="16"/>
          <w:u w:val="single" w:color="auto"/>
          <w:color w:val="auto"/>
        </w:rPr>
        <w:t>FDA</w:t>
      </w:r>
      <w:r>
        <w:rPr>
          <w:rFonts w:ascii="Times New Roman" w:cs="Times New Roman" w:eastAsia="Times New Roman" w:hAnsi="Times New Roman"/>
          <w:sz w:val="16"/>
          <w:szCs w:val="16"/>
          <w:color w:val="auto"/>
        </w:rPr>
        <w:t>”) under the Federal Food, Drug and Cosmetic Act, and the regulations thereunder (the “</w:t>
      </w:r>
      <w:r>
        <w:rPr>
          <w:rFonts w:ascii="Times New Roman" w:cs="Times New Roman" w:eastAsia="Times New Roman" w:hAnsi="Times New Roman"/>
          <w:sz w:val="16"/>
          <w:szCs w:val="16"/>
          <w:u w:val="single" w:color="auto"/>
          <w:color w:val="auto"/>
        </w:rPr>
        <w:t>FDCA</w:t>
      </w:r>
      <w:r>
        <w:rPr>
          <w:rFonts w:ascii="Times New Roman" w:cs="Times New Roman" w:eastAsia="Times New Roman" w:hAnsi="Times New Roman"/>
          <w:sz w:val="16"/>
          <w:szCs w:val="16"/>
          <w:color w:val="auto"/>
        </w:rPr>
        <w:t>”) and similar or comparable governmental authorities located in other countries and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including, without limitation in foreign jurisdictions (collectively, “</w:t>
      </w:r>
      <w:r>
        <w:rPr>
          <w:rFonts w:ascii="Times New Roman" w:cs="Times New Roman" w:eastAsia="Times New Roman" w:hAnsi="Times New Roman"/>
          <w:sz w:val="16"/>
          <w:szCs w:val="16"/>
          <w:u w:val="single" w:color="auto"/>
          <w:color w:val="auto"/>
        </w:rPr>
        <w:t>Food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Drug Regulations</w:t>
      </w:r>
      <w:r>
        <w:rPr>
          <w:rFonts w:ascii="Times New Roman" w:cs="Times New Roman" w:eastAsia="Times New Roman" w:hAnsi="Times New Roman"/>
          <w:sz w:val="16"/>
          <w:szCs w:val="16"/>
          <w:color w:val="auto"/>
        </w:rPr>
        <w:t>”), that is manufactured, packaged, labeled, tested, distributed, sold, and/or marketed by the Company or any of its Subsidiaries (each such product, a “</w:t>
      </w:r>
      <w:r>
        <w:rPr>
          <w:rFonts w:ascii="Times New Roman" w:cs="Times New Roman" w:eastAsia="Times New Roman" w:hAnsi="Times New Roman"/>
          <w:sz w:val="16"/>
          <w:szCs w:val="16"/>
          <w:u w:val="single" w:color="auto"/>
          <w:color w:val="auto"/>
        </w:rPr>
        <w:t>Product</w:t>
      </w:r>
      <w:r>
        <w:rPr>
          <w:rFonts w:ascii="Times New Roman" w:cs="Times New Roman" w:eastAsia="Times New Roman" w:hAnsi="Times New Roman"/>
          <w:sz w:val="16"/>
          <w:szCs w:val="16"/>
          <w:color w:val="auto"/>
        </w:rPr>
        <w:t>”), such Product is being manufactured, packaged, labeled, tested, distributed, sold and/or marketed by the Company in compliance with all applicable requirements under applicable Food and Drug Regulations, except where the failure to be in compliance would not have or would reasonably be expected to have a Material Adverse Effect or as is disclosed in the SEC Reports. Except as disclosed in the SEC Reports, there is no pending, completed or, to the Company’s knowledge, threatened, Proceeding against the Company or any of its Subsidiaries, and none of the Company or any of its Subsidiaries has received any notice, warning letter or other communication arising from or relating to Food and Drug Regulations, which (A) contests the premarket clearance, licensure, registration, or approval of, the uses of, the distribution of, the manufacturing or packaging of, the testing of, the sale of, or the labeling and promotion of any Product, (B) withdraws its approval of, requests the recall, suspension, or seizure of, or withdraws or orders the withdrawal of advertising or sales promotional materials relating to, any Product, (C) imposes a clinical hold on any clinical investigation by the Company or any of its Subsidiaries, (D) enjoins production at any facility of the Company or any of its Subsidiaries, (E) enters or proposes to enter into a consent decree of permanent injunction with the Company or any of its Subsidiaries, or (F) otherwise alleges any violation of any laws, rules or regulations by the Company or any of its Subsidiaries (including Food and Drug Regulations), and which, either individually or in the aggregate, would have or would reasonably be expected to have a Material Adverse Effect. The properties, business and operations of the Company have been and are being conducted in all material respects in accordance with all applicable Food and Drug Regulations. The Company has not been informed by the FDA or any other governmental authority that such governmental authority will prohibit the marketing, sale, license or use in the United States or in another jurisdiction of any product proposed to be developed, produced or marketed by the Company.</w:t>
      </w:r>
    </w:p>
    <w:p>
      <w:pPr>
        <w:spacing w:after="0" w:line="173" w:lineRule="exact"/>
        <w:rPr>
          <w:rFonts w:ascii="Times New Roman" w:cs="Times New Roman" w:eastAsia="Times New Roman" w:hAnsi="Times New Roman"/>
          <w:sz w:val="16"/>
          <w:szCs w:val="16"/>
          <w:color w:val="auto"/>
        </w:rPr>
      </w:pPr>
    </w:p>
    <w:p>
      <w:pPr>
        <w:jc w:val="both"/>
        <w:ind w:left="-60" w:firstLine="1496"/>
        <w:spacing w:after="0" w:line="251" w:lineRule="auto"/>
        <w:tabs>
          <w:tab w:leader="none" w:pos="1743"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w:t>
      </w:r>
      <w:r>
        <w:rPr>
          <w:rFonts w:ascii="Times New Roman" w:cs="Times New Roman" w:eastAsia="Times New Roman" w:hAnsi="Times New Roman"/>
          <w:sz w:val="16"/>
          <w:szCs w:val="16"/>
          <w:color w:val="auto"/>
        </w:rPr>
        <w:t>. Neither the Company nor any Subsidiary: (A)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(B) is in violation of any judgment, decree or order of any court, arbitrator or other governmental authority or (C) is or has been in violation of any statute, rule, ordinance or regulation of any governmental authority, including without limitation all foreign, federal, state and local laws relating to the FDA and comparable foreign regulators, the U.S. Federal Trade Commission (“</w:t>
      </w:r>
      <w:r>
        <w:rPr>
          <w:rFonts w:ascii="Times New Roman" w:cs="Times New Roman" w:eastAsia="Times New Roman" w:hAnsi="Times New Roman"/>
          <w:sz w:val="16"/>
          <w:szCs w:val="16"/>
          <w:u w:val="single" w:color="auto"/>
          <w:color w:val="auto"/>
        </w:rPr>
        <w:t>FTC</w:t>
      </w:r>
      <w:r>
        <w:rPr>
          <w:rFonts w:ascii="Times New Roman" w:cs="Times New Roman" w:eastAsia="Times New Roman" w:hAnsi="Times New Roman"/>
          <w:sz w:val="16"/>
          <w:szCs w:val="16"/>
          <w:color w:val="auto"/>
        </w:rPr>
        <w:t>”), state unfair trade practice laws and rules and foreign equivalents, taxes, environmental protection, occupational health and safety, product quality and safety and employment and labor matters, except in each case as could not have or reasonably be expected to result in a Material Adverse Effect.</w:t>
      </w:r>
    </w:p>
    <w:p>
      <w:pPr>
        <w:spacing w:after="0" w:line="163" w:lineRule="exact"/>
        <w:rPr>
          <w:rFonts w:ascii="Times New Roman" w:cs="Times New Roman" w:eastAsia="Times New Roman" w:hAnsi="Times New Roman"/>
          <w:sz w:val="16"/>
          <w:szCs w:val="16"/>
          <w:color w:val="auto"/>
        </w:rPr>
      </w:pPr>
    </w:p>
    <w:p>
      <w:pPr>
        <w:jc w:val="both"/>
        <w:ind w:left="-60" w:firstLine="1496"/>
        <w:spacing w:after="0" w:line="251" w:lineRule="auto"/>
        <w:tabs>
          <w:tab w:leader="none" w:pos="1755"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Data Privacy Laws</w:t>
      </w:r>
      <w:r>
        <w:rPr>
          <w:rFonts w:ascii="Times New Roman" w:cs="Times New Roman" w:eastAsia="Times New Roman" w:hAnsi="Times New Roman"/>
          <w:sz w:val="16"/>
          <w:szCs w:val="16"/>
          <w:color w:val="auto"/>
        </w:rPr>
        <w:t>. (A) The Company and the Subsidiaries are, and at all times during the last three (3) years were, in material compliance with all applicable state, federal and foreign data privacy and security laws and regulations, including, without limitation, the European Union General Data Protection Regulation (“</w:t>
      </w:r>
      <w:r>
        <w:rPr>
          <w:rFonts w:ascii="Times New Roman" w:cs="Times New Roman" w:eastAsia="Times New Roman" w:hAnsi="Times New Roman"/>
          <w:sz w:val="16"/>
          <w:szCs w:val="16"/>
          <w:u w:val="single" w:color="auto"/>
          <w:color w:val="auto"/>
        </w:rPr>
        <w:t>GDPR</w:t>
      </w:r>
      <w:r>
        <w:rPr>
          <w:rFonts w:ascii="Times New Roman" w:cs="Times New Roman" w:eastAsia="Times New Roman" w:hAnsi="Times New Roman"/>
          <w:sz w:val="16"/>
          <w:szCs w:val="16"/>
          <w:color w:val="auto"/>
        </w:rPr>
        <w:t>”) (EU 2016/679) (collectively, “</w:t>
      </w:r>
      <w:r>
        <w:rPr>
          <w:rFonts w:ascii="Times New Roman" w:cs="Times New Roman" w:eastAsia="Times New Roman" w:hAnsi="Times New Roman"/>
          <w:sz w:val="16"/>
          <w:szCs w:val="16"/>
          <w:u w:val="single" w:color="auto"/>
          <w:color w:val="auto"/>
        </w:rPr>
        <w:t>Privacy Laws</w:t>
      </w:r>
      <w:r>
        <w:rPr>
          <w:rFonts w:ascii="Times New Roman" w:cs="Times New Roman" w:eastAsia="Times New Roman" w:hAnsi="Times New Roman"/>
          <w:sz w:val="16"/>
          <w:szCs w:val="16"/>
          <w:color w:val="auto"/>
        </w:rPr>
        <w:t>”); (B)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 w:cs="Times New Roman" w:eastAsia="Times New Roman" w:hAnsi="Times New Roman"/>
          <w:sz w:val="16"/>
          <w:szCs w:val="16"/>
          <w:u w:val="single" w:color="auto"/>
          <w:color w:val="auto"/>
        </w:rPr>
        <w:t>Policies</w:t>
      </w:r>
      <w:r>
        <w:rPr>
          <w:rFonts w:ascii="Times New Roman" w:cs="Times New Roman" w:eastAsia="Times New Roman" w:hAnsi="Times New Roman"/>
          <w:sz w:val="16"/>
          <w:szCs w:val="16"/>
          <w:color w:val="auto"/>
        </w:rPr>
        <w:t>”); (C) the Company provides accurate notice of its applicable Policies to its customers, employees, third party vendors and representatives as required by the Privacy Laws; and (D)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 w:cs="Times New Roman" w:eastAsia="Times New Roman" w:hAnsi="Times New Roman"/>
          <w:sz w:val="16"/>
          <w:szCs w:val="16"/>
          <w:u w:val="single" w:color="auto"/>
          <w:color w:val="auto"/>
        </w:rPr>
        <w:t>Personal Data</w:t>
      </w:r>
      <w:r>
        <w:rPr>
          <w:rFonts w:ascii="Times New Roman" w:cs="Times New Roman" w:eastAsia="Times New Roman" w:hAnsi="Times New Roman"/>
          <w:sz w:val="16"/>
          <w:szCs w:val="16"/>
          <w:color w:val="auto"/>
        </w:rPr>
        <w:t>” means (i) a natural person’s name, street address, telephone number, email</w:t>
      </w:r>
    </w:p>
    <w:p>
      <w:pPr>
        <w:spacing w:after="0" w:line="200" w:lineRule="exact"/>
        <w:rPr>
          <w:sz w:val="20"/>
          <w:szCs w:val="20"/>
          <w:color w:val="auto"/>
        </w:rPr>
      </w:pPr>
    </w:p>
    <w:p>
      <w:pPr>
        <w:spacing w:after="0" w:line="275" w:lineRule="exact"/>
        <w:rPr>
          <w:sz w:val="20"/>
          <w:szCs w:val="20"/>
          <w:color w:val="auto"/>
        </w:rPr>
      </w:pPr>
    </w:p>
    <w:p>
      <w:pPr>
        <w:ind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394335</wp:posOffset>
            </wp:positionV>
            <wp:extent cx="7174865"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258" w:right="319" w:bottom="1440" w:gutter="0" w:footer="0" w:header="0"/>
        </w:sectPr>
      </w:pPr>
    </w:p>
    <w:bookmarkStart w:id="115" w:name="page116"/>
    <w:bookmarkEnd w:id="115"/>
    <w:p>
      <w:pPr>
        <w:jc w:val="both"/>
        <w:spacing w:after="0" w:line="250" w:lineRule="auto"/>
        <w:rPr>
          <w:sz w:val="20"/>
          <w:szCs w:val="20"/>
          <w:color w:val="auto"/>
        </w:rPr>
      </w:pPr>
      <w:r>
        <w:rPr>
          <w:rFonts w:ascii="Times New Roman" w:cs="Times New Roman" w:eastAsia="Times New Roman" w:hAnsi="Times New Roman"/>
          <w:sz w:val="16"/>
          <w:szCs w:val="16"/>
          <w:color w:val="auto"/>
        </w:rPr>
        <w:t>address, photograph, social security number, bank information, or customer or account number; (ii) any information which would qualify as “personally identifying information” under the FTC,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(y) None of such disclosures made or contained in any of the Policies have been inaccurate, misleading, or deceptive in violation of any Privacy Laws and (z) the execution, delivery and performance of the Transaction Documents will not result in a breach of any Privacy Laws or Policies. Neither the Company nor the Subsidiaries (1) to the knowledge of the Company, has received written notice of any actual or potential liability of the Company or the Subsidiaries under, or actual or potential violation by the Company or the Subsidiaries of, any of the Privacy Laws; (2) is currently conducting or paying for, in whole or in part, any investigation, remediation or other corrective action pursuant to any regulatory request or demand pursuant to any Privacy Law; or (3) is a party to any order, decree, or agreement by or with any court or arbitrator or governmental or regulatory authority that imposed any obligation or liability under any Privacy Law.</w:t>
      </w:r>
    </w:p>
    <w:p>
      <w:pPr>
        <w:spacing w:after="0" w:line="167" w:lineRule="exact"/>
        <w:rPr>
          <w:sz w:val="20"/>
          <w:szCs w:val="20"/>
          <w:color w:val="auto"/>
        </w:rPr>
      </w:pPr>
    </w:p>
    <w:p>
      <w:pPr>
        <w:jc w:val="both"/>
        <w:ind w:firstLine="1496"/>
        <w:spacing w:after="0" w:line="248" w:lineRule="auto"/>
        <w:tabs>
          <w:tab w:leader="none" w:pos="1803"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Solvency</w:t>
      </w:r>
      <w:r>
        <w:rPr>
          <w:rFonts w:ascii="Times New Roman" w:cs="Times New Roman" w:eastAsia="Times New Roman" w:hAnsi="Times New Roman"/>
          <w:sz w:val="16"/>
          <w:szCs w:val="16"/>
          <w:color w:val="auto"/>
        </w:rPr>
        <w:t>. Based on the consolidated financial condition of the Company as of the Closing Date, after giving effect to the receipt by the Company of the proceeds from the sale of the Securities hereunder, (A) the fair saleable value of the Company’s assets exceeds the amount that will be required to be paid on or in respect of the Company’s existing debts and other liabilities (including known contingent liabilities) as they mature, (B)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(C)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Except as disclosed in the SEC Reports, the Company has no knowledge of any facts or circumstances which lead it to believe that it will file for reorganization or liquidation under the bankruptcy or reorganization laws of any jurisdiction within one (1) year from the Closing Date. The SEC Reports set forth as of the date of this Agreement and as of the Closing Date, respectively,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6"/>
          <w:szCs w:val="16"/>
          <w:u w:val="single" w:color="auto"/>
          <w:color w:val="auto"/>
        </w:rPr>
        <w:t>Indebtedness</w:t>
      </w:r>
      <w:r>
        <w:rPr>
          <w:rFonts w:ascii="Times New Roman" w:cs="Times New Roman" w:eastAsia="Times New Roman" w:hAnsi="Times New Roman"/>
          <w:sz w:val="16"/>
          <w:szCs w:val="16"/>
          <w:color w:val="auto"/>
        </w:rPr>
        <w:t>” means (i) any liabilities for borrowed money or amounts owed in excess of Fifty Thousand Dollars ($50,000) (other than trade accounts payable incurred in the ordinary course of business), (ii)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(iii) the present value of any lease payments in excess of One Hundred Thousand Dollars ($100,000) due under leases required to be capitalized in accordance with GAAP. Neither the Company nor any Subsidiary is in default with respect to any Indebtedness.</w:t>
      </w:r>
    </w:p>
    <w:p>
      <w:pPr>
        <w:spacing w:after="0" w:line="175" w:lineRule="exact"/>
        <w:rPr>
          <w:sz w:val="20"/>
          <w:szCs w:val="20"/>
          <w:color w:val="auto"/>
        </w:rPr>
      </w:pPr>
    </w:p>
    <w:p>
      <w:pPr>
        <w:ind w:right="20" w:firstLine="751"/>
        <w:spacing w:after="0" w:line="276" w:lineRule="auto"/>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u w:val="single" w:color="auto"/>
          <w:color w:val="auto"/>
        </w:rPr>
        <w:t>Representations and Warranties of the Purchaser</w:t>
      </w:r>
      <w:r>
        <w:rPr>
          <w:rFonts w:ascii="Times New Roman" w:cs="Times New Roman" w:eastAsia="Times New Roman" w:hAnsi="Times New Roman"/>
          <w:sz w:val="16"/>
          <w:szCs w:val="16"/>
          <w:color w:val="auto"/>
        </w:rPr>
        <w:t>. Each Purchaser hereby represents and warrants as of the date hereof and as of the Closing Date to the Company as follows (unless as of a specific date therein, in which case they shall be accurate as of such date):</w:t>
      </w:r>
    </w:p>
    <w:p>
      <w:pPr>
        <w:spacing w:after="0" w:line="145" w:lineRule="exact"/>
        <w:rPr>
          <w:sz w:val="20"/>
          <w:szCs w:val="20"/>
          <w:color w:val="auto"/>
        </w:rPr>
      </w:pPr>
    </w:p>
    <w:p>
      <w:pPr>
        <w:jc w:val="both"/>
        <w:ind w:firstLine="1496"/>
        <w:spacing w:after="0" w:line="252" w:lineRule="auto"/>
        <w:tabs>
          <w:tab w:leader="none" w:pos="1715"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Organization; Authority</w:t>
      </w:r>
      <w:r>
        <w:rPr>
          <w:rFonts w:ascii="Times New Roman" w:cs="Times New Roman" w:eastAsia="Times New Roman" w:hAnsi="Times New Roman"/>
          <w:sz w:val="16"/>
          <w:szCs w:val="16"/>
          <w:color w:val="auto"/>
        </w:rPr>
        <w:t>. Each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each Purchaser of the transactions contemplated by the Transaction Documents have been duly authorized by all necessary corporate, partnership, limited liability company or similar action, as applicable, on the part of the Purchaser. Each Transaction Document to which it is a party has been duly executed by the Purchaser, and when delivered by each Purchaser in accordance with the terms hereof, will constitute the valid and legally binding obligation of the Purchaser,</w:t>
      </w:r>
    </w:p>
    <w:p>
      <w:pPr>
        <w:spacing w:after="0" w:line="200" w:lineRule="exact"/>
        <w:rPr>
          <w:sz w:val="20"/>
          <w:szCs w:val="20"/>
          <w:color w:val="auto"/>
        </w:rPr>
      </w:pPr>
    </w:p>
    <w:p>
      <w:pPr>
        <w:spacing w:after="0" w:line="277" w:lineRule="exact"/>
        <w:rPr>
          <w:sz w:val="20"/>
          <w:szCs w:val="20"/>
          <w:color w:val="auto"/>
        </w:rPr>
      </w:pPr>
    </w:p>
    <w:p>
      <w:pPr>
        <w:ind w:left="60"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394335</wp:posOffset>
            </wp:positionV>
            <wp:extent cx="717486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116" w:name="page117"/>
    <w:bookmarkEnd w:id="116"/>
    <w:p>
      <w:pPr>
        <w:jc w:val="both"/>
        <w:spacing w:after="0" w:line="261" w:lineRule="auto"/>
        <w:rPr>
          <w:sz w:val="20"/>
          <w:szCs w:val="20"/>
          <w:color w:val="auto"/>
        </w:rPr>
      </w:pPr>
      <w:r>
        <w:rPr>
          <w:rFonts w:ascii="Times New Roman" w:cs="Times New Roman" w:eastAsia="Times New Roman" w:hAnsi="Times New Roman"/>
          <w:sz w:val="16"/>
          <w:szCs w:val="16"/>
          <w:color w:val="auto"/>
        </w:rPr>
        <w:t>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57" w:lineRule="exact"/>
        <w:rPr>
          <w:sz w:val="20"/>
          <w:szCs w:val="20"/>
          <w:color w:val="auto"/>
        </w:rPr>
      </w:pPr>
    </w:p>
    <w:p>
      <w:pPr>
        <w:jc w:val="both"/>
        <w:ind w:firstLine="1496"/>
        <w:spacing w:after="0" w:line="256" w:lineRule="auto"/>
        <w:tabs>
          <w:tab w:leader="none" w:pos="1724"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Understandings or Arrangements</w:t>
      </w:r>
      <w:r>
        <w:rPr>
          <w:rFonts w:ascii="Times New Roman" w:cs="Times New Roman" w:eastAsia="Times New Roman" w:hAnsi="Times New Roman"/>
          <w:sz w:val="16"/>
          <w:szCs w:val="16"/>
          <w:color w:val="auto"/>
        </w:rPr>
        <w:t>. Each Purchaser is acquiring the Securities as principal for its own account and has no direct or indirect arrangement or understandings with any other persons to distribute or regarding the distribution of such Securities (this representation and warranty not limiting the Purchaser’s right to sell the Securities pursuant to the Registration Statement or otherwise in compliance with applicable federal and state securities laws). Each Purchaser is acquiring the Securities hereunder in the ordinary course of its business.</w:t>
      </w:r>
    </w:p>
    <w:p>
      <w:pPr>
        <w:spacing w:after="0" w:line="161" w:lineRule="exact"/>
        <w:rPr>
          <w:rFonts w:ascii="Times New Roman" w:cs="Times New Roman" w:eastAsia="Times New Roman" w:hAnsi="Times New Roman"/>
          <w:sz w:val="16"/>
          <w:szCs w:val="16"/>
          <w:color w:val="auto"/>
        </w:rPr>
      </w:pPr>
    </w:p>
    <w:p>
      <w:pPr>
        <w:jc w:val="both"/>
        <w:ind w:firstLine="1496"/>
        <w:spacing w:after="0" w:line="261" w:lineRule="auto"/>
        <w:tabs>
          <w:tab w:leader="none" w:pos="1715"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Purchaser Status</w:t>
      </w:r>
      <w:r>
        <w:rPr>
          <w:rFonts w:ascii="Times New Roman" w:cs="Times New Roman" w:eastAsia="Times New Roman" w:hAnsi="Times New Roman"/>
          <w:sz w:val="16"/>
          <w:szCs w:val="16"/>
          <w:color w:val="auto"/>
        </w:rPr>
        <w:t>. At the time each Purchaser was offered the Securities, it was, and as of the date hereof it is, and on each date on which it exercises any Warrants, it will be either: (i) an “accredited investor” as defined in Rule 501(a)(1), (a)(2), (a)(3), (a)(7)under the Securities Act or (ii) a “qualified institutional buyer” as defined in Rule 144A(a) under the Securities Act.</w:t>
      </w:r>
    </w:p>
    <w:p>
      <w:pPr>
        <w:spacing w:after="0" w:line="156" w:lineRule="exact"/>
        <w:rPr>
          <w:rFonts w:ascii="Times New Roman" w:cs="Times New Roman" w:eastAsia="Times New Roman" w:hAnsi="Times New Roman"/>
          <w:sz w:val="16"/>
          <w:szCs w:val="16"/>
          <w:color w:val="auto"/>
        </w:rPr>
      </w:pPr>
    </w:p>
    <w:p>
      <w:pPr>
        <w:jc w:val="both"/>
        <w:ind w:firstLine="1496"/>
        <w:spacing w:after="0" w:line="286" w:lineRule="auto"/>
        <w:tabs>
          <w:tab w:leader="none" w:pos="1736"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Experience of the Purchaser</w:t>
      </w:r>
      <w:r>
        <w:rPr>
          <w:rFonts w:ascii="Times New Roman" w:cs="Times New Roman" w:eastAsia="Times New Roman" w:hAnsi="Times New Roman"/>
          <w:sz w:val="15"/>
          <w:szCs w:val="15"/>
          <w:color w:val="auto"/>
        </w:rPr>
        <w:t>. The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Each Purchaser is able to bear the economic risk of an investment in the Securities and, at the present time, is able to afford a complete loss of such investment.</w:t>
      </w:r>
    </w:p>
    <w:p>
      <w:pPr>
        <w:spacing w:after="0" w:line="140" w:lineRule="exact"/>
        <w:rPr>
          <w:rFonts w:ascii="Times New Roman" w:cs="Times New Roman" w:eastAsia="Times New Roman" w:hAnsi="Times New Roman"/>
          <w:sz w:val="15"/>
          <w:szCs w:val="15"/>
          <w:color w:val="auto"/>
        </w:rPr>
      </w:pPr>
    </w:p>
    <w:p>
      <w:pPr>
        <w:jc w:val="both"/>
        <w:ind w:right="20" w:firstLine="1496"/>
        <w:spacing w:after="0" w:line="261" w:lineRule="auto"/>
        <w:tabs>
          <w:tab w:leader="none" w:pos="1727"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General Solicitation</w:t>
      </w:r>
      <w:r>
        <w:rPr>
          <w:rFonts w:ascii="Times New Roman" w:cs="Times New Roman" w:eastAsia="Times New Roman" w:hAnsi="Times New Roman"/>
          <w:sz w:val="16"/>
          <w:szCs w:val="16"/>
          <w:color w:val="auto"/>
        </w:rPr>
        <w:t>. Such Purchaser is not, to such Purchaser’s knowledge,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56" w:lineRule="exact"/>
        <w:rPr>
          <w:rFonts w:ascii="Times New Roman" w:cs="Times New Roman" w:eastAsia="Times New Roman" w:hAnsi="Times New Roman"/>
          <w:sz w:val="16"/>
          <w:szCs w:val="16"/>
          <w:color w:val="auto"/>
        </w:rPr>
      </w:pPr>
    </w:p>
    <w:p>
      <w:pPr>
        <w:jc w:val="both"/>
        <w:ind w:firstLine="1496"/>
        <w:spacing w:after="0" w:line="250" w:lineRule="auto"/>
        <w:tabs>
          <w:tab w:leader="none" w:pos="1698"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Access to Information</w:t>
      </w:r>
      <w:r>
        <w:rPr>
          <w:rFonts w:ascii="Times New Roman" w:cs="Times New Roman" w:eastAsia="Times New Roman" w:hAnsi="Times New Roman"/>
          <w:sz w:val="16"/>
          <w:szCs w:val="16"/>
          <w:color w:val="auto"/>
        </w:rPr>
        <w:t>. Each Purchaser acknowledges that it has had the opportunity to review the Transaction Documents (including all exhibits and schedules thereto) and the SEC Reports and has been afforded, (A) the opportunity to ask such questions as it has deemed necessary of, and to receive answers from, representatives of the Company concerning the terms and conditions of the offering of the Securities and the merits and risks of investing in the Securities; (B) access to information about the Company and its financial condition, results of operations, business, properties, management and prospects sufficient to enable it to evaluate its investment; and (C) the opportunity to obtain such additional information that the Company possesses or can acquire without unreasonable effort or expense that is necessary to make an informed investment decision with respect to the investment. Each Purchaser acknowledges and agrees that neither the Placement Agent nor any Affiliate of the Placement Agent has provided each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each Purchaser agrees need not be provided to it. In connection with the issuance of the Securities to the Purchaser, neither the Placement Agent nor any of its Affiliates has acted as a financial advisor or fiduciary to the Purchaser.</w:t>
      </w:r>
    </w:p>
    <w:p>
      <w:pPr>
        <w:spacing w:after="0" w:line="164" w:lineRule="exact"/>
        <w:rPr>
          <w:rFonts w:ascii="Times New Roman" w:cs="Times New Roman" w:eastAsia="Times New Roman" w:hAnsi="Times New Roman"/>
          <w:sz w:val="16"/>
          <w:szCs w:val="16"/>
          <w:color w:val="auto"/>
        </w:rPr>
      </w:pPr>
    </w:p>
    <w:p>
      <w:pPr>
        <w:jc w:val="both"/>
        <w:ind w:firstLine="1496"/>
        <w:spacing w:after="0" w:line="252" w:lineRule="auto"/>
        <w:tabs>
          <w:tab w:leader="none" w:pos="1736"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Transactions and Confidentiality</w:t>
      </w:r>
      <w:r>
        <w:rPr>
          <w:rFonts w:ascii="Times New Roman" w:cs="Times New Roman" w:eastAsia="Times New Roman" w:hAnsi="Times New Roman"/>
          <w:sz w:val="16"/>
          <w:szCs w:val="16"/>
          <w:color w:val="auto"/>
        </w:rPr>
        <w:t>. Other than consummating the transactions contemplated hereunder, each Purchaser has not, nor has any Person acting on behalf of or pursuant to any understanding with the Purchaser, directly or indirectly executed any purchases or sales, including Short Sales, of the securities of the Company during the period commencing as of the time that each Purchaser first received a term sheet (written or oral) from the Company or any other Person representing the Company setting forth the material terms of the transactions contemplated hereunder and ending immediately prior to the execution hereof. Other than to other Persons party to this Agreement or to the Purchaser’s representatives, including, without limitation, its officers, directors, partners, legal and other advisors, employees, agents and Affiliates, each Purchaser has maintained the</w:t>
      </w:r>
    </w:p>
    <w:p>
      <w:pPr>
        <w:spacing w:after="0" w:line="200" w:lineRule="exact"/>
        <w:rPr>
          <w:sz w:val="20"/>
          <w:szCs w:val="20"/>
          <w:color w:val="auto"/>
        </w:rPr>
      </w:pPr>
    </w:p>
    <w:p>
      <w:pPr>
        <w:spacing w:after="0" w:line="277" w:lineRule="exact"/>
        <w:rPr>
          <w:sz w:val="20"/>
          <w:szCs w:val="20"/>
          <w:color w:val="auto"/>
        </w:rPr>
      </w:pPr>
    </w:p>
    <w:p>
      <w:pPr>
        <w:ind w:left="60"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394335</wp:posOffset>
            </wp:positionV>
            <wp:extent cx="7174865"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117" w:name="page118"/>
    <w:bookmarkEnd w:id="117"/>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57" w:lineRule="exact"/>
        <w:rPr>
          <w:sz w:val="20"/>
          <w:szCs w:val="20"/>
          <w:color w:val="auto"/>
        </w:rPr>
      </w:pPr>
    </w:p>
    <w:p>
      <w:pPr>
        <w:jc w:val="both"/>
        <w:ind w:firstLine="1496"/>
        <w:spacing w:after="0" w:line="256" w:lineRule="auto"/>
        <w:tabs>
          <w:tab w:leader="none" w:pos="1724"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Brokers</w:t>
      </w:r>
      <w:r>
        <w:rPr>
          <w:rFonts w:ascii="Times New Roman" w:cs="Times New Roman" w:eastAsia="Times New Roman" w:hAnsi="Times New Roman"/>
          <w:sz w:val="16"/>
          <w:szCs w:val="16"/>
          <w:color w:val="auto"/>
        </w:rPr>
        <w:t>. No agent, broker, investment banker, person or firm acting in a similar capacity on behalf of or under the authority of the Purchaser is or will be entitled to any broker’s or finder’s fee or any other commission or similar fee, directly or indirectly, for which the Company or any of its Affiliates after the Closing could have any liabilities in connection with this Agreement, any of the transactions contemplated by this Agreement, or on account of any action taken by the Purchaser in connection with the transactions contemplated by this Agreement.</w:t>
      </w:r>
    </w:p>
    <w:p>
      <w:pPr>
        <w:spacing w:after="0" w:line="161" w:lineRule="exact"/>
        <w:rPr>
          <w:rFonts w:ascii="Times New Roman" w:cs="Times New Roman" w:eastAsia="Times New Roman" w:hAnsi="Times New Roman"/>
          <w:sz w:val="16"/>
          <w:szCs w:val="16"/>
          <w:color w:val="auto"/>
        </w:rPr>
      </w:pPr>
    </w:p>
    <w:p>
      <w:pPr>
        <w:ind w:right="20" w:firstLine="1496"/>
        <w:spacing w:after="0" w:line="276" w:lineRule="auto"/>
        <w:tabs>
          <w:tab w:leader="none" w:pos="1689"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Independent Advice</w:t>
      </w:r>
      <w:r>
        <w:rPr>
          <w:rFonts w:ascii="Times New Roman" w:cs="Times New Roman" w:eastAsia="Times New Roman" w:hAnsi="Times New Roman"/>
          <w:sz w:val="16"/>
          <w:szCs w:val="16"/>
          <w:color w:val="auto"/>
        </w:rPr>
        <w:t>. Each Purchaser understands that nothing in this Agreement or any other materials presented by or on behalf of the Company to the Purchaser in connection with the purchase of the Securities constitutes legal, tax or investment advice.</w:t>
      </w:r>
    </w:p>
    <w:p>
      <w:pPr>
        <w:spacing w:after="0" w:line="144" w:lineRule="exact"/>
        <w:rPr>
          <w:rFonts w:ascii="Times New Roman" w:cs="Times New Roman" w:eastAsia="Times New Roman" w:hAnsi="Times New Roman"/>
          <w:sz w:val="16"/>
          <w:szCs w:val="16"/>
          <w:color w:val="auto"/>
        </w:rPr>
      </w:pPr>
    </w:p>
    <w:p>
      <w:pPr>
        <w:jc w:val="both"/>
        <w:ind w:firstLine="1496"/>
        <w:spacing w:after="0" w:line="248" w:lineRule="auto"/>
        <w:tabs>
          <w:tab w:leader="none" w:pos="1701"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Sanctioned Persons; BSA/PATRIOT Act</w:t>
      </w:r>
      <w:r>
        <w:rPr>
          <w:rFonts w:ascii="Times New Roman" w:cs="Times New Roman" w:eastAsia="Times New Roman" w:hAnsi="Times New Roman"/>
          <w:sz w:val="16"/>
          <w:szCs w:val="16"/>
          <w:color w:val="auto"/>
        </w:rPr>
        <w:t>. Purchaser is not owned or controlled by or acting on behalf of (in connection with this Agreement), a Sanctioned Person. Purchaser is not an institution that accepts currency for deposit and that (A) has no physical presence in the jurisdiction in which it is incorporated or in which it is operating and (B) is unaffiliated with a regulated financial group that is subject to consolidated supervision (a “</w:t>
      </w:r>
      <w:r>
        <w:rPr>
          <w:rFonts w:ascii="Times New Roman" w:cs="Times New Roman" w:eastAsia="Times New Roman" w:hAnsi="Times New Roman"/>
          <w:sz w:val="16"/>
          <w:szCs w:val="16"/>
          <w:u w:val="single" w:color="auto"/>
          <w:color w:val="auto"/>
        </w:rPr>
        <w:t>Shell Bank</w:t>
      </w:r>
      <w:r>
        <w:rPr>
          <w:rFonts w:ascii="Times New Roman" w:cs="Times New Roman" w:eastAsia="Times New Roman" w:hAnsi="Times New Roman"/>
          <w:sz w:val="16"/>
          <w:szCs w:val="16"/>
          <w:color w:val="auto"/>
        </w:rPr>
        <w:t>”) or providing banking services to a Shell Bank. Purchaser represents that if it is a financial institution subject to the Bank Secrecy Act (31 U.S.C. Section 5311 et seq.), as amended by the USA PATRIOT Act of 2001 and its implementing regulations (collectively, the “</w:t>
      </w:r>
      <w:r>
        <w:rPr>
          <w:rFonts w:ascii="Times New Roman" w:cs="Times New Roman" w:eastAsia="Times New Roman" w:hAnsi="Times New Roman"/>
          <w:sz w:val="16"/>
          <w:szCs w:val="16"/>
          <w:u w:val="single" w:color="auto"/>
          <w:color w:val="auto"/>
        </w:rPr>
        <w:t>BSA/PATRIOT Act</w:t>
      </w:r>
      <w:r>
        <w:rPr>
          <w:rFonts w:ascii="Times New Roman" w:cs="Times New Roman" w:eastAsia="Times New Roman" w:hAnsi="Times New Roman"/>
          <w:sz w:val="16"/>
          <w:szCs w:val="16"/>
          <w:color w:val="auto"/>
        </w:rPr>
        <w:t>”), that Purchaser maintains policies and procedures reasonably designed to comply with applicable obligations under the BSA/PATRIOT Act. Purchaser also represents that, to the extent required by applicable law, it maintains, either directly or through the use of a third-party administrator, policies, and procedures reasonably designed for the screening of any investors in the Purchaser against Sanctions-related lists of blocked or restricted persons. Purchaser further represents and warrants that (i) the funds held by Purchaser and used to purchase the Securities were not directly or indirectly derived from or related to any activities that may contravene U.S. federal, state, or non-U.S. anti-money laundering, anti-corruption, or Sanctions laws and regulations or activities that may otherwise be deemed criminal and (ii) any returns from the Purchaser’s investment will not be used to finance any illegal activities. For purposes of this Agreement, “</w:t>
      </w:r>
      <w:r>
        <w:rPr>
          <w:rFonts w:ascii="Times New Roman" w:cs="Times New Roman" w:eastAsia="Times New Roman" w:hAnsi="Times New Roman"/>
          <w:sz w:val="16"/>
          <w:szCs w:val="16"/>
          <w:u w:val="single" w:color="auto"/>
          <w:color w:val="auto"/>
        </w:rPr>
        <w:t>Sanctioned Person</w:t>
      </w:r>
      <w:r>
        <w:rPr>
          <w:rFonts w:ascii="Times New Roman" w:cs="Times New Roman" w:eastAsia="Times New Roman" w:hAnsi="Times New Roman"/>
          <w:sz w:val="16"/>
          <w:szCs w:val="16"/>
          <w:color w:val="auto"/>
        </w:rPr>
        <w:t>” means at any time any person or entity with whom dealings are restricted, prohibited, or sanctionable under any Sanctions (as defined below), including as a result of being: (x) listed on any Sanctions-related list of designated or blocked or restricted persons; (y) that is a national of, the government of, or any agency or instrumentality of the government of, or resident in, or organized under the laws of, a country or territory that is the target of comprehensive Sanctions from time to time (as of the date of this Agreement, Cuba, Iran, North Korea, Syria, and the Crimea region); or (z) a relationship of ownership, control, or agency with any of the foregoing. “</w:t>
      </w:r>
      <w:r>
        <w:rPr>
          <w:rFonts w:ascii="Times New Roman" w:cs="Times New Roman" w:eastAsia="Times New Roman" w:hAnsi="Times New Roman"/>
          <w:sz w:val="16"/>
          <w:szCs w:val="16"/>
          <w:u w:val="single" w:color="auto"/>
          <w:color w:val="auto"/>
        </w:rPr>
        <w:t>Sanctions</w:t>
      </w:r>
      <w:r>
        <w:rPr>
          <w:rFonts w:ascii="Times New Roman" w:cs="Times New Roman" w:eastAsia="Times New Roman" w:hAnsi="Times New Roman"/>
          <w:sz w:val="16"/>
          <w:szCs w:val="16"/>
          <w:color w:val="auto"/>
        </w:rPr>
        <w:t>” means those trade, economic and financial sanctions laws, regulations, embargoes, and restrictive measures (in each case having the force of law) administered, enacted, or enforced from time to time by (1) the United States (including without limitation the U.S. Department of the Treasury, Office of Foreign Assets Control, the U.S. Department of State, and the U.S. Department of Commerce), (2) the European Union and enforced by its member states, (3) the United Nations, and (4) the United Kingdom.</w:t>
      </w:r>
    </w:p>
    <w:p>
      <w:pPr>
        <w:spacing w:after="0" w:line="174" w:lineRule="exact"/>
        <w:rPr>
          <w:sz w:val="20"/>
          <w:szCs w:val="20"/>
          <w:color w:val="auto"/>
        </w:rPr>
      </w:pPr>
    </w:p>
    <w:p>
      <w:pPr>
        <w:jc w:val="both"/>
        <w:ind w:firstLine="751"/>
        <w:spacing w:after="0" w:line="254" w:lineRule="auto"/>
        <w:rPr>
          <w:sz w:val="20"/>
          <w:szCs w:val="20"/>
          <w:color w:val="auto"/>
        </w:rPr>
      </w:pPr>
      <w:r>
        <w:rPr>
          <w:rFonts w:ascii="Times New Roman" w:cs="Times New Roman" w:eastAsia="Times New Roman" w:hAnsi="Times New Roman"/>
          <w:sz w:val="16"/>
          <w:szCs w:val="16"/>
          <w:color w:val="auto"/>
        </w:rPr>
        <w:t xml:space="preserve">The Company acknowledges and agrees that the representations contained in this </w:t>
      </w:r>
      <w:r>
        <w:rPr>
          <w:rFonts w:ascii="Times New Roman" w:cs="Times New Roman" w:eastAsia="Times New Roman" w:hAnsi="Times New Roman"/>
          <w:sz w:val="16"/>
          <w:szCs w:val="16"/>
          <w:u w:val="single" w:color="auto"/>
          <w:color w:val="auto"/>
        </w:rPr>
        <w:t>Section 3.2</w:t>
      </w:r>
      <w:r>
        <w:rPr>
          <w:rFonts w:ascii="Times New Roman" w:cs="Times New Roman" w:eastAsia="Times New Roman" w:hAnsi="Times New Roman"/>
          <w:sz w:val="16"/>
          <w:szCs w:val="16"/>
          <w:color w:val="auto"/>
        </w:rPr>
        <w:t xml:space="preserve"> shall not modify, amend or affect the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OTHER AGREEMENTS OF THE PARTIES</w:t>
      </w:r>
    </w:p>
    <w:p>
      <w:pPr>
        <w:spacing w:after="0" w:line="200" w:lineRule="exact"/>
        <w:rPr>
          <w:sz w:val="20"/>
          <w:szCs w:val="20"/>
          <w:color w:val="auto"/>
        </w:rPr>
      </w:pPr>
    </w:p>
    <w:p>
      <w:pPr>
        <w:spacing w:after="0" w:line="289" w:lineRule="exact"/>
        <w:rPr>
          <w:sz w:val="20"/>
          <w:szCs w:val="20"/>
          <w:color w:val="auto"/>
        </w:rPr>
      </w:pPr>
    </w:p>
    <w:p>
      <w:pPr>
        <w:ind w:left="60"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394335</wp:posOffset>
            </wp:positionV>
            <wp:extent cx="7174865"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118" w:name="page119"/>
    <w:bookmarkEnd w:id="118"/>
    <w:p>
      <w:pPr>
        <w:spacing w:after="0" w:line="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Transfer Restrictions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ind w:firstLine="745"/>
        <w:spacing w:after="0" w:line="252" w:lineRule="auto"/>
        <w:tabs>
          <w:tab w:leader="none" w:pos="966"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Securities may only be disposed of in compliance with state and federal securities laws. In connection with any transfer of Securities other than pursuant to an effective registration statement or Rule 144, to the Company or to an Affiliate of a Purchaser or in connection with a pledge as contemplated in </w:t>
      </w:r>
      <w:r>
        <w:rPr>
          <w:rFonts w:ascii="Times New Roman" w:cs="Times New Roman" w:eastAsia="Times New Roman" w:hAnsi="Times New Roman"/>
          <w:sz w:val="16"/>
          <w:szCs w:val="16"/>
          <w:u w:val="single" w:color="auto"/>
          <w:color w:val="auto"/>
        </w:rPr>
        <w:t>Section 4.1(b)</w:t>
      </w:r>
      <w:r>
        <w:rPr>
          <w:rFonts w:ascii="Times New Roman" w:cs="Times New Roman" w:eastAsia="Times New Roman" w:hAnsi="Times New Roman"/>
          <w:sz w:val="16"/>
          <w:szCs w:val="16"/>
          <w:color w:val="auto"/>
        </w:rPr>
        <w:t>,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the Registration Rights Agreement and shall have the rights and obligations of a Purchaser under this Agreement and the Registration Rights Agreement.</w:t>
      </w:r>
    </w:p>
    <w:p>
      <w:pPr>
        <w:spacing w:after="0" w:line="165" w:lineRule="exact"/>
        <w:rPr>
          <w:rFonts w:ascii="Times New Roman" w:cs="Times New Roman" w:eastAsia="Times New Roman" w:hAnsi="Times New Roman"/>
          <w:sz w:val="16"/>
          <w:szCs w:val="16"/>
          <w:color w:val="auto"/>
        </w:rPr>
      </w:pPr>
    </w:p>
    <w:p>
      <w:pPr>
        <w:ind w:left="960" w:hanging="215"/>
        <w:spacing w:after="0"/>
        <w:tabs>
          <w:tab w:leader="none" w:pos="960"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Purchasers agree to the imprinting, so long as is required by this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of a legend on any of the Securities in the following form:</w:t>
      </w:r>
    </w:p>
    <w:p>
      <w:pPr>
        <w:spacing w:after="0" w:line="194" w:lineRule="exact"/>
        <w:rPr>
          <w:sz w:val="20"/>
          <w:szCs w:val="20"/>
          <w:color w:val="auto"/>
        </w:rPr>
      </w:pPr>
    </w:p>
    <w:p>
      <w:pPr>
        <w:jc w:val="both"/>
        <w:ind w:firstLine="751"/>
        <w:spacing w:after="0" w:line="251" w:lineRule="auto"/>
        <w:rPr>
          <w:sz w:val="20"/>
          <w:szCs w:val="20"/>
          <w:color w:val="auto"/>
        </w:rPr>
      </w:pPr>
      <w:r>
        <w:rPr>
          <w:rFonts w:ascii="Times New Roman" w:cs="Times New Roman" w:eastAsia="Times New Roman" w:hAnsi="Times New Roman"/>
          <w:sz w:val="16"/>
          <w:szCs w:val="16"/>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67" w:lineRule="exact"/>
        <w:rPr>
          <w:sz w:val="20"/>
          <w:szCs w:val="20"/>
          <w:color w:val="auto"/>
        </w:rPr>
      </w:pPr>
    </w:p>
    <w:p>
      <w:pPr>
        <w:jc w:val="both"/>
        <w:ind w:firstLine="751"/>
        <w:spacing w:after="0" w:line="251" w:lineRule="auto"/>
        <w:rPr>
          <w:sz w:val="20"/>
          <w:szCs w:val="20"/>
          <w:color w:val="auto"/>
        </w:rPr>
      </w:pPr>
      <w:r>
        <w:rPr>
          <w:rFonts w:ascii="Times New Roman" w:cs="Times New Roman" w:eastAsia="Times New Roman" w:hAnsi="Times New Roman"/>
          <w:sz w:val="16"/>
          <w:szCs w:val="16"/>
          <w:color w:val="auto"/>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424(b)(3) under the Securities Act or other applicable provision of the Securities Act to appropriately amend the list of Selling Stockholders (as defined in the Registration Rights Agreement) thereunder.</w:t>
      </w:r>
    </w:p>
    <w:p>
      <w:pPr>
        <w:spacing w:after="0" w:line="164" w:lineRule="exact"/>
        <w:rPr>
          <w:sz w:val="20"/>
          <w:szCs w:val="20"/>
          <w:color w:val="auto"/>
        </w:rPr>
      </w:pPr>
    </w:p>
    <w:p>
      <w:pPr>
        <w:jc w:val="both"/>
        <w:ind w:firstLine="745"/>
        <w:spacing w:after="0" w:line="251" w:lineRule="auto"/>
        <w:tabs>
          <w:tab w:leader="none" w:pos="966"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Certificates evidencing the Shares and Warrant Shares shall not contain any legend (including the legend set forth in </w:t>
      </w:r>
      <w:r>
        <w:rPr>
          <w:rFonts w:ascii="Times New Roman" w:cs="Times New Roman" w:eastAsia="Times New Roman" w:hAnsi="Times New Roman"/>
          <w:sz w:val="16"/>
          <w:szCs w:val="16"/>
          <w:u w:val="single" w:color="auto"/>
          <w:color w:val="auto"/>
        </w:rPr>
        <w:t>Section 4.1(b)</w:t>
      </w:r>
      <w:r>
        <w:rPr>
          <w:rFonts w:ascii="Times New Roman" w:cs="Times New Roman" w:eastAsia="Times New Roman" w:hAnsi="Times New Roman"/>
          <w:sz w:val="16"/>
          <w:szCs w:val="16"/>
          <w:color w:val="auto"/>
        </w:rPr>
        <w:t xml:space="preserve"> hereof), (i) while a registration statement (including the Registration Statement) covering the resale of such security is effective under the Securities Act, (ii) following any sale of such Shares or Warrant Shares pursuant to Rule 144 (assuming cashless exercise of the Warrants), (iii) if requested by a Purchaser, if such Shares or Warrant Shares are eligible for sale under Rule 144 (assuming cashless exercise of the Warrants)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after the date that the Registration Statement becomes effective (the “Effective Date”) if required by the Transfer Agent to effect the removal of the legend hereunder, or if requested by a Purchaser, respectively. If all or any portion of a Warrant is exercised at a time when there is an effective registration statement to cover the resale of the Warrant Shares, or if such Shares or Warrant Shares may be sold under Rule 144</w:t>
      </w:r>
    </w:p>
    <w:p>
      <w:pPr>
        <w:spacing w:after="0" w:line="200" w:lineRule="exact"/>
        <w:rPr>
          <w:sz w:val="20"/>
          <w:szCs w:val="20"/>
          <w:color w:val="auto"/>
        </w:rPr>
      </w:pPr>
    </w:p>
    <w:p>
      <w:pPr>
        <w:spacing w:after="0" w:line="275" w:lineRule="exact"/>
        <w:rPr>
          <w:sz w:val="20"/>
          <w:szCs w:val="20"/>
          <w:color w:val="auto"/>
        </w:rPr>
      </w:pPr>
    </w:p>
    <w:p>
      <w:pPr>
        <w:ind w:left="60"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394335</wp:posOffset>
            </wp:positionV>
            <wp:extent cx="7174865"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19" w:name="page120"/>
    <w:bookmarkEnd w:id="119"/>
    <w:p>
      <w:pPr>
        <w:jc w:val="both"/>
        <w:spacing w:after="0" w:line="249" w:lineRule="auto"/>
        <w:rPr>
          <w:sz w:val="20"/>
          <w:szCs w:val="20"/>
          <w:color w:val="auto"/>
        </w:rPr>
      </w:pPr>
      <w:r>
        <w:rPr>
          <w:rFonts w:ascii="Times New Roman" w:cs="Times New Roman" w:eastAsia="Times New Roman" w:hAnsi="Times New Roman"/>
          <w:sz w:val="16"/>
          <w:szCs w:val="16"/>
          <w:color w:val="auto"/>
        </w:rPr>
        <w:t>and the Company is then in compliance with the current public information required under Rule 144 (assuming cashless exercise of the Warrants), or if the Shares or Warrant Shares may be sold under Rule 144 without the requirement for the Company to be in compliance with the current public information required under Rule 144 as to such Shares or Warrant Shares or if such legend is not otherwise required under applicable requirements of the Securities Act (including judicial interpretations and pronouncements issued by the staff of the Commission) then such Warrant Shares shall be issued free of all legends. The Company agrees that following the Effective Date, it will, no later than the earlier of (i) two (2) Trading Days and (ii) the number of Trading Days comprising the Standard Settlement Period (as defined below) following the delivery by a Purchaser to the Company or the Transfer Agent of a certificate representing Shares or Warrant Shares, as the case may be, issued with a restrictive legend (such date, the “</w:t>
      </w:r>
      <w:r>
        <w:rPr>
          <w:rFonts w:ascii="Times New Roman" w:cs="Times New Roman" w:eastAsia="Times New Roman" w:hAnsi="Times New Roman"/>
          <w:sz w:val="16"/>
          <w:szCs w:val="16"/>
          <w:u w:val="single" w:color="auto"/>
          <w:color w:val="auto"/>
        </w:rPr>
        <w:t>Legend Removal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Date</w:t>
      </w:r>
      <w:r>
        <w:rPr>
          <w:rFonts w:ascii="Times New Roman" w:cs="Times New Roman" w:eastAsia="Times New Roman" w:hAnsi="Times New Roman"/>
          <w:sz w:val="16"/>
          <w:szCs w:val="16"/>
          <w:color w:val="auto"/>
        </w:rPr>
        <w:t xml:space="preserve">”), cause the Company’s Transfer Agent to deliver to such Purchaser a certificate representing such shares that is free from all restrictive and other legends. The Company may not make any notation on its records or give instructions to the Transfer Agent that enlarge the restrictions on transfer set forth in this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Certificates for Securities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 w:cs="Times New Roman" w:eastAsia="Times New Roman" w:hAnsi="Times New Roman"/>
          <w:sz w:val="16"/>
          <w:szCs w:val="16"/>
          <w:u w:val="single" w:color="auto"/>
          <w:color w:val="auto"/>
        </w:rPr>
        <w:t>Standard Settlement Period</w:t>
      </w:r>
      <w:r>
        <w:rPr>
          <w:rFonts w:ascii="Times New Roman" w:cs="Times New Roman" w:eastAsia="Times New Roman" w:hAnsi="Times New Roman"/>
          <w:sz w:val="16"/>
          <w:szCs w:val="16"/>
          <w:color w:val="auto"/>
        </w:rPr>
        <w:t>” means the standard settlement period, expressed in a number of Trading Days, on the Company’s primary Trading Market with respect to the Common Stock as in effect on the date of delivery of a certificate representing Shares or Warrant Shares, as the case may be, issued with a restrictive legend.</w:t>
      </w:r>
    </w:p>
    <w:p>
      <w:pPr>
        <w:spacing w:after="0" w:line="169" w:lineRule="exact"/>
        <w:rPr>
          <w:sz w:val="20"/>
          <w:szCs w:val="20"/>
          <w:color w:val="auto"/>
        </w:rPr>
      </w:pPr>
    </w:p>
    <w:p>
      <w:pPr>
        <w:jc w:val="both"/>
        <w:ind w:firstLine="751"/>
        <w:spacing w:after="0" w:line="248" w:lineRule="auto"/>
        <w:rPr>
          <w:sz w:val="20"/>
          <w:szCs w:val="20"/>
          <w:color w:val="auto"/>
        </w:rPr>
      </w:pPr>
      <w:r>
        <w:rPr>
          <w:rFonts w:ascii="Times New Roman" w:cs="Times New Roman" w:eastAsia="Times New Roman" w:hAnsi="Times New Roman"/>
          <w:sz w:val="16"/>
          <w:szCs w:val="16"/>
          <w:color w:val="auto"/>
        </w:rPr>
        <w:t>In addition to such Purchaser’s other available remedies, the Company shall pay to a Purchaser, in cash, (A) as partial liquidated damages and not as a penalty, for each $1,000 of Shares or Warrant Shares (based on the VWAP of the Common Stock on the date such Securities are submitted to the Transfer Agent) delivered for removal of the restrictive legend and subject to Section 4.1(c), $10 per Trading Day (increasing to $20 per Trading Day five (5) Trading Days after the Legend Removal Date) for each Trading Day after the Legend Removal Date until such certificate is delivered without a legend; provided that (1) such liquidated damages shall not begin to accrue until the second (2nd) Trading Day after the Legend Removal Date and (2) the aggregate liquidated damages payable under this clause (A) shall not exceed the aggregate value (based on the VWAP referenced above) of the Shares or Warrant Shares so submitted for legend removal and (B) if the Company fails to (i) issue and deliver (or cause to be delivered) to a Purchaser by the Legend Removal Date a certificate representing the Securities so delivered to the Company by such Purchaser that is free from all restrictive and other legends and (ii)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Times New Roman" w:cs="Times New Roman" w:eastAsia="Times New Roman" w:hAnsi="Times New Roman"/>
          <w:sz w:val="16"/>
          <w:szCs w:val="16"/>
          <w:u w:val="single" w:color="auto"/>
          <w:color w:val="auto"/>
        </w:rPr>
        <w:t>Buy-In Price</w:t>
      </w:r>
      <w:r>
        <w:rPr>
          <w:rFonts w:ascii="Times New Roman" w:cs="Times New Roman" w:eastAsia="Times New Roman" w:hAnsi="Times New Roman"/>
          <w:sz w:val="16"/>
          <w:szCs w:val="16"/>
          <w:color w:val="auto"/>
        </w:rPr>
        <w:t xml:space="preserve">”) over the product of (y) such number of Shares or Warrant Shares that the Company was required to deliver to such Purchaser by the Legend Removal Date multiplied by (z) the lowest closing sale price of the Common Stock on any Trading Day during the period commencing on the date of the delivery by such Purchaser to the Company of the applicable Shares or Warrant Shares (as the case may be) and ending on the date of such delivery and payment, in each case subject to such Purchaser delivering to the Company, upon request, contemporaneous documentary evidence of such Buy-In (including trade confirmations evidencing the actual purchase price paid), under this </w:t>
      </w:r>
      <w:r>
        <w:rPr>
          <w:rFonts w:ascii="Times New Roman" w:cs="Times New Roman" w:eastAsia="Times New Roman" w:hAnsi="Times New Roman"/>
          <w:sz w:val="16"/>
          <w:szCs w:val="16"/>
          <w:u w:val="single" w:color="auto"/>
          <w:color w:val="auto"/>
        </w:rPr>
        <w:t>Section 4.1(c)</w:t>
      </w:r>
      <w:r>
        <w:rPr>
          <w:rFonts w:ascii="Times New Roman" w:cs="Times New Roman" w:eastAsia="Times New Roman" w:hAnsi="Times New Roman"/>
          <w:sz w:val="16"/>
          <w:szCs w:val="16"/>
          <w:color w:val="auto"/>
        </w:rPr>
        <w:t>.</w:t>
      </w:r>
    </w:p>
    <w:p>
      <w:pPr>
        <w:spacing w:after="0" w:line="175" w:lineRule="exact"/>
        <w:rPr>
          <w:sz w:val="20"/>
          <w:szCs w:val="20"/>
          <w:color w:val="auto"/>
        </w:rPr>
      </w:pPr>
    </w:p>
    <w:p>
      <w:pPr>
        <w:jc w:val="both"/>
        <w:ind w:right="20" w:firstLine="745"/>
        <w:spacing w:after="0" w:line="256" w:lineRule="auto"/>
        <w:tabs>
          <w:tab w:leader="none" w:pos="984"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Purchaser, severally and not jointly with the other Purchasers, agrees with the Company that such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Section 4.1 is predicated upon the Company’s reliance upon this understanding.</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394335</wp:posOffset>
            </wp:positionV>
            <wp:extent cx="7174865"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120" w:name="page121"/>
    <w:bookmarkEnd w:id="120"/>
    <w:p>
      <w:pPr>
        <w:jc w:val="both"/>
        <w:ind w:firstLine="751"/>
        <w:spacing w:after="0" w:line="271" w:lineRule="auto"/>
        <w:rPr>
          <w:sz w:val="20"/>
          <w:szCs w:val="20"/>
          <w:color w:val="auto"/>
        </w:rPr>
      </w:pPr>
      <w:r>
        <w:rPr>
          <w:rFonts w:ascii="Times New Roman" w:cs="Times New Roman" w:eastAsia="Times New Roman" w:hAnsi="Times New Roman"/>
          <w:sz w:val="15"/>
          <w:szCs w:val="15"/>
          <w:color w:val="auto"/>
        </w:rPr>
        <w:t xml:space="preserve">4.2 </w:t>
      </w:r>
      <w:r>
        <w:rPr>
          <w:rFonts w:ascii="Times New Roman" w:cs="Times New Roman" w:eastAsia="Times New Roman" w:hAnsi="Times New Roman"/>
          <w:sz w:val="15"/>
          <w:szCs w:val="15"/>
          <w:u w:val="single" w:color="auto"/>
          <w:color w:val="auto"/>
        </w:rPr>
        <w:t>Furnishing of Information; Public Information</w:t>
      </w:r>
      <w:r>
        <w:rPr>
          <w:rFonts w:ascii="Times New Roman" w:cs="Times New Roman" w:eastAsia="Times New Roman" w:hAnsi="Times New Roman"/>
          <w:sz w:val="15"/>
          <w:szCs w:val="15"/>
          <w:color w:val="auto"/>
        </w:rPr>
        <w:t>. Until the earliest of the time that (a) no Purchaser owns Securities and (b) the Warrants have expired, the Company covenants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 except in the event that the Company consummates (A) any transaction or series of related transactions as a result of which any Person (together with its Affiliates) acquires then outstanding securities of the Company representing more than fifty percent (50%) of the voting control of the Company; (B) a merger or reorganization of the Company with one or more other entities in which the Company is not the surviving entity; or (C) a sale of all or substantially all of the assets of the Company, where the consummation of such transaction results in the Company no longer subject to the reporting requirements of the Exchange Act.</w:t>
      </w:r>
    </w:p>
    <w:p>
      <w:pPr>
        <w:spacing w:after="0" w:line="150" w:lineRule="exact"/>
        <w:rPr>
          <w:sz w:val="20"/>
          <w:szCs w:val="20"/>
          <w:color w:val="auto"/>
        </w:rPr>
      </w:pPr>
    </w:p>
    <w:p>
      <w:pPr>
        <w:jc w:val="both"/>
        <w:ind w:firstLine="751"/>
        <w:spacing w:after="0" w:line="261" w:lineRule="auto"/>
        <w:rPr>
          <w:sz w:val="20"/>
          <w:szCs w:val="20"/>
          <w:color w:val="auto"/>
        </w:rPr>
      </w:pPr>
      <w:r>
        <w:rPr>
          <w:rFonts w:ascii="Times New Roman" w:cs="Times New Roman" w:eastAsia="Times New Roman" w:hAnsi="Times New Roman"/>
          <w:sz w:val="16"/>
          <w:szCs w:val="16"/>
          <w:color w:val="auto"/>
        </w:rPr>
        <w:t xml:space="preserve">4.3 </w:t>
      </w:r>
      <w:r>
        <w:rPr>
          <w:rFonts w:ascii="Times New Roman" w:cs="Times New Roman" w:eastAsia="Times New Roman" w:hAnsi="Times New Roman"/>
          <w:sz w:val="16"/>
          <w:szCs w:val="16"/>
          <w:u w:val="single" w:color="auto"/>
          <w:color w:val="auto"/>
        </w:rPr>
        <w:t>Integration</w:t>
      </w:r>
      <w:r>
        <w:rPr>
          <w:rFonts w:ascii="Times New Roman" w:cs="Times New Roman" w:eastAsia="Times New Roman" w:hAnsi="Times New Roman"/>
          <w:sz w:val="16"/>
          <w:szCs w:val="16"/>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stockholder approval prior to the closing of such other transaction unless stockholder approval is obtained before the closing of such subsequent transaction.</w:t>
      </w:r>
    </w:p>
    <w:p>
      <w:pPr>
        <w:spacing w:after="0" w:line="157" w:lineRule="exact"/>
        <w:rPr>
          <w:sz w:val="20"/>
          <w:szCs w:val="20"/>
          <w:color w:val="auto"/>
        </w:rPr>
      </w:pPr>
    </w:p>
    <w:p>
      <w:pPr>
        <w:jc w:val="both"/>
        <w:ind w:firstLine="751"/>
        <w:spacing w:after="0" w:line="265" w:lineRule="auto"/>
        <w:rPr>
          <w:sz w:val="20"/>
          <w:szCs w:val="20"/>
          <w:color w:val="auto"/>
        </w:rPr>
      </w:pPr>
      <w:r>
        <w:rPr>
          <w:rFonts w:ascii="Times New Roman" w:cs="Times New Roman" w:eastAsia="Times New Roman" w:hAnsi="Times New Roman"/>
          <w:sz w:val="15"/>
          <w:szCs w:val="15"/>
          <w:color w:val="auto"/>
        </w:rPr>
        <w:t xml:space="preserve">4.4 </w:t>
      </w:r>
      <w:r>
        <w:rPr>
          <w:rFonts w:ascii="Times New Roman" w:cs="Times New Roman" w:eastAsia="Times New Roman" w:hAnsi="Times New Roman"/>
          <w:sz w:val="15"/>
          <w:szCs w:val="15"/>
          <w:u w:val="single" w:color="auto"/>
          <w:color w:val="auto"/>
        </w:rPr>
        <w:t>Securities Laws Disclosure; Publicity</w:t>
      </w:r>
      <w:r>
        <w:rPr>
          <w:rFonts w:ascii="Times New Roman" w:cs="Times New Roman" w:eastAsia="Times New Roman" w:hAnsi="Times New Roman"/>
          <w:sz w:val="15"/>
          <w:szCs w:val="15"/>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(including each entity comprising the Placement Agent), in connection with the transactions contemplated by the Transaction Documents. The Company covenants and agrees that neither it, nor any other Person acting on its behalf will provide each Purchaser or its respective agents or counsel with any information that constitutes, or the Company reasonably believes constitutes, material non-public information, unless prior thereto each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each Purchaser or any of its Affiliates or agents, including, without limitation, the Placement Agent, on the other hand, shall terminate. The Company and each Purchaser shall consult with each other in issuing any other press releases with respect to the transactions contemplated hereby, and neither the Company nor each Purchaser shall issue any such press release nor otherwise make any such public statement without the prior consent of the Company, with respect to any press release of the Purchaser, or without the prior consent of the Purchaser, with respect to any press release of the Company which names the Purchaser,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the Purchaser, or include the name of each Purchaser in any filing with the Commission or any regulatory agency or Trading Market, without the prior written consent of the Purchaser, except (a) as required by federal securities law in connection with the filing of final Transaction Documents with the Commission and (b) to the extent such disclosure is required by law or Trading Market regulations, in which case the Company shall provide each Purchaser with prior notice of such disclosure permitted under this clause (b).</w:t>
      </w:r>
    </w:p>
    <w:p>
      <w:pPr>
        <w:spacing w:after="0" w:line="3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u w:val="single" w:color="auto"/>
          <w:color w:val="auto"/>
        </w:rPr>
        <w:t>[Reserved].</w:t>
      </w:r>
    </w:p>
    <w:p>
      <w:pPr>
        <w:spacing w:after="0" w:line="194" w:lineRule="exact"/>
        <w:rPr>
          <w:sz w:val="20"/>
          <w:szCs w:val="20"/>
          <w:color w:val="auto"/>
        </w:rPr>
      </w:pPr>
    </w:p>
    <w:p>
      <w:pPr>
        <w:jc w:val="both"/>
        <w:ind w:firstLine="751"/>
        <w:spacing w:after="0" w:line="276" w:lineRule="auto"/>
        <w:rPr>
          <w:sz w:val="20"/>
          <w:szCs w:val="20"/>
          <w:color w:val="auto"/>
        </w:rPr>
      </w:pPr>
      <w:r>
        <w:rPr>
          <w:rFonts w:ascii="Times New Roman" w:cs="Times New Roman" w:eastAsia="Times New Roman" w:hAnsi="Times New Roman"/>
          <w:sz w:val="16"/>
          <w:szCs w:val="16"/>
          <w:color w:val="auto"/>
        </w:rPr>
        <w:t xml:space="preserve">4.6 </w:t>
      </w:r>
      <w:r>
        <w:rPr>
          <w:rFonts w:ascii="Times New Roman" w:cs="Times New Roman" w:eastAsia="Times New Roman" w:hAnsi="Times New Roman"/>
          <w:sz w:val="16"/>
          <w:szCs w:val="16"/>
          <w:u w:val="single" w:color="auto"/>
          <w:color w:val="auto"/>
        </w:rPr>
        <w:t>Furnishing of Information.</w:t>
      </w:r>
      <w:r>
        <w:rPr>
          <w:rFonts w:ascii="Times New Roman" w:cs="Times New Roman" w:eastAsia="Times New Roman" w:hAnsi="Times New Roman"/>
          <w:sz w:val="16"/>
          <w:szCs w:val="16"/>
          <w:color w:val="auto"/>
        </w:rPr>
        <w:t xml:space="preserve"> The Company covenants to timely file (or obtain extensions in respect thereof and file within the applicable grace period) all reports required to be filed by the Company after the date hereof</w:t>
      </w:r>
    </w:p>
    <w:p>
      <w:pPr>
        <w:spacing w:after="0" w:line="200" w:lineRule="exact"/>
        <w:rPr>
          <w:sz w:val="20"/>
          <w:szCs w:val="20"/>
          <w:color w:val="auto"/>
        </w:rPr>
      </w:pPr>
    </w:p>
    <w:p>
      <w:pPr>
        <w:spacing w:after="0" w:line="256" w:lineRule="exact"/>
        <w:rPr>
          <w:sz w:val="20"/>
          <w:szCs w:val="20"/>
          <w:color w:val="auto"/>
        </w:rPr>
      </w:pPr>
    </w:p>
    <w:p>
      <w:pPr>
        <w:ind w:left="60"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394335</wp:posOffset>
            </wp:positionV>
            <wp:extent cx="7174865"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121" w:name="page122"/>
    <w:bookmarkEnd w:id="121"/>
    <w:p>
      <w:pPr>
        <w:jc w:val="both"/>
        <w:spacing w:after="0" w:line="254" w:lineRule="auto"/>
        <w:rPr>
          <w:sz w:val="20"/>
          <w:szCs w:val="20"/>
          <w:color w:val="auto"/>
        </w:rPr>
      </w:pPr>
      <w:r>
        <w:rPr>
          <w:rFonts w:ascii="Times New Roman" w:cs="Times New Roman" w:eastAsia="Times New Roman" w:hAnsi="Times New Roman"/>
          <w:sz w:val="16"/>
          <w:szCs w:val="16"/>
          <w:color w:val="auto"/>
        </w:rPr>
        <w:t>pursuant to the Exchange Act, even if the Company is not then subject to the reporting requirements of the Exchange Act, except in the event that the Company consummates: (a) any transaction or series of related transactions as a result of which any Person (together with its Affiliates) acquires then outstanding securities of the Company representing more than fifty percent (50%) of the voting control of the Company; (b) a merger or reorganization of the Company with one or more other entities in which the Company is not the surviving entity; or (c) a sale of all or substantially all of the assets of the Company, where the consummation of such transaction results in the Company no longer being subject to the reporting requirements of the Exchange Act.</w:t>
      </w:r>
    </w:p>
    <w:p>
      <w:pPr>
        <w:spacing w:after="0" w:line="162" w:lineRule="exact"/>
        <w:rPr>
          <w:sz w:val="20"/>
          <w:szCs w:val="20"/>
          <w:color w:val="auto"/>
        </w:rPr>
      </w:pPr>
    </w:p>
    <w:p>
      <w:pPr>
        <w:jc w:val="both"/>
        <w:ind w:right="20" w:firstLine="751"/>
        <w:spacing w:after="0" w:line="267" w:lineRule="auto"/>
        <w:rPr>
          <w:sz w:val="20"/>
          <w:szCs w:val="20"/>
          <w:color w:val="auto"/>
        </w:rPr>
      </w:pPr>
      <w:r>
        <w:rPr>
          <w:rFonts w:ascii="Times New Roman" w:cs="Times New Roman" w:eastAsia="Times New Roman" w:hAnsi="Times New Roman"/>
          <w:sz w:val="15"/>
          <w:szCs w:val="15"/>
          <w:color w:val="auto"/>
        </w:rPr>
        <w:t>At any time during the period commencing from the later of the Stockholder Approval Date and the six (6) month anniversary of the date hereof and ending at such time that all of the Securities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Times New Roman" w:cs="Times New Roman" w:eastAsia="Times New Roman" w:hAnsi="Times New Roman"/>
          <w:sz w:val="15"/>
          <w:szCs w:val="15"/>
          <w:u w:val="single" w:color="auto"/>
          <w:color w:val="auto"/>
        </w:rPr>
        <w:t>Public Information Failure</w:t>
      </w:r>
      <w:r>
        <w:rPr>
          <w:rFonts w:ascii="Times New Roman" w:cs="Times New Roman" w:eastAsia="Times New Roman" w:hAnsi="Times New Roman"/>
          <w:sz w:val="15"/>
          <w:szCs w:val="15"/>
          <w:color w:val="auto"/>
        </w:rPr>
        <w:t>”) then, in addition to such Purchaser’s other available remedies, the Company shall pay to a Purchaser, in cash, as partial liquidated damages and not as a penalty, by reason of any such delay in or reduction of its ability to sell the Securities, an amount in cash equal to one and one-half percent (1.5%) of the Subscription Amount of such Purchaser’s Securities on</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5"/>
          <w:szCs w:val="15"/>
          <w:color w:val="auto"/>
        </w:rPr>
        <w:t>the day of a Public Information Failure and on every thirtieth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day (pro rated for periods totaling less than thirty days) thereafter until the earlier of (a) the date such Public Information Failure is cured and (b) such time that such public information is no longer required for the Purchasers to transfer the Shares and Warrant Shares pursuant to Rule 144, provided, however, that in no event will the aggregate amount of liquidated damages paid by the Company to a Purchaser exceed twelve percent (12%) of such Purchaser’s Subscription Amount. The payments to which a Purchaser shall be entitled pursuant to this Section 4.6 are referred to herein as “</w:t>
      </w:r>
      <w:r>
        <w:rPr>
          <w:rFonts w:ascii="Times New Roman" w:cs="Times New Roman" w:eastAsia="Times New Roman" w:hAnsi="Times New Roman"/>
          <w:sz w:val="15"/>
          <w:szCs w:val="15"/>
          <w:u w:val="single" w:color="auto"/>
          <w:color w:val="auto"/>
        </w:rPr>
        <w:t>Public Information Failure Payments</w:t>
      </w:r>
      <w:r>
        <w:rPr>
          <w:rFonts w:ascii="Times New Roman" w:cs="Times New Roman" w:eastAsia="Times New Roman" w:hAnsi="Times New Roman"/>
          <w:sz w:val="15"/>
          <w:szCs w:val="15"/>
          <w:color w:val="auto"/>
        </w:rPr>
        <w:t>.” Public Information Failure Payments shall be paid on the earlier of (i) the last day of the calendar month during which such Public Information Failure Payments are incurred and (ii) the</w:t>
      </w:r>
    </w:p>
    <w:p>
      <w:pPr>
        <w:jc w:val="both"/>
        <w:ind w:right="20"/>
        <w:spacing w:after="0" w:line="223" w:lineRule="auto"/>
        <w:rPr>
          <w:sz w:val="20"/>
          <w:szCs w:val="20"/>
          <w:color w:val="auto"/>
        </w:rPr>
      </w:pPr>
      <w:r>
        <w:rPr>
          <w:rFonts w:ascii="Times New Roman" w:cs="Times New Roman" w:eastAsia="Times New Roman" w:hAnsi="Times New Roman"/>
          <w:sz w:val="16"/>
          <w:szCs w:val="16"/>
          <w:color w:val="auto"/>
        </w:rPr>
        <w:t>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6"/>
          <w:szCs w:val="16"/>
          <w:color w:val="auto"/>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spacing w:after="0" w:line="174" w:lineRule="exact"/>
        <w:rPr>
          <w:sz w:val="20"/>
          <w:szCs w:val="20"/>
          <w:color w:val="auto"/>
        </w:rPr>
      </w:pPr>
    </w:p>
    <w:p>
      <w:pPr>
        <w:jc w:val="both"/>
        <w:ind w:right="20" w:firstLine="751"/>
        <w:spacing w:after="0" w:line="256" w:lineRule="auto"/>
        <w:rPr>
          <w:sz w:val="20"/>
          <w:szCs w:val="20"/>
          <w:color w:val="auto"/>
        </w:rPr>
      </w:pPr>
      <w:r>
        <w:rPr>
          <w:rFonts w:ascii="Times New Roman" w:cs="Times New Roman" w:eastAsia="Times New Roman" w:hAnsi="Times New Roman"/>
          <w:sz w:val="16"/>
          <w:szCs w:val="16"/>
          <w:color w:val="auto"/>
        </w:rPr>
        <w:t xml:space="preserve">4.7 </w:t>
      </w:r>
      <w:r>
        <w:rPr>
          <w:rFonts w:ascii="Times New Roman" w:cs="Times New Roman" w:eastAsia="Times New Roman" w:hAnsi="Times New Roman"/>
          <w:sz w:val="16"/>
          <w:szCs w:val="16"/>
          <w:u w:val="single" w:color="auto"/>
          <w:color w:val="auto"/>
        </w:rPr>
        <w:t>Use of Proceeds</w:t>
      </w:r>
      <w:r>
        <w:rPr>
          <w:rFonts w:ascii="Times New Roman" w:cs="Times New Roman" w:eastAsia="Times New Roman" w:hAnsi="Times New Roman"/>
          <w:sz w:val="16"/>
          <w:szCs w:val="16"/>
          <w:color w:val="auto"/>
        </w:rPr>
        <w:t xml:space="preserve">. The Company shall use the net proceeds from the sale of the Securities hereunder for general corporate purposes, which shall include the preparation and filing of all outstanding reports, schedules, forms, statements and other documents required to be filed by the Company under the Securities Act and the Exchange Act, including pursuant to Section 13(a) or 15(d) thereof, including the documents set forth in </w:t>
      </w:r>
      <w:r>
        <w:rPr>
          <w:rFonts w:ascii="Times New Roman" w:cs="Times New Roman" w:eastAsia="Times New Roman" w:hAnsi="Times New Roman"/>
          <w:sz w:val="16"/>
          <w:szCs w:val="16"/>
          <w:u w:val="single" w:color="auto"/>
          <w:color w:val="auto"/>
        </w:rPr>
        <w:t>Section 4.20(i)</w:t>
      </w:r>
      <w:r>
        <w:rPr>
          <w:rFonts w:ascii="Times New Roman" w:cs="Times New Roman" w:eastAsia="Times New Roman" w:hAnsi="Times New Roman"/>
          <w:sz w:val="16"/>
          <w:szCs w:val="16"/>
          <w:color w:val="auto"/>
        </w:rPr>
        <w:t xml:space="preserve"> of this Agreement, and funding its working capital needs, but shall not use such proceeds: (a) for the redemption of any Common Stock or Common Stock Equivalents, or (b) in violation of FCPA or OFAC regulations.</w:t>
      </w:r>
    </w:p>
    <w:p>
      <w:pPr>
        <w:spacing w:after="0" w:line="161" w:lineRule="exact"/>
        <w:rPr>
          <w:sz w:val="20"/>
          <w:szCs w:val="20"/>
          <w:color w:val="auto"/>
        </w:rPr>
      </w:pPr>
    </w:p>
    <w:p>
      <w:pPr>
        <w:jc w:val="both"/>
        <w:ind w:firstLine="751"/>
        <w:spacing w:after="0" w:line="250" w:lineRule="auto"/>
        <w:rPr>
          <w:sz w:val="20"/>
          <w:szCs w:val="20"/>
          <w:color w:val="auto"/>
        </w:rPr>
      </w:pPr>
      <w:r>
        <w:rPr>
          <w:rFonts w:ascii="Times New Roman" w:cs="Times New Roman" w:eastAsia="Times New Roman" w:hAnsi="Times New Roman"/>
          <w:sz w:val="16"/>
          <w:szCs w:val="16"/>
          <w:color w:val="auto"/>
        </w:rPr>
        <w:t xml:space="preserve">4.8 </w:t>
      </w:r>
      <w:r>
        <w:rPr>
          <w:rFonts w:ascii="Times New Roman" w:cs="Times New Roman" w:eastAsia="Times New Roman" w:hAnsi="Times New Roman"/>
          <w:sz w:val="16"/>
          <w:szCs w:val="16"/>
          <w:u w:val="single" w:color="auto"/>
          <w:color w:val="auto"/>
        </w:rPr>
        <w:t>Indemnification of the Purchaser</w:t>
      </w:r>
      <w:r>
        <w:rPr>
          <w:rFonts w:ascii="Times New Roman" w:cs="Times New Roman" w:eastAsia="Times New Roman" w:hAnsi="Times New Roman"/>
          <w:sz w:val="16"/>
          <w:szCs w:val="16"/>
          <w:color w:val="auto"/>
        </w:rPr>
        <w:t xml:space="preserve">. Subject to the provisions of this </w:t>
      </w:r>
      <w:r>
        <w:rPr>
          <w:rFonts w:ascii="Times New Roman" w:cs="Times New Roman" w:eastAsia="Times New Roman" w:hAnsi="Times New Roman"/>
          <w:sz w:val="16"/>
          <w:szCs w:val="16"/>
          <w:u w:val="single" w:color="auto"/>
          <w:color w:val="auto"/>
        </w:rPr>
        <w:t>Section 4.8</w:t>
      </w:r>
      <w:r>
        <w:rPr>
          <w:rFonts w:ascii="Times New Roman" w:cs="Times New Roman" w:eastAsia="Times New Roman" w:hAnsi="Times New Roman"/>
          <w:sz w:val="16"/>
          <w:szCs w:val="16"/>
          <w:color w:val="auto"/>
        </w:rPr>
        <w:t>,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each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6"/>
          <w:szCs w:val="16"/>
          <w:u w:val="single" w:color="auto"/>
          <w:color w:val="auto"/>
        </w:rPr>
        <w:t>Purchaser Party</w:t>
      </w:r>
      <w:r>
        <w:rPr>
          <w:rFonts w:ascii="Times New Roman" w:cs="Times New Roman" w:eastAsia="Times New Roman" w:hAnsi="Times New Roman"/>
          <w:sz w:val="16"/>
          <w:szCs w:val="16"/>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material breach of any of the representations, warranties, covenants or agreements made by the Company in this Agreement or in the other Transaction Documents or (b) any action instituted against each Purchaser Parties in any capacity, or any of them or their respective Affiliates, by any stockholder of the Company who is not an Affiliate of such Purchaser Party, with</w:t>
      </w:r>
    </w:p>
    <w:p>
      <w:pPr>
        <w:spacing w:after="0" w:line="200" w:lineRule="exact"/>
        <w:rPr>
          <w:sz w:val="20"/>
          <w:szCs w:val="20"/>
          <w:color w:val="auto"/>
        </w:rPr>
      </w:pPr>
    </w:p>
    <w:p>
      <w:pPr>
        <w:spacing w:after="0" w:line="279" w:lineRule="exact"/>
        <w:rPr>
          <w:sz w:val="20"/>
          <w:szCs w:val="20"/>
          <w:color w:val="auto"/>
        </w:rPr>
      </w:pPr>
    </w:p>
    <w:p>
      <w:pPr>
        <w:ind w:left="60"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394335</wp:posOffset>
            </wp:positionV>
            <wp:extent cx="7174865"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122" w:name="page123"/>
    <w:bookmarkEnd w:id="122"/>
    <w:p>
      <w:pPr>
        <w:jc w:val="both"/>
        <w:spacing w:after="0" w:line="248" w:lineRule="auto"/>
        <w:rPr>
          <w:sz w:val="20"/>
          <w:szCs w:val="20"/>
          <w:color w:val="auto"/>
        </w:rPr>
      </w:pPr>
      <w:r>
        <w:rPr>
          <w:rFonts w:ascii="Times New Roman" w:cs="Times New Roman" w:eastAsia="Times New Roman" w:hAnsi="Times New Roman"/>
          <w:sz w:val="16"/>
          <w:szCs w:val="16"/>
          <w:color w:val="auto"/>
        </w:rPr>
        <w:t xml:space="preserve">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or (c) in connection with the Registration Statement the Company will indemnify each Purchaser Party, to the fullest extent permitted by applicable law, from and against any and all losses, claims, damages, liabilities, costs (including, without limitation, reasonable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each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w:t>
      </w:r>
      <w:r>
        <w:rPr>
          <w:rFonts w:ascii="Times New Roman" w:cs="Times New Roman" w:eastAsia="Times New Roman" w:hAnsi="Times New Roman"/>
          <w:sz w:val="16"/>
          <w:szCs w:val="16"/>
          <w:u w:val="single" w:color="auto"/>
          <w:color w:val="auto"/>
        </w:rPr>
        <w:t>Section 4.8</w:t>
      </w:r>
      <w:r>
        <w:rPr>
          <w:rFonts w:ascii="Times New Roman" w:cs="Times New Roman" w:eastAsia="Times New Roman" w:hAnsi="Times New Roman"/>
          <w:sz w:val="16"/>
          <w:szCs w:val="16"/>
          <w:color w:val="auto"/>
        </w:rPr>
        <w:t xml:space="preserve">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169" w:lineRule="exact"/>
        <w:rPr>
          <w:sz w:val="20"/>
          <w:szCs w:val="20"/>
          <w:color w:val="auto"/>
        </w:rPr>
      </w:pPr>
    </w:p>
    <w:p>
      <w:pPr>
        <w:jc w:val="both"/>
        <w:ind w:firstLine="751"/>
        <w:spacing w:after="0" w:line="261" w:lineRule="auto"/>
        <w:rPr>
          <w:sz w:val="20"/>
          <w:szCs w:val="20"/>
          <w:color w:val="auto"/>
        </w:rPr>
      </w:pPr>
      <w:r>
        <w:rPr>
          <w:rFonts w:ascii="Times New Roman" w:cs="Times New Roman" w:eastAsia="Times New Roman" w:hAnsi="Times New Roman"/>
          <w:sz w:val="16"/>
          <w:szCs w:val="16"/>
          <w:color w:val="auto"/>
        </w:rPr>
        <w:t xml:space="preserve">4.9 </w:t>
      </w:r>
      <w:r>
        <w:rPr>
          <w:rFonts w:ascii="Times New Roman" w:cs="Times New Roman" w:eastAsia="Times New Roman" w:hAnsi="Times New Roman"/>
          <w:sz w:val="16"/>
          <w:szCs w:val="16"/>
          <w:u w:val="single" w:color="auto"/>
          <w:color w:val="auto"/>
        </w:rPr>
        <w:t>Reservation of Common Stock</w:t>
      </w:r>
      <w:r>
        <w:rPr>
          <w:rFonts w:ascii="Times New Roman" w:cs="Times New Roman" w:eastAsia="Times New Roman" w:hAnsi="Times New Roman"/>
          <w:sz w:val="16"/>
          <w:szCs w:val="16"/>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the Warrant Shares pursuant to any exercise of the Warrants.</w:t>
      </w:r>
    </w:p>
    <w:p>
      <w:pPr>
        <w:spacing w:after="0" w:line="157" w:lineRule="exact"/>
        <w:rPr>
          <w:sz w:val="20"/>
          <w:szCs w:val="20"/>
          <w:color w:val="auto"/>
        </w:rPr>
      </w:pPr>
    </w:p>
    <w:p>
      <w:pPr>
        <w:jc w:val="both"/>
        <w:ind w:firstLine="751"/>
        <w:spacing w:after="0" w:line="251" w:lineRule="auto"/>
        <w:rPr>
          <w:sz w:val="20"/>
          <w:szCs w:val="20"/>
          <w:color w:val="auto"/>
        </w:rPr>
      </w:pPr>
      <w:r>
        <w:rPr>
          <w:rFonts w:ascii="Times New Roman" w:cs="Times New Roman" w:eastAsia="Times New Roman" w:hAnsi="Times New Roman"/>
          <w:sz w:val="16"/>
          <w:szCs w:val="16"/>
          <w:color w:val="auto"/>
        </w:rPr>
        <w:t xml:space="preserve">4.10 </w:t>
      </w:r>
      <w:r>
        <w:rPr>
          <w:rFonts w:ascii="Times New Roman" w:cs="Times New Roman" w:eastAsia="Times New Roman" w:hAnsi="Times New Roman"/>
          <w:sz w:val="16"/>
          <w:szCs w:val="16"/>
          <w:u w:val="single" w:color="auto"/>
          <w:color w:val="auto"/>
        </w:rPr>
        <w:t>Listing of Common Stock</w:t>
      </w:r>
      <w:r>
        <w:rPr>
          <w:rFonts w:ascii="Times New Roman" w:cs="Times New Roman" w:eastAsia="Times New Roman" w:hAnsi="Times New Roman"/>
          <w:sz w:val="16"/>
          <w:szCs w:val="16"/>
          <w:color w:val="auto"/>
        </w:rPr>
        <w:t>. The Company hereby agrees to use commercially reasonable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use commercially reasonable efforts to maintain the eligibility of the Common Stock for electronic transfer through the Depository Trust</w:t>
      </w:r>
    </w:p>
    <w:p>
      <w:pPr>
        <w:spacing w:after="0" w:line="200" w:lineRule="exact"/>
        <w:rPr>
          <w:sz w:val="20"/>
          <w:szCs w:val="20"/>
          <w:color w:val="auto"/>
        </w:rPr>
      </w:pPr>
    </w:p>
    <w:p>
      <w:pPr>
        <w:spacing w:after="0" w:line="275" w:lineRule="exact"/>
        <w:rPr>
          <w:sz w:val="20"/>
          <w:szCs w:val="20"/>
          <w:color w:val="auto"/>
        </w:rPr>
      </w:pPr>
    </w:p>
    <w:p>
      <w:pPr>
        <w:ind w:left="60"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394335</wp:posOffset>
            </wp:positionV>
            <wp:extent cx="7174865" cy="40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123" w:name="page124"/>
    <w:bookmarkEnd w:id="123"/>
    <w:p>
      <w:pPr>
        <w:ind w:left="5" w:right="20"/>
        <w:spacing w:after="0" w:line="276" w:lineRule="auto"/>
        <w:rPr>
          <w:sz w:val="20"/>
          <w:szCs w:val="20"/>
          <w:color w:val="auto"/>
        </w:rPr>
      </w:pPr>
      <w:r>
        <w:rPr>
          <w:rFonts w:ascii="Times New Roman" w:cs="Times New Roman" w:eastAsia="Times New Roman" w:hAnsi="Times New Roman"/>
          <w:sz w:val="16"/>
          <w:szCs w:val="16"/>
          <w:color w:val="auto"/>
        </w:rPr>
        <w:t>Company or another established clearing corporation, including, without limitation, by timely payment of fees to the Depository Trust Company or such other established clearing corporation in connection with such electronic transfer.</w:t>
      </w:r>
    </w:p>
    <w:p>
      <w:pPr>
        <w:spacing w:after="0" w:line="145"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6"/>
          <w:szCs w:val="16"/>
          <w:color w:val="auto"/>
        </w:rPr>
        <w:t xml:space="preserve">4.11 </w:t>
      </w:r>
      <w:r>
        <w:rPr>
          <w:rFonts w:ascii="Times New Roman" w:cs="Times New Roman" w:eastAsia="Times New Roman" w:hAnsi="Times New Roman"/>
          <w:sz w:val="16"/>
          <w:szCs w:val="16"/>
          <w:u w:val="single" w:color="auto"/>
          <w:color w:val="auto"/>
        </w:rPr>
        <w:t>[Reserved].</w:t>
      </w:r>
    </w:p>
    <w:p>
      <w:pPr>
        <w:spacing w:after="0" w:line="194"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6"/>
          <w:szCs w:val="16"/>
          <w:color w:val="auto"/>
        </w:rPr>
        <w:t xml:space="preserve">4.12 </w:t>
      </w:r>
      <w:r>
        <w:rPr>
          <w:rFonts w:ascii="Times New Roman" w:cs="Times New Roman" w:eastAsia="Times New Roman" w:hAnsi="Times New Roman"/>
          <w:sz w:val="16"/>
          <w:szCs w:val="16"/>
          <w:u w:val="single" w:color="auto"/>
          <w:color w:val="auto"/>
        </w:rPr>
        <w:t>Subsequent Equity Sales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ind w:left="5" w:right="20" w:firstLine="1496"/>
        <w:spacing w:after="0" w:line="256" w:lineRule="auto"/>
        <w:tabs>
          <w:tab w:leader="none" w:pos="1749" w:val="left"/>
        </w:tabs>
        <w:numPr>
          <w:ilvl w:val="1"/>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the date hereof until sixty (60) days after the Effectiveness Date, neither the Company nor any Subsidiary shall (i) issue, enter into any agreement to issue or announce the issuance or proposed issuance of any shares of Common Stock or Common Stock Equivalents, or (ii) file any registration statement or amendment or supplement thereto, other than a Registration Statement pursuant to the Registration Rights Agreement or filing a registration statement on Form S-8 in connection with any employee benefit plan.</w:t>
      </w:r>
    </w:p>
    <w:p>
      <w:pPr>
        <w:spacing w:after="0" w:line="161" w:lineRule="exact"/>
        <w:rPr>
          <w:rFonts w:ascii="Times New Roman" w:cs="Times New Roman" w:eastAsia="Times New Roman" w:hAnsi="Times New Roman"/>
          <w:sz w:val="16"/>
          <w:szCs w:val="16"/>
          <w:color w:val="auto"/>
        </w:rPr>
      </w:pPr>
    </w:p>
    <w:p>
      <w:pPr>
        <w:jc w:val="both"/>
        <w:ind w:left="5" w:right="20" w:firstLine="1496"/>
        <w:spacing w:after="0" w:line="268" w:lineRule="auto"/>
        <w:tabs>
          <w:tab w:leader="none" w:pos="1732" w:val="left"/>
        </w:tabs>
        <w:numPr>
          <w:ilvl w:val="1"/>
          <w:numId w:val="1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the date hereof until one hundred and eighty (180) days after the Effectiveness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 w:cs="Times New Roman" w:eastAsia="Times New Roman" w:hAnsi="Times New Roman"/>
          <w:sz w:val="15"/>
          <w:szCs w:val="15"/>
          <w:u w:val="single" w:color="auto"/>
          <w:color w:val="auto"/>
        </w:rPr>
        <w:t>Variable Rate Transaction</w:t>
      </w:r>
      <w:r>
        <w:rPr>
          <w:rFonts w:ascii="Times New Roman" w:cs="Times New Roman" w:eastAsia="Times New Roman" w:hAnsi="Times New Roman"/>
          <w:sz w:val="15"/>
          <w:szCs w:val="15"/>
          <w:color w:val="auto"/>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w:t>
      </w:r>
    </w:p>
    <w:p>
      <w:pPr>
        <w:jc w:val="both"/>
        <w:ind w:left="5" w:hanging="5"/>
        <w:spacing w:after="0" w:line="248" w:lineRule="auto"/>
        <w:tabs>
          <w:tab w:leader="none" w:pos="258"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 the market offering”, whereby the Company may issue securities at a future determined price regardless of whether shares pursuant to such agreement have actually been issued and regardless of whether such agreement is subsequently canceled; </w:t>
      </w:r>
      <w:r>
        <w:rPr>
          <w:rFonts w:ascii="Times New Roman" w:cs="Times New Roman" w:eastAsia="Times New Roman" w:hAnsi="Times New Roman"/>
          <w:sz w:val="16"/>
          <w:szCs w:val="16"/>
          <w:u w:val="single" w:color="auto"/>
          <w:color w:val="auto"/>
        </w:rPr>
        <w:t>provided, however, that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commencing sixty (60) days after the Effectiveness Date, the Company’s issuance of Common Stock or Common Stock Equivalents pursuant to an “at the market offering” facility with the Placement Agent as sales agent shall not be deemed a Variable Rate Transaction.</w:t>
      </w:r>
    </w:p>
    <w:p>
      <w:pPr>
        <w:spacing w:after="0" w:line="166" w:lineRule="exact"/>
        <w:rPr>
          <w:rFonts w:ascii="Times New Roman" w:cs="Times New Roman" w:eastAsia="Times New Roman" w:hAnsi="Times New Roman"/>
          <w:sz w:val="16"/>
          <w:szCs w:val="16"/>
          <w:color w:val="auto"/>
        </w:rPr>
      </w:pPr>
    </w:p>
    <w:p>
      <w:pPr>
        <w:ind w:left="1725" w:hanging="224"/>
        <w:spacing w:after="0"/>
        <w:tabs>
          <w:tab w:leader="none" w:pos="1725" w:val="left"/>
        </w:tabs>
        <w:numPr>
          <w:ilvl w:val="1"/>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the foregoing, this </w:t>
      </w:r>
      <w:r>
        <w:rPr>
          <w:rFonts w:ascii="Times New Roman" w:cs="Times New Roman" w:eastAsia="Times New Roman" w:hAnsi="Times New Roman"/>
          <w:sz w:val="15"/>
          <w:szCs w:val="15"/>
          <w:u w:val="single" w:color="auto"/>
          <w:color w:val="auto"/>
        </w:rPr>
        <w:t>Section 4.12</w:t>
      </w:r>
      <w:r>
        <w:rPr>
          <w:rFonts w:ascii="Times New Roman" w:cs="Times New Roman" w:eastAsia="Times New Roman" w:hAnsi="Times New Roman"/>
          <w:sz w:val="15"/>
          <w:szCs w:val="15"/>
          <w:color w:val="auto"/>
        </w:rPr>
        <w:t xml:space="preserve"> shall not apply in respect of an Exempt Issuance, except that no Variable Rate Transaction shall be an</w:t>
      </w:r>
    </w:p>
    <w:p>
      <w:pPr>
        <w:spacing w:after="0" w:line="33" w:lineRule="exact"/>
        <w:rPr>
          <w:rFonts w:ascii="Times New Roman" w:cs="Times New Roman" w:eastAsia="Times New Roman" w:hAnsi="Times New Roman"/>
          <w:sz w:val="15"/>
          <w:szCs w:val="15"/>
          <w:color w:val="auto"/>
        </w:rPr>
      </w:pPr>
    </w:p>
    <w:p>
      <w:pPr>
        <w:ind w:left="5"/>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Exempt Issuance.</w:t>
      </w:r>
    </w:p>
    <w:p>
      <w:pPr>
        <w:spacing w:after="0" w:line="177" w:lineRule="exact"/>
        <w:rPr>
          <w:sz w:val="20"/>
          <w:szCs w:val="20"/>
          <w:color w:val="auto"/>
        </w:rPr>
      </w:pPr>
    </w:p>
    <w:p>
      <w:pPr>
        <w:jc w:val="both"/>
        <w:ind w:left="5" w:firstLine="751"/>
        <w:spacing w:after="0" w:line="254" w:lineRule="auto"/>
        <w:rPr>
          <w:sz w:val="20"/>
          <w:szCs w:val="20"/>
          <w:color w:val="auto"/>
        </w:rPr>
      </w:pPr>
      <w:r>
        <w:rPr>
          <w:rFonts w:ascii="Times New Roman" w:cs="Times New Roman" w:eastAsia="Times New Roman" w:hAnsi="Times New Roman"/>
          <w:sz w:val="16"/>
          <w:szCs w:val="16"/>
          <w:color w:val="auto"/>
        </w:rPr>
        <w:t xml:space="preserve">4.13 </w:t>
      </w:r>
      <w:r>
        <w:rPr>
          <w:rFonts w:ascii="Times New Roman" w:cs="Times New Roman" w:eastAsia="Times New Roman" w:hAnsi="Times New Roman"/>
          <w:sz w:val="16"/>
          <w:szCs w:val="16"/>
          <w:u w:val="single" w:color="auto"/>
          <w:color w:val="auto"/>
        </w:rPr>
        <w:t>Equal Treatment of Purchasers.</w:t>
      </w:r>
      <w:r>
        <w:rPr>
          <w:rFonts w:ascii="Times New Roman" w:cs="Times New Roman" w:eastAsia="Times New Roman" w:hAnsi="Times New Roman"/>
          <w:sz w:val="16"/>
          <w:szCs w:val="16"/>
          <w:color w:val="auto"/>
        </w:rPr>
        <w:t xml:space="preserve">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62" w:lineRule="exact"/>
        <w:rPr>
          <w:sz w:val="20"/>
          <w:szCs w:val="20"/>
          <w:color w:val="auto"/>
        </w:rPr>
      </w:pPr>
    </w:p>
    <w:p>
      <w:pPr>
        <w:jc w:val="both"/>
        <w:ind w:left="5" w:firstLine="751"/>
        <w:spacing w:after="0" w:line="251" w:lineRule="auto"/>
        <w:rPr>
          <w:sz w:val="20"/>
          <w:szCs w:val="20"/>
          <w:color w:val="auto"/>
        </w:rPr>
      </w:pPr>
      <w:r>
        <w:rPr>
          <w:rFonts w:ascii="Times New Roman" w:cs="Times New Roman" w:eastAsia="Times New Roman" w:hAnsi="Times New Roman"/>
          <w:sz w:val="16"/>
          <w:szCs w:val="16"/>
          <w:color w:val="auto"/>
        </w:rPr>
        <w:t xml:space="preserve">4.14 </w:t>
      </w:r>
      <w:r>
        <w:rPr>
          <w:rFonts w:ascii="Times New Roman" w:cs="Times New Roman" w:eastAsia="Times New Roman" w:hAnsi="Times New Roman"/>
          <w:sz w:val="16"/>
          <w:szCs w:val="16"/>
          <w:u w:val="single" w:color="auto"/>
          <w:color w:val="auto"/>
        </w:rPr>
        <w:t>Certain Transactions and Confidentiality</w:t>
      </w:r>
      <w:r>
        <w:rPr>
          <w:rFonts w:ascii="Times New Roman" w:cs="Times New Roman" w:eastAsia="Times New Roman" w:hAnsi="Times New Roman"/>
          <w:sz w:val="16"/>
          <w:szCs w:val="16"/>
          <w:color w:val="auto"/>
        </w:rPr>
        <w:t xml:space="preserve">. Each Purchaser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color w:val="auto"/>
        </w:rPr>
        <w:t xml:space="preserve">. Each Purchaser covenants that until such time as the transactions contemplated by this Agreement are publicly disclosed by the Company pursuant to the initial press release as described in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color w:val="auto"/>
        </w:rPr>
        <w:t>, each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each Purchaser makes no representation, warranty or covenant hereby that it will not engage in effecting transactions in any securities of the Company after the time that the transactions contemplated by this Agreement are first publicly</w:t>
      </w:r>
    </w:p>
    <w:p>
      <w:pPr>
        <w:spacing w:after="0" w:line="200" w:lineRule="exact"/>
        <w:rPr>
          <w:sz w:val="20"/>
          <w:szCs w:val="20"/>
          <w:color w:val="auto"/>
        </w:rPr>
      </w:pPr>
    </w:p>
    <w:p>
      <w:pPr>
        <w:spacing w:after="0" w:line="275" w:lineRule="exact"/>
        <w:rPr>
          <w:sz w:val="20"/>
          <w:szCs w:val="20"/>
          <w:color w:val="auto"/>
        </w:rPr>
      </w:pPr>
    </w:p>
    <w:p>
      <w:pPr>
        <w:ind w:left="65"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394335</wp:posOffset>
            </wp:positionV>
            <wp:extent cx="7174865"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8" w:right="319" w:bottom="1440" w:gutter="0" w:footer="0" w:header="0"/>
        </w:sectPr>
      </w:pPr>
    </w:p>
    <w:bookmarkStart w:id="124" w:name="page125"/>
    <w:bookmarkEnd w:id="124"/>
    <w:p>
      <w:pPr>
        <w:jc w:val="both"/>
        <w:spacing w:after="0" w:line="256" w:lineRule="auto"/>
        <w:rPr>
          <w:sz w:val="20"/>
          <w:szCs w:val="20"/>
          <w:color w:val="auto"/>
        </w:rPr>
      </w:pPr>
      <w:r>
        <w:rPr>
          <w:rFonts w:ascii="Times New Roman" w:cs="Times New Roman" w:eastAsia="Times New Roman" w:hAnsi="Times New Roman"/>
          <w:sz w:val="16"/>
          <w:szCs w:val="16"/>
          <w:color w:val="auto"/>
        </w:rPr>
        <w:t xml:space="preserve">announced pursuant to the initial press release as described in Section 4.4, (ii) each Purchaser shall not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color w:val="auto"/>
        </w:rPr>
        <w:t xml:space="preserve">, and (iii) each Purchaser shall not have any duty of confidentiality or duty not to trade in the securities of the Company to the Company or its subsidiaries after the issuance of the initial press release as described in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4.15 [RESERVED].</w:t>
      </w:r>
    </w:p>
    <w:p>
      <w:pPr>
        <w:spacing w:after="0" w:line="194" w:lineRule="exact"/>
        <w:rPr>
          <w:sz w:val="20"/>
          <w:szCs w:val="20"/>
          <w:color w:val="auto"/>
        </w:rPr>
      </w:pPr>
    </w:p>
    <w:p>
      <w:pPr>
        <w:jc w:val="both"/>
        <w:ind w:firstLine="751"/>
        <w:spacing w:after="0" w:line="254" w:lineRule="auto"/>
        <w:rPr>
          <w:sz w:val="20"/>
          <w:szCs w:val="20"/>
          <w:color w:val="auto"/>
        </w:rPr>
      </w:pPr>
      <w:r>
        <w:rPr>
          <w:rFonts w:ascii="Times New Roman" w:cs="Times New Roman" w:eastAsia="Times New Roman" w:hAnsi="Times New Roman"/>
          <w:sz w:val="16"/>
          <w:szCs w:val="16"/>
          <w:color w:val="auto"/>
        </w:rPr>
        <w:t xml:space="preserve">4.16 </w:t>
      </w:r>
      <w:r>
        <w:rPr>
          <w:rFonts w:ascii="Times New Roman" w:cs="Times New Roman" w:eastAsia="Times New Roman" w:hAnsi="Times New Roman"/>
          <w:sz w:val="16"/>
          <w:szCs w:val="16"/>
          <w:u w:val="single" w:color="auto"/>
          <w:color w:val="auto"/>
        </w:rPr>
        <w:t>Exercise Procedures</w:t>
      </w:r>
      <w:r>
        <w:rPr>
          <w:rFonts w:ascii="Times New Roman" w:cs="Times New Roman" w:eastAsia="Times New Roman" w:hAnsi="Times New Roman"/>
          <w:sz w:val="16"/>
          <w:szCs w:val="16"/>
          <w:color w:val="auto"/>
        </w:rPr>
        <w:t>. The form of Notice of Exercise included in the Warrants set forth the totality of the procedures required of each Purchaser in order to exercise the Warrants. No additional legal opinion, other information or instructions shall be required of each Purchaser to exercise its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162" w:lineRule="exact"/>
        <w:rPr>
          <w:sz w:val="20"/>
          <w:szCs w:val="20"/>
          <w:color w:val="auto"/>
        </w:rPr>
      </w:pPr>
    </w:p>
    <w:p>
      <w:pPr>
        <w:jc w:val="both"/>
        <w:ind w:firstLine="751"/>
        <w:spacing w:after="0" w:line="261" w:lineRule="auto"/>
        <w:rPr>
          <w:sz w:val="20"/>
          <w:szCs w:val="20"/>
          <w:color w:val="auto"/>
        </w:rPr>
      </w:pPr>
      <w:r>
        <w:rPr>
          <w:rFonts w:ascii="Times New Roman" w:cs="Times New Roman" w:eastAsia="Times New Roman" w:hAnsi="Times New Roman"/>
          <w:sz w:val="16"/>
          <w:szCs w:val="16"/>
          <w:color w:val="auto"/>
        </w:rPr>
        <w:t xml:space="preserve">4.17 </w:t>
      </w:r>
      <w:r>
        <w:rPr>
          <w:rFonts w:ascii="Times New Roman" w:cs="Times New Roman" w:eastAsia="Times New Roman" w:hAnsi="Times New Roman"/>
          <w:sz w:val="16"/>
          <w:szCs w:val="16"/>
          <w:u w:val="single" w:color="auto"/>
          <w:color w:val="auto"/>
        </w:rPr>
        <w:t>Lock-Up Agreements</w:t>
      </w:r>
      <w:r>
        <w:rPr>
          <w:rFonts w:ascii="Times New Roman" w:cs="Times New Roman" w:eastAsia="Times New Roman" w:hAnsi="Times New Roman"/>
          <w:sz w:val="16"/>
          <w:szCs w:val="16"/>
          <w:color w:val="auto"/>
        </w:rPr>
        <w:t>.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spacing w:after="0" w:line="157" w:lineRule="exact"/>
        <w:rPr>
          <w:sz w:val="20"/>
          <w:szCs w:val="20"/>
          <w:color w:val="auto"/>
        </w:rPr>
      </w:pPr>
    </w:p>
    <w:p>
      <w:pPr>
        <w:jc w:val="both"/>
        <w:ind w:firstLine="751"/>
        <w:spacing w:after="0" w:line="256" w:lineRule="auto"/>
        <w:rPr>
          <w:sz w:val="20"/>
          <w:szCs w:val="20"/>
          <w:color w:val="auto"/>
        </w:rPr>
      </w:pPr>
      <w:r>
        <w:rPr>
          <w:rFonts w:ascii="Times New Roman" w:cs="Times New Roman" w:eastAsia="Times New Roman" w:hAnsi="Times New Roman"/>
          <w:sz w:val="16"/>
          <w:szCs w:val="16"/>
          <w:color w:val="auto"/>
        </w:rPr>
        <w:t xml:space="preserve">4.18 </w:t>
      </w:r>
      <w:r>
        <w:rPr>
          <w:rFonts w:ascii="Times New Roman" w:cs="Times New Roman" w:eastAsia="Times New Roman" w:hAnsi="Times New Roman"/>
          <w:sz w:val="16"/>
          <w:szCs w:val="16"/>
          <w:u w:val="single" w:color="auto"/>
          <w:color w:val="auto"/>
        </w:rPr>
        <w:t>Form D; Blue Sky Filings</w:t>
      </w:r>
      <w:r>
        <w:rPr>
          <w:rFonts w:ascii="Times New Roman" w:cs="Times New Roman" w:eastAsia="Times New Roman" w:hAnsi="Times New Roman"/>
          <w:sz w:val="16"/>
          <w:szCs w:val="16"/>
          <w:color w:val="auto"/>
        </w:rPr>
        <w:t>. If applicable, the Company agrees to timely file a Form D with respect to the Securities as required under Regulation D and to provide a copy thereof, promptly upon request of any Purchaser. The Company shall take such action as the Company shall reasonably determine is necessary in order to obtain an exemption for, or to qualify the Securities for, sale to the Purchasers at the Closing under applicable securities or “Blue Sky” laws of the states of the United States, and shall provide evidence of such actions (if any, depending on the Company’s determination) promptly upon request of any Purchaser.</w:t>
      </w:r>
    </w:p>
    <w:p>
      <w:pPr>
        <w:spacing w:after="0" w:line="161" w:lineRule="exact"/>
        <w:rPr>
          <w:sz w:val="20"/>
          <w:szCs w:val="20"/>
          <w:color w:val="auto"/>
        </w:rPr>
      </w:pPr>
    </w:p>
    <w:p>
      <w:pPr>
        <w:jc w:val="both"/>
        <w:ind w:right="20" w:firstLine="751"/>
        <w:spacing w:after="0" w:line="256" w:lineRule="auto"/>
        <w:rPr>
          <w:sz w:val="20"/>
          <w:szCs w:val="20"/>
          <w:color w:val="auto"/>
        </w:rPr>
      </w:pPr>
      <w:r>
        <w:rPr>
          <w:rFonts w:ascii="Times New Roman" w:cs="Times New Roman" w:eastAsia="Times New Roman" w:hAnsi="Times New Roman"/>
          <w:sz w:val="16"/>
          <w:szCs w:val="16"/>
          <w:color w:val="auto"/>
        </w:rPr>
        <w:t xml:space="preserve">4.19 </w:t>
      </w:r>
      <w:r>
        <w:rPr>
          <w:rFonts w:ascii="Times New Roman" w:cs="Times New Roman" w:eastAsia="Times New Roman" w:hAnsi="Times New Roman"/>
          <w:sz w:val="16"/>
          <w:szCs w:val="16"/>
          <w:u w:val="single" w:color="auto"/>
          <w:color w:val="auto"/>
        </w:rPr>
        <w:t>Capital Changes</w:t>
      </w:r>
      <w:r>
        <w:rPr>
          <w:rFonts w:ascii="Times New Roman" w:cs="Times New Roman" w:eastAsia="Times New Roman" w:hAnsi="Times New Roman"/>
          <w:sz w:val="16"/>
          <w:szCs w:val="16"/>
          <w:color w:val="auto"/>
        </w:rPr>
        <w:t>. From the date hereof until ninety (90) days after the Closing Date, the Company shall not undertake a reverse or forward stock split or reclassification of the Common Stock without the prior written consent of the Purchasers holding a majority in interest of the Securities, except (i) for any reverse or forward stock split or reclassification previously approved by the Company’s stockholders and expressly contemplated by the SEC Reports and (ii) for any reverse stock split effected in connection with, and reasonably necessary to satisfy the continued listing requirements of a national securities exchange registered under Section 6 of the Exchange Act.</w:t>
      </w:r>
    </w:p>
    <w:p>
      <w:pPr>
        <w:spacing w:after="0" w:line="350" w:lineRule="exact"/>
        <w:rPr>
          <w:sz w:val="20"/>
          <w:szCs w:val="20"/>
          <w:color w:val="auto"/>
        </w:rPr>
      </w:pPr>
    </w:p>
    <w:p>
      <w:pPr>
        <w:jc w:val="both"/>
        <w:ind w:firstLine="751"/>
        <w:spacing w:after="0" w:line="271" w:lineRule="auto"/>
        <w:rPr>
          <w:sz w:val="20"/>
          <w:szCs w:val="20"/>
          <w:color w:val="auto"/>
        </w:rPr>
      </w:pPr>
      <w:r>
        <w:rPr>
          <w:rFonts w:ascii="Times New Roman" w:cs="Times New Roman" w:eastAsia="Times New Roman" w:hAnsi="Times New Roman"/>
          <w:sz w:val="15"/>
          <w:szCs w:val="15"/>
          <w:color w:val="auto"/>
        </w:rPr>
        <w:t xml:space="preserve">4.20 </w:t>
      </w:r>
      <w:r>
        <w:rPr>
          <w:rFonts w:ascii="Times New Roman" w:cs="Times New Roman" w:eastAsia="Times New Roman" w:hAnsi="Times New Roman"/>
          <w:sz w:val="15"/>
          <w:szCs w:val="15"/>
          <w:u w:val="single" w:color="auto"/>
          <w:color w:val="auto"/>
        </w:rPr>
        <w:t>SEC Filings; Registration Statement</w:t>
      </w:r>
      <w:r>
        <w:rPr>
          <w:rFonts w:ascii="Times New Roman" w:cs="Times New Roman" w:eastAsia="Times New Roman" w:hAnsi="Times New Roman"/>
          <w:sz w:val="15"/>
          <w:szCs w:val="15"/>
          <w:color w:val="auto"/>
        </w:rPr>
        <w:t>. As soon as practicable, the Company shall file with the Commission (a) all reports, schedules, forms, statements and other documents required to be filed by the Company under the Securities Act and the Exchange Act, including pursuant to Section 13(a) or 15(d) thereof, and (b), if applicable, a Registration Statement on the applicable form pursuant to the terms of the Registration Rights Agreement providing for the registration of the Securities, and in any event no later than fifteen (15) calendar days of the date of this Agreement. The Company shall use commercially reasonable efforts to cause such Registration Statement to become effective within 45 days following the date of the Registration Rights Agreement (or within 60 calendar days following the date of the Registration Rights Agreement in the event of a “limited review” by the Commission of the Registration Statement or within 90 calendar days following the date of the Registration Rights Agreement in the event of a “full review” by the Commission of the Registration Statement) and to keep such registration statement effective at all times until no Purchaser owns any Securities.</w:t>
      </w:r>
    </w:p>
    <w:p>
      <w:pPr>
        <w:spacing w:after="0" w:line="150" w:lineRule="exact"/>
        <w:rPr>
          <w:sz w:val="20"/>
          <w:szCs w:val="20"/>
          <w:color w:val="auto"/>
        </w:rPr>
      </w:pPr>
    </w:p>
    <w:p>
      <w:pPr>
        <w:jc w:val="both"/>
        <w:ind w:firstLine="751"/>
        <w:spacing w:after="0" w:line="276" w:lineRule="auto"/>
        <w:rPr>
          <w:sz w:val="20"/>
          <w:szCs w:val="20"/>
          <w:color w:val="auto"/>
        </w:rPr>
      </w:pPr>
      <w:r>
        <w:rPr>
          <w:rFonts w:ascii="Times New Roman" w:cs="Times New Roman" w:eastAsia="Times New Roman" w:hAnsi="Times New Roman"/>
          <w:sz w:val="16"/>
          <w:szCs w:val="16"/>
          <w:color w:val="auto"/>
        </w:rPr>
        <w:t xml:space="preserve">4.21 </w:t>
      </w:r>
      <w:r>
        <w:rPr>
          <w:rFonts w:ascii="Times New Roman" w:cs="Times New Roman" w:eastAsia="Times New Roman" w:hAnsi="Times New Roman"/>
          <w:sz w:val="16"/>
          <w:szCs w:val="16"/>
          <w:u w:val="single" w:color="auto"/>
          <w:color w:val="auto"/>
        </w:rPr>
        <w:t>Stockholder Approval</w:t>
      </w:r>
      <w:r>
        <w:rPr>
          <w:rFonts w:ascii="Times New Roman" w:cs="Times New Roman" w:eastAsia="Times New Roman" w:hAnsi="Times New Roman"/>
          <w:sz w:val="16"/>
          <w:szCs w:val="16"/>
          <w:color w:val="auto"/>
        </w:rPr>
        <w:t>. The Company shall hold a special meeting of stockholders at the earliest practicable date after the date hereof, but in no event later than ninety (90) days after the Closing Date for the purpose</w:t>
      </w:r>
    </w:p>
    <w:p>
      <w:pPr>
        <w:spacing w:after="0" w:line="200" w:lineRule="exact"/>
        <w:rPr>
          <w:sz w:val="20"/>
          <w:szCs w:val="20"/>
          <w:color w:val="auto"/>
        </w:rPr>
      </w:pPr>
    </w:p>
    <w:p>
      <w:pPr>
        <w:spacing w:after="0" w:line="256" w:lineRule="exact"/>
        <w:rPr>
          <w:sz w:val="20"/>
          <w:szCs w:val="20"/>
          <w:color w:val="auto"/>
        </w:rPr>
      </w:pPr>
    </w:p>
    <w:p>
      <w:pPr>
        <w:ind w:left="60"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394335</wp:posOffset>
            </wp:positionV>
            <wp:extent cx="7174865"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125" w:name="page126"/>
    <w:bookmarkEnd w:id="125"/>
    <w:p>
      <w:pPr>
        <w:jc w:val="both"/>
        <w:spacing w:after="0" w:line="250" w:lineRule="auto"/>
        <w:rPr>
          <w:sz w:val="20"/>
          <w:szCs w:val="20"/>
          <w:color w:val="auto"/>
        </w:rPr>
      </w:pPr>
      <w:r>
        <w:rPr>
          <w:rFonts w:ascii="Times New Roman" w:cs="Times New Roman" w:eastAsia="Times New Roman" w:hAnsi="Times New Roman"/>
          <w:sz w:val="16"/>
          <w:szCs w:val="16"/>
          <w:color w:val="auto"/>
        </w:rPr>
        <w:t>of obtaining Stockholder Approval, if required to effect the purpose thereof, with the recommendation of the Board that such proposal be approved, and the Company shall solicit proxies from its stockholders in connection therewith in the same manner as all other management proposals in such proxy statement and all management- appointed proxyholders shall vote their proxies in favor of such proposal. The Company shall use its reasonable best efforts to obtain such Stockholder Approval, and request that its officers and directors, cast their proxies in favor of such proposal. If the Company does not obtain Stockholder Approval at the first meeting, the Company shall call a meeting every ninety (90) days thereafter to seek Stockholder Approval until the earlier of the date Stockholder Approval is obtained or the Warrants are no longer outstanding. Notwithstanding the foregoing, the Company may, in lieu of holding a special meeting of stockholders as aforesaid, obtain the written consent of a majority of its stockholders covering the Stockholder Approval so long as prior to forty five (45) days after the Closing Date, such written consents are obtained and in accordance with Exchange Act Rule 14c-2 at least twenty (20) days shall have transpired from the date on which a written information statement containing the information specified in Schedule 14C detailing such Stockholder Approval shall have been filed with the SEC and delivered to stockholders of the Company.</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MISCELLANEOUS</w:t>
      </w:r>
    </w:p>
    <w:p>
      <w:pPr>
        <w:spacing w:after="0" w:line="177" w:lineRule="exact"/>
        <w:rPr>
          <w:sz w:val="20"/>
          <w:szCs w:val="20"/>
          <w:color w:val="auto"/>
        </w:rPr>
      </w:pPr>
    </w:p>
    <w:p>
      <w:pPr>
        <w:jc w:val="both"/>
        <w:ind w:firstLine="751"/>
        <w:spacing w:after="0" w:line="261"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This Agreement may be terminated by each Purchaser by written notice to the Company, if the Closing has not been consummated on or before the fifth (5th) Trading Day following the date hereof; provided, however, that no such termination will affect the right of any party to sue for any breach by any other party (or parties).</w:t>
      </w:r>
    </w:p>
    <w:p>
      <w:pPr>
        <w:spacing w:after="0" w:line="346" w:lineRule="exact"/>
        <w:rPr>
          <w:sz w:val="20"/>
          <w:szCs w:val="20"/>
          <w:color w:val="auto"/>
        </w:rPr>
      </w:pPr>
    </w:p>
    <w:p>
      <w:pPr>
        <w:jc w:val="both"/>
        <w:ind w:right="20" w:firstLine="751"/>
        <w:spacing w:after="0" w:line="279" w:lineRule="auto"/>
        <w:rPr>
          <w:sz w:val="20"/>
          <w:szCs w:val="20"/>
          <w:color w:val="auto"/>
        </w:rPr>
      </w:pPr>
      <w:r>
        <w:rPr>
          <w:rFonts w:ascii="Times New Roman" w:cs="Times New Roman" w:eastAsia="Times New Roman" w:hAnsi="Times New Roman"/>
          <w:sz w:val="15"/>
          <w:szCs w:val="15"/>
          <w:color w:val="auto"/>
        </w:rPr>
        <w:t xml:space="preserve">5.2 </w:t>
      </w:r>
      <w:r>
        <w:rPr>
          <w:rFonts w:ascii="Times New Roman" w:cs="Times New Roman" w:eastAsia="Times New Roman" w:hAnsi="Times New Roman"/>
          <w:sz w:val="15"/>
          <w:szCs w:val="15"/>
          <w:u w:val="single" w:color="auto"/>
          <w:color w:val="auto"/>
        </w:rPr>
        <w:t>Fees and Expenses</w:t>
      </w:r>
      <w:r>
        <w:rPr>
          <w:rFonts w:ascii="Times New Roman" w:cs="Times New Roman" w:eastAsia="Times New Roman" w:hAnsi="Times New Roman"/>
          <w:sz w:val="15"/>
          <w:szCs w:val="15"/>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the Purchaser), stamp taxes and other taxes and duties levied in connection with the delivery of any Securities to the Purchaser.</w:t>
      </w:r>
    </w:p>
    <w:p>
      <w:pPr>
        <w:spacing w:after="0" w:line="144" w:lineRule="exact"/>
        <w:rPr>
          <w:sz w:val="20"/>
          <w:szCs w:val="20"/>
          <w:color w:val="auto"/>
        </w:rPr>
      </w:pPr>
    </w:p>
    <w:p>
      <w:pPr>
        <w:jc w:val="both"/>
        <w:ind w:firstLine="751"/>
        <w:spacing w:after="0" w:line="261" w:lineRule="auto"/>
        <w:rPr>
          <w:sz w:val="20"/>
          <w:szCs w:val="20"/>
          <w:color w:val="auto"/>
        </w:rPr>
      </w:pPr>
      <w:r>
        <w:rPr>
          <w:rFonts w:ascii="Times New Roman" w:cs="Times New Roman" w:eastAsia="Times New Roman" w:hAnsi="Times New Roman"/>
          <w:sz w:val="16"/>
          <w:szCs w:val="16"/>
          <w:color w:val="auto"/>
        </w:rPr>
        <w:t xml:space="preserve">5.3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57" w:lineRule="exact"/>
        <w:rPr>
          <w:sz w:val="20"/>
          <w:szCs w:val="20"/>
          <w:color w:val="auto"/>
        </w:rPr>
      </w:pPr>
    </w:p>
    <w:p>
      <w:pPr>
        <w:jc w:val="both"/>
        <w:ind w:firstLine="751"/>
        <w:spacing w:after="0" w:line="250" w:lineRule="auto"/>
        <w:rPr>
          <w:sz w:val="20"/>
          <w:szCs w:val="20"/>
          <w:color w:val="auto"/>
        </w:rPr>
      </w:pPr>
      <w:r>
        <w:rPr>
          <w:rFonts w:ascii="Times New Roman" w:cs="Times New Roman" w:eastAsia="Times New Roman" w:hAnsi="Times New Roman"/>
          <w:sz w:val="16"/>
          <w:szCs w:val="16"/>
          <w:color w:val="auto"/>
        </w:rPr>
        <w:t xml:space="preserve">5.4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 p.m. (New York City time) on any Trading Day, (c) the first (1st)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spacing w:after="0" w:line="167" w:lineRule="exact"/>
        <w:rPr>
          <w:sz w:val="20"/>
          <w:szCs w:val="20"/>
          <w:color w:val="auto"/>
        </w:rPr>
      </w:pPr>
    </w:p>
    <w:p>
      <w:pPr>
        <w:jc w:val="both"/>
        <w:ind w:right="20" w:firstLine="751"/>
        <w:spacing w:after="0" w:line="261" w:lineRule="auto"/>
        <w:rPr>
          <w:sz w:val="20"/>
          <w:szCs w:val="20"/>
          <w:color w:val="auto"/>
        </w:rPr>
      </w:pPr>
      <w:r>
        <w:rPr>
          <w:rFonts w:ascii="Times New Roman" w:cs="Times New Roman" w:eastAsia="Times New Roman" w:hAnsi="Times New Roman"/>
          <w:sz w:val="16"/>
          <w:szCs w:val="16"/>
          <w:color w:val="auto"/>
        </w:rPr>
        <w:t xml:space="preserve">5.5 </w:t>
      </w:r>
      <w:r>
        <w:rPr>
          <w:rFonts w:ascii="Times New Roman" w:cs="Times New Roman" w:eastAsia="Times New Roman" w:hAnsi="Times New Roman"/>
          <w:sz w:val="16"/>
          <w:szCs w:val="16"/>
          <w:u w:val="single" w:color="auto"/>
          <w:color w:val="auto"/>
        </w:rPr>
        <w:t>Amendments; Waivers</w:t>
      </w:r>
      <w:r>
        <w:rPr>
          <w:rFonts w:ascii="Times New Roman" w:cs="Times New Roman" w:eastAsia="Times New Roman" w:hAnsi="Times New Roman"/>
          <w:sz w:val="16"/>
          <w:szCs w:val="16"/>
          <w:color w:val="auto"/>
        </w:rPr>
        <w:t>. No provision of this Agreement may be waived, modified, supplemented or amended except in a written instrument signed, in the case of an amendment, by the Company and the Purchaser. No waiver of any default with respect to any provision, condition or requirement of this Agreement shall be deemed to be a continuing waiver in the future or a waiver of any subsequent default or a waiver of any other provision, condition</w:t>
      </w:r>
    </w:p>
    <w:p>
      <w:pPr>
        <w:spacing w:after="0" w:line="200" w:lineRule="exact"/>
        <w:rPr>
          <w:sz w:val="20"/>
          <w:szCs w:val="20"/>
          <w:color w:val="auto"/>
        </w:rPr>
      </w:pPr>
    </w:p>
    <w:p>
      <w:pPr>
        <w:spacing w:after="0" w:line="268" w:lineRule="exact"/>
        <w:rPr>
          <w:sz w:val="20"/>
          <w:szCs w:val="20"/>
          <w:color w:val="auto"/>
        </w:rPr>
      </w:pPr>
    </w:p>
    <w:p>
      <w:pPr>
        <w:ind w:left="60"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394335</wp:posOffset>
            </wp:positionV>
            <wp:extent cx="7174865"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color w:val="auto"/>
        </w:rPr>
        <w:t>or requirement hereof, nor shall any delay or omission of any party to exercise any right hereunder in any manner impair the exercise of any such right.</w:t>
      </w:r>
    </w:p>
    <w:p>
      <w:pPr>
        <w:spacing w:after="0" w:line="19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5"/>
          <w:szCs w:val="15"/>
          <w:color w:val="auto"/>
        </w:rPr>
        <w:t xml:space="preserve">5.6 </w:t>
      </w:r>
      <w:r>
        <w:rPr>
          <w:rFonts w:ascii="Times New Roman" w:cs="Times New Roman" w:eastAsia="Times New Roman" w:hAnsi="Times New Roman"/>
          <w:sz w:val="15"/>
          <w:szCs w:val="15"/>
          <w:u w:val="single" w:color="auto"/>
          <w:color w:val="auto"/>
        </w:rPr>
        <w:t>Headings</w:t>
      </w:r>
      <w:r>
        <w:rPr>
          <w:rFonts w:ascii="Times New Roman" w:cs="Times New Roman" w:eastAsia="Times New Roman" w:hAnsi="Times New Roman"/>
          <w:sz w:val="15"/>
          <w:szCs w:val="15"/>
          <w:color w:val="auto"/>
        </w:rPr>
        <w:t>. The headings herein are for convenience only, do not constitute a part of this Agreement and shall not be deemed to limit or affect any of the provisions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hereof.</w:t>
      </w:r>
    </w:p>
    <w:p>
      <w:pPr>
        <w:spacing w:after="0" w:line="177" w:lineRule="exact"/>
        <w:rPr>
          <w:sz w:val="20"/>
          <w:szCs w:val="20"/>
          <w:color w:val="auto"/>
        </w:rPr>
      </w:pPr>
    </w:p>
    <w:p>
      <w:pPr>
        <w:jc w:val="both"/>
        <w:ind w:firstLine="751"/>
        <w:spacing w:after="0" w:line="256" w:lineRule="auto"/>
        <w:rPr>
          <w:sz w:val="20"/>
          <w:szCs w:val="20"/>
          <w:color w:val="auto"/>
        </w:rPr>
      </w:pPr>
      <w:r>
        <w:rPr>
          <w:rFonts w:ascii="Times New Roman" w:cs="Times New Roman" w:eastAsia="Times New Roman" w:hAnsi="Times New Roman"/>
          <w:sz w:val="16"/>
          <w:szCs w:val="16"/>
          <w:color w:val="auto"/>
        </w:rPr>
        <w:t xml:space="preserve">5.7 </w:t>
      </w: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Each Purchaser may assign any or all of its rights under this Agreement to any Person to whom each Purchaser assigns or transfers any Securities, provided that such transferee agrees in writing to be bound, with respect to the transferred Securities, by the provisions of the Transaction Documents that apply to the “Purchaser.”</w:t>
      </w:r>
    </w:p>
    <w:p>
      <w:pPr>
        <w:spacing w:after="0" w:line="161" w:lineRule="exact"/>
        <w:rPr>
          <w:sz w:val="20"/>
          <w:szCs w:val="20"/>
          <w:color w:val="auto"/>
        </w:rPr>
      </w:pPr>
    </w:p>
    <w:p>
      <w:pPr>
        <w:jc w:val="both"/>
        <w:ind w:right="20" w:firstLine="751"/>
        <w:spacing w:after="0" w:line="256" w:lineRule="auto"/>
        <w:rPr>
          <w:sz w:val="20"/>
          <w:szCs w:val="20"/>
          <w:color w:val="auto"/>
        </w:rPr>
      </w:pPr>
      <w:r>
        <w:rPr>
          <w:rFonts w:ascii="Times New Roman" w:cs="Times New Roman" w:eastAsia="Times New Roman" w:hAnsi="Times New Roman"/>
          <w:sz w:val="16"/>
          <w:szCs w:val="16"/>
          <w:color w:val="auto"/>
        </w:rPr>
        <w:t xml:space="preserve">5.8 </w:t>
      </w:r>
      <w:r>
        <w:rPr>
          <w:rFonts w:ascii="Times New Roman" w:cs="Times New Roman" w:eastAsia="Times New Roman" w:hAnsi="Times New Roman"/>
          <w:sz w:val="16"/>
          <w:szCs w:val="16"/>
          <w:u w:val="single" w:color="auto"/>
          <w:color w:val="auto"/>
        </w:rPr>
        <w:t>No Third-Party Beneficiaries</w:t>
      </w:r>
      <w:r>
        <w:rPr>
          <w:rFonts w:ascii="Times New Roman" w:cs="Times New Roman" w:eastAsia="Times New Roman" w:hAnsi="Times New Roman"/>
          <w:sz w:val="16"/>
          <w:szCs w:val="16"/>
          <w:color w:val="auto"/>
        </w:rPr>
        <w:t xml:space="preserve">. The Placement Agent (including each entity comprising the Placement Agent) shall be the third-party beneficiary of the representations and warranties of the Company in </w:t>
      </w:r>
      <w:r>
        <w:rPr>
          <w:rFonts w:ascii="Times New Roman" w:cs="Times New Roman" w:eastAsia="Times New Roman" w:hAnsi="Times New Roman"/>
          <w:sz w:val="16"/>
          <w:szCs w:val="16"/>
          <w:u w:val="single" w:color="auto"/>
          <w:color w:val="auto"/>
        </w:rPr>
        <w:t>Section 3.1</w:t>
      </w:r>
      <w:r>
        <w:rPr>
          <w:rFonts w:ascii="Times New Roman" w:cs="Times New Roman" w:eastAsia="Times New Roman" w:hAnsi="Times New Roman"/>
          <w:sz w:val="16"/>
          <w:szCs w:val="16"/>
          <w:color w:val="auto"/>
        </w:rPr>
        <w:t xml:space="preserve"> and the representations and warranties of each Purchaser in </w:t>
      </w:r>
      <w:r>
        <w:rPr>
          <w:rFonts w:ascii="Times New Roman" w:cs="Times New Roman" w:eastAsia="Times New Roman" w:hAnsi="Times New Roman"/>
          <w:sz w:val="16"/>
          <w:szCs w:val="16"/>
          <w:u w:val="single" w:color="auto"/>
          <w:color w:val="auto"/>
        </w:rPr>
        <w:t>Section 3.2</w:t>
      </w:r>
      <w:r>
        <w:rPr>
          <w:rFonts w:ascii="Times New Roman" w:cs="Times New Roman" w:eastAsia="Times New Roman" w:hAnsi="Times New Roman"/>
          <w:sz w:val="16"/>
          <w:szCs w:val="16"/>
          <w:color w:val="auto"/>
        </w:rPr>
        <w:t xml:space="preserve">. This Agreement is intended for the benefit of the parties hereto and their respective successors and permitted assigns and is not for the benefit of, nor may any provision hereof be enforced by, any other Person, except as otherwise set forth in </w:t>
      </w:r>
      <w:r>
        <w:rPr>
          <w:rFonts w:ascii="Times New Roman" w:cs="Times New Roman" w:eastAsia="Times New Roman" w:hAnsi="Times New Roman"/>
          <w:sz w:val="16"/>
          <w:szCs w:val="16"/>
          <w:u w:val="single" w:color="auto"/>
          <w:color w:val="auto"/>
        </w:rPr>
        <w:t>Section 4.8</w:t>
      </w:r>
      <w:r>
        <w:rPr>
          <w:rFonts w:ascii="Times New Roman" w:cs="Times New Roman" w:eastAsia="Times New Roman" w:hAnsi="Times New Roman"/>
          <w:sz w:val="16"/>
          <w:szCs w:val="16"/>
          <w:color w:val="auto"/>
        </w:rPr>
        <w:t xml:space="preserve"> and this </w:t>
      </w:r>
      <w:r>
        <w:rPr>
          <w:rFonts w:ascii="Times New Roman" w:cs="Times New Roman" w:eastAsia="Times New Roman" w:hAnsi="Times New Roman"/>
          <w:sz w:val="16"/>
          <w:szCs w:val="16"/>
          <w:u w:val="single" w:color="auto"/>
          <w:color w:val="auto"/>
        </w:rPr>
        <w:t>Section 5.8</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jc w:val="both"/>
        <w:ind w:firstLine="751"/>
        <w:spacing w:after="0" w:line="249" w:lineRule="auto"/>
        <w:rPr>
          <w:sz w:val="20"/>
          <w:szCs w:val="20"/>
          <w:color w:val="auto"/>
        </w:rPr>
      </w:pPr>
      <w:r>
        <w:rPr>
          <w:rFonts w:ascii="Times New Roman" w:cs="Times New Roman" w:eastAsia="Times New Roman" w:hAnsi="Times New Roman"/>
          <w:sz w:val="16"/>
          <w:szCs w:val="16"/>
          <w:color w:val="auto"/>
        </w:rPr>
        <w:t xml:space="preserve">5.9 </w:t>
      </w: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xml:space="preserve">.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w:t>
      </w:r>
      <w:r>
        <w:rPr>
          <w:rFonts w:ascii="Times New Roman" w:cs="Times New Roman" w:eastAsia="Times New Roman" w:hAnsi="Times New Roman"/>
          <w:sz w:val="16"/>
          <w:szCs w:val="16"/>
          <w:u w:val="single" w:color="auto"/>
          <w:color w:val="auto"/>
        </w:rPr>
        <w:t>Section 4.8</w:t>
      </w:r>
      <w:r>
        <w:rPr>
          <w:rFonts w:ascii="Times New Roman" w:cs="Times New Roman" w:eastAsia="Times New Roman" w:hAnsi="Times New Roman"/>
          <w:sz w:val="16"/>
          <w:szCs w:val="16"/>
          <w:color w:val="auto"/>
        </w:rPr>
        <w:t>,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6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 xml:space="preserve">5.10 </w:t>
      </w:r>
      <w:r>
        <w:rPr>
          <w:rFonts w:ascii="Times New Roman" w:cs="Times New Roman" w:eastAsia="Times New Roman" w:hAnsi="Times New Roman"/>
          <w:sz w:val="16"/>
          <w:szCs w:val="16"/>
          <w:u w:val="single" w:color="auto"/>
          <w:color w:val="auto"/>
        </w:rPr>
        <w:t>Survival</w:t>
      </w:r>
      <w:r>
        <w:rPr>
          <w:rFonts w:ascii="Times New Roman" w:cs="Times New Roman" w:eastAsia="Times New Roman" w:hAnsi="Times New Roman"/>
          <w:sz w:val="16"/>
          <w:szCs w:val="16"/>
          <w:color w:val="auto"/>
        </w:rPr>
        <w:t>. The representations and warranties contained herein shall survive the Closing and the delivery of the Securities.</w:t>
      </w:r>
    </w:p>
    <w:p>
      <w:pPr>
        <w:spacing w:after="0" w:line="194" w:lineRule="exact"/>
        <w:rPr>
          <w:sz w:val="20"/>
          <w:szCs w:val="20"/>
          <w:color w:val="auto"/>
        </w:rPr>
      </w:pPr>
    </w:p>
    <w:p>
      <w:pPr>
        <w:jc w:val="both"/>
        <w:ind w:firstLine="751"/>
        <w:spacing w:after="0" w:line="254" w:lineRule="auto"/>
        <w:rPr>
          <w:sz w:val="20"/>
          <w:szCs w:val="20"/>
          <w:color w:val="auto"/>
        </w:rPr>
      </w:pPr>
      <w:r>
        <w:rPr>
          <w:rFonts w:ascii="Times New Roman" w:cs="Times New Roman" w:eastAsia="Times New Roman" w:hAnsi="Times New Roman"/>
          <w:sz w:val="16"/>
          <w:szCs w:val="16"/>
          <w:color w:val="auto"/>
        </w:rPr>
        <w:t xml:space="preserve">5.11 </w:t>
      </w:r>
      <w:r>
        <w:rPr>
          <w:rFonts w:ascii="Times New Roman" w:cs="Times New Roman" w:eastAsia="Times New Roman" w:hAnsi="Times New Roman"/>
          <w:sz w:val="16"/>
          <w:szCs w:val="16"/>
          <w:u w:val="single" w:color="auto"/>
          <w:color w:val="auto"/>
        </w:rPr>
        <w:t>Execution</w:t>
      </w:r>
      <w:r>
        <w:rPr>
          <w:rFonts w:ascii="Times New Roman" w:cs="Times New Roman" w:eastAsia="Times New Roman" w:hAnsi="Times New Roman"/>
          <w:sz w:val="16"/>
          <w:szCs w:val="16"/>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394335</wp:posOffset>
            </wp:positionV>
            <wp:extent cx="7174865"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127" w:name="page128"/>
    <w:bookmarkEnd w:id="127"/>
    <w:p>
      <w:pPr>
        <w:jc w:val="both"/>
        <w:ind w:firstLine="751"/>
        <w:spacing w:after="0" w:line="254" w:lineRule="auto"/>
        <w:rPr>
          <w:sz w:val="20"/>
          <w:szCs w:val="20"/>
          <w:color w:val="auto"/>
        </w:rPr>
      </w:pPr>
      <w:r>
        <w:rPr>
          <w:rFonts w:ascii="Times New Roman" w:cs="Times New Roman" w:eastAsia="Times New Roman" w:hAnsi="Times New Roman"/>
          <w:sz w:val="16"/>
          <w:szCs w:val="16"/>
          <w:color w:val="auto"/>
        </w:rPr>
        <w:t xml:space="preserve">5.12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62" w:lineRule="exact"/>
        <w:rPr>
          <w:sz w:val="20"/>
          <w:szCs w:val="20"/>
          <w:color w:val="auto"/>
        </w:rPr>
      </w:pPr>
    </w:p>
    <w:p>
      <w:pPr>
        <w:jc w:val="both"/>
        <w:ind w:firstLine="751"/>
        <w:spacing w:after="0" w:line="256" w:lineRule="auto"/>
        <w:rPr>
          <w:sz w:val="20"/>
          <w:szCs w:val="20"/>
          <w:color w:val="auto"/>
        </w:rPr>
      </w:pPr>
      <w:r>
        <w:rPr>
          <w:rFonts w:ascii="Times New Roman" w:cs="Times New Roman" w:eastAsia="Times New Roman" w:hAnsi="Times New Roman"/>
          <w:sz w:val="16"/>
          <w:szCs w:val="16"/>
          <w:color w:val="auto"/>
        </w:rPr>
        <w:t xml:space="preserve">5.13 </w:t>
      </w:r>
      <w:r>
        <w:rPr>
          <w:rFonts w:ascii="Times New Roman" w:cs="Times New Roman" w:eastAsia="Times New Roman" w:hAnsi="Times New Roman"/>
          <w:sz w:val="16"/>
          <w:szCs w:val="16"/>
          <w:u w:val="single" w:color="auto"/>
          <w:color w:val="auto"/>
        </w:rPr>
        <w:t>Replacement of Securities</w:t>
      </w:r>
      <w:r>
        <w:rPr>
          <w:rFonts w:ascii="Times New Roman" w:cs="Times New Roman" w:eastAsia="Times New Roman" w:hAnsi="Times New Roman"/>
          <w:sz w:val="16"/>
          <w:szCs w:val="16"/>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61" w:lineRule="exact"/>
        <w:rPr>
          <w:sz w:val="20"/>
          <w:szCs w:val="20"/>
          <w:color w:val="auto"/>
        </w:rPr>
      </w:pPr>
    </w:p>
    <w:p>
      <w:pPr>
        <w:jc w:val="both"/>
        <w:ind w:firstLine="751"/>
        <w:spacing w:after="0" w:line="256" w:lineRule="auto"/>
        <w:rPr>
          <w:sz w:val="20"/>
          <w:szCs w:val="20"/>
          <w:color w:val="auto"/>
        </w:rPr>
      </w:pPr>
      <w:r>
        <w:rPr>
          <w:rFonts w:ascii="Times New Roman" w:cs="Times New Roman" w:eastAsia="Times New Roman" w:hAnsi="Times New Roman"/>
          <w:sz w:val="16"/>
          <w:szCs w:val="16"/>
          <w:color w:val="auto"/>
        </w:rPr>
        <w:t xml:space="preserve">5.14 </w:t>
      </w:r>
      <w:r>
        <w:rPr>
          <w:rFonts w:ascii="Times New Roman" w:cs="Times New Roman" w:eastAsia="Times New Roman" w:hAnsi="Times New Roman"/>
          <w:sz w:val="16"/>
          <w:szCs w:val="16"/>
          <w:u w:val="single" w:color="auto"/>
          <w:color w:val="auto"/>
        </w:rPr>
        <w:t>Remedies</w:t>
      </w:r>
      <w:r>
        <w:rPr>
          <w:rFonts w:ascii="Times New Roman" w:cs="Times New Roman" w:eastAsia="Times New Roman" w:hAnsi="Times New Roman"/>
          <w:sz w:val="16"/>
          <w:szCs w:val="16"/>
          <w:color w:val="auto"/>
        </w:rPr>
        <w:t>. In addition to being entitled to exercise all rights provided herein or granted by law, including recovery of damages, each Purchaser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61" w:lineRule="exact"/>
        <w:rPr>
          <w:sz w:val="20"/>
          <w:szCs w:val="20"/>
          <w:color w:val="auto"/>
        </w:rPr>
      </w:pPr>
    </w:p>
    <w:p>
      <w:pPr>
        <w:jc w:val="both"/>
        <w:ind w:right="20" w:firstLine="751"/>
        <w:spacing w:after="0" w:line="252" w:lineRule="auto"/>
        <w:rPr>
          <w:sz w:val="20"/>
          <w:szCs w:val="20"/>
          <w:color w:val="auto"/>
        </w:rPr>
      </w:pPr>
      <w:r>
        <w:rPr>
          <w:rFonts w:ascii="Times New Roman" w:cs="Times New Roman" w:eastAsia="Times New Roman" w:hAnsi="Times New Roman"/>
          <w:sz w:val="16"/>
          <w:szCs w:val="16"/>
          <w:color w:val="auto"/>
        </w:rPr>
        <w:t xml:space="preserve">5.15 </w:t>
      </w:r>
      <w:r>
        <w:rPr>
          <w:rFonts w:ascii="Times New Roman" w:cs="Times New Roman" w:eastAsia="Times New Roman" w:hAnsi="Times New Roman"/>
          <w:sz w:val="16"/>
          <w:szCs w:val="16"/>
          <w:u w:val="single" w:color="auto"/>
          <w:color w:val="auto"/>
        </w:rPr>
        <w:t>Payment Set Aside</w:t>
      </w:r>
      <w:r>
        <w:rPr>
          <w:rFonts w:ascii="Times New Roman" w:cs="Times New Roman" w:eastAsia="Times New Roman" w:hAnsi="Times New Roman"/>
          <w:sz w:val="16"/>
          <w:szCs w:val="16"/>
          <w:color w:val="auto"/>
        </w:rPr>
        <w:t>. To the extent that the Company makes a payment or payments to each Purchaser pursuant to any Transaction Document or each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65" w:lineRule="exact"/>
        <w:rPr>
          <w:sz w:val="20"/>
          <w:szCs w:val="20"/>
          <w:color w:val="auto"/>
        </w:rPr>
      </w:pPr>
    </w:p>
    <w:p>
      <w:pPr>
        <w:jc w:val="both"/>
        <w:ind w:right="20" w:firstLine="751"/>
        <w:spacing w:after="0" w:line="276" w:lineRule="auto"/>
        <w:rPr>
          <w:sz w:val="20"/>
          <w:szCs w:val="20"/>
          <w:color w:val="auto"/>
        </w:rPr>
      </w:pPr>
      <w:r>
        <w:rPr>
          <w:rFonts w:ascii="Times New Roman" w:cs="Times New Roman" w:eastAsia="Times New Roman" w:hAnsi="Times New Roman"/>
          <w:sz w:val="16"/>
          <w:szCs w:val="16"/>
          <w:color w:val="auto"/>
        </w:rPr>
        <w:t xml:space="preserve">5.16 </w:t>
      </w:r>
      <w:r>
        <w:rPr>
          <w:rFonts w:ascii="Times New Roman" w:cs="Times New Roman" w:eastAsia="Times New Roman" w:hAnsi="Times New Roman"/>
          <w:sz w:val="16"/>
          <w:szCs w:val="16"/>
          <w:u w:val="single" w:color="auto"/>
          <w:color w:val="auto"/>
        </w:rPr>
        <w:t>Saturdays, Sundays, Holidays, etc.</w:t>
      </w:r>
      <w:r>
        <w:rPr>
          <w:rFonts w:ascii="Times New Roman" w:cs="Times New Roman" w:eastAsia="Times New Roman" w:hAnsi="Times New Roman"/>
          <w:sz w:val="16"/>
          <w:szCs w:val="16"/>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45" w:lineRule="exact"/>
        <w:rPr>
          <w:sz w:val="20"/>
          <w:szCs w:val="20"/>
          <w:color w:val="auto"/>
        </w:rPr>
      </w:pPr>
    </w:p>
    <w:p>
      <w:pPr>
        <w:jc w:val="both"/>
        <w:ind w:firstLine="751"/>
        <w:spacing w:after="0" w:line="249" w:lineRule="auto"/>
        <w:rPr>
          <w:sz w:val="20"/>
          <w:szCs w:val="20"/>
          <w:color w:val="auto"/>
        </w:rPr>
      </w:pPr>
      <w:r>
        <w:rPr>
          <w:rFonts w:ascii="Times New Roman" w:cs="Times New Roman" w:eastAsia="Times New Roman" w:hAnsi="Times New Roman"/>
          <w:sz w:val="16"/>
          <w:szCs w:val="16"/>
          <w:color w:val="auto"/>
        </w:rPr>
        <w:t xml:space="preserve">5.17 </w:t>
      </w:r>
      <w:r>
        <w:rPr>
          <w:rFonts w:ascii="Times New Roman" w:cs="Times New Roman" w:eastAsia="Times New Roman" w:hAnsi="Times New Roman"/>
          <w:sz w:val="16"/>
          <w:szCs w:val="16"/>
          <w:u w:val="single" w:color="auto"/>
          <w:color w:val="auto"/>
        </w:rPr>
        <w:t>Independent Nature of Purchaser’s Obligations and Rights</w:t>
      </w:r>
      <w:r>
        <w:rPr>
          <w:rFonts w:ascii="Times New Roman" w:cs="Times New Roman" w:eastAsia="Times New Roman" w:hAnsi="Times New Roman"/>
          <w:sz w:val="16"/>
          <w:szCs w:val="16"/>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Sullivan &amp; Worcester LLP, the legal counsel of the Placement Agent, and Sullivan &amp; Worcester LLP, as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w:t>
      </w:r>
    </w:p>
    <w:p>
      <w:pPr>
        <w:spacing w:after="0" w:line="200" w:lineRule="exact"/>
        <w:rPr>
          <w:sz w:val="20"/>
          <w:szCs w:val="20"/>
          <w:color w:val="auto"/>
        </w:rPr>
      </w:pPr>
    </w:p>
    <w:p>
      <w:pPr>
        <w:spacing w:after="0" w:line="283" w:lineRule="exact"/>
        <w:rPr>
          <w:sz w:val="20"/>
          <w:szCs w:val="20"/>
          <w:color w:val="auto"/>
        </w:rPr>
      </w:pPr>
    </w:p>
    <w:p>
      <w:pPr>
        <w:ind w:left="60"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394335</wp:posOffset>
            </wp:positionV>
            <wp:extent cx="7174865"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128" w:name="page129"/>
    <w:bookmarkEnd w:id="128"/>
    <w:p>
      <w:pPr>
        <w:jc w:val="both"/>
        <w:spacing w:after="0" w:line="276" w:lineRule="auto"/>
        <w:rPr>
          <w:sz w:val="20"/>
          <w:szCs w:val="20"/>
          <w:color w:val="auto"/>
        </w:rPr>
      </w:pPr>
      <w:r>
        <w:rPr>
          <w:rFonts w:ascii="Times New Roman" w:cs="Times New Roman" w:eastAsia="Times New Roman" w:hAnsi="Times New Roman"/>
          <w:sz w:val="16"/>
          <w:szCs w:val="16"/>
          <w:color w:val="auto"/>
        </w:rPr>
        <w:t>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45" w:lineRule="exact"/>
        <w:rPr>
          <w:sz w:val="20"/>
          <w:szCs w:val="20"/>
          <w:color w:val="auto"/>
        </w:rPr>
      </w:pPr>
    </w:p>
    <w:p>
      <w:pPr>
        <w:jc w:val="both"/>
        <w:ind w:firstLine="751"/>
        <w:spacing w:after="0" w:line="254" w:lineRule="auto"/>
        <w:rPr>
          <w:sz w:val="20"/>
          <w:szCs w:val="20"/>
          <w:color w:val="auto"/>
        </w:rPr>
      </w:pPr>
      <w:r>
        <w:rPr>
          <w:rFonts w:ascii="Times New Roman" w:cs="Times New Roman" w:eastAsia="Times New Roman" w:hAnsi="Times New Roman"/>
          <w:sz w:val="16"/>
          <w:szCs w:val="16"/>
          <w:color w:val="auto"/>
        </w:rPr>
        <w:t xml:space="preserve">5.18 </w:t>
      </w:r>
      <w:r>
        <w:rPr>
          <w:rFonts w:ascii="Times New Roman" w:cs="Times New Roman" w:eastAsia="Times New Roman" w:hAnsi="Times New Roman"/>
          <w:sz w:val="16"/>
          <w:szCs w:val="16"/>
          <w:u w:val="single" w:color="auto"/>
          <w:color w:val="auto"/>
        </w:rPr>
        <w:t>Construction</w:t>
      </w:r>
      <w:r>
        <w:rPr>
          <w:rFonts w:ascii="Times New Roman" w:cs="Times New Roman" w:eastAsia="Times New Roman" w:hAnsi="Times New Roman"/>
          <w:sz w:val="16"/>
          <w:szCs w:val="16"/>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60" w:lineRule="exact"/>
        <w:rPr>
          <w:sz w:val="20"/>
          <w:szCs w:val="20"/>
          <w:color w:val="auto"/>
        </w:rPr>
      </w:pPr>
    </w:p>
    <w:p>
      <w:pPr>
        <w:jc w:val="both"/>
        <w:ind w:firstLine="751"/>
        <w:spacing w:after="0" w:line="262" w:lineRule="auto"/>
        <w:rPr>
          <w:sz w:val="20"/>
          <w:szCs w:val="20"/>
          <w:color w:val="auto"/>
        </w:rPr>
      </w:pPr>
      <w:r>
        <w:rPr>
          <w:rFonts w:ascii="Times New Roman" w:cs="Times New Roman" w:eastAsia="Times New Roman" w:hAnsi="Times New Roman"/>
          <w:sz w:val="16"/>
          <w:szCs w:val="16"/>
          <w:color w:val="auto"/>
        </w:rPr>
        <w:t xml:space="preserve">5.19 </w:t>
      </w:r>
      <w:r>
        <w:rPr>
          <w:rFonts w:ascii="Times New Roman" w:cs="Times New Roman" w:eastAsia="Times New Roman" w:hAnsi="Times New Roman"/>
          <w:sz w:val="16"/>
          <w:szCs w:val="16"/>
          <w:b w:val="1"/>
          <w:bCs w:val="1"/>
          <w:u w:val="single" w:color="auto"/>
          <w:color w:val="auto"/>
        </w:rPr>
        <w:t>WAIVER OF JURY TRIAL</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IN ANY ACTION, SUIT, OR PROCEEDING IN ANY JURISDICTION BROUGHT BY ANY PARTY AGAINST ANY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OTHER PARTY, THE PARTIES EACH KNOWINGLY AND INTENTIONALLY, TO THE GREATEST EXTENT PERMITTED BY APPLICABLE LAW, HEREBY ABSOLUTELY, UNCONDITIONALLY, IRREVOCABLY AND EXPRESSLY WAIVES FOREVER TRIAL BY JURY.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394335</wp:posOffset>
            </wp:positionV>
            <wp:extent cx="7174865"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129" w:name="page130"/>
    <w:bookmarkEnd w:id="129"/>
    <w:p>
      <w:pPr>
        <w:ind w:firstLine="1501"/>
        <w:spacing w:after="0" w:line="276" w:lineRule="auto"/>
        <w:rPr>
          <w:sz w:val="20"/>
          <w:szCs w:val="20"/>
          <w:color w:val="auto"/>
        </w:rPr>
      </w:pPr>
      <w:r>
        <w:rPr>
          <w:rFonts w:ascii="Times New Roman" w:cs="Times New Roman" w:eastAsia="Times New Roman" w:hAnsi="Times New Roman"/>
          <w:sz w:val="16"/>
          <w:szCs w:val="16"/>
          <w:color w:val="auto"/>
        </w:rPr>
        <w:t>IN WITNESS WHEREOF, the parties hereto have caused this Securities Purchase Agreement to be duly executed by their respective authorized signatories as of the date first indicated above.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DECOY THERAPEUTICS INC.</w:t>
            </w:r>
          </w:p>
        </w:tc>
        <w:tc>
          <w:tcPr>
            <w:tcW w:w="760" w:type="dxa"/>
            <w:vAlign w:val="bottom"/>
          </w:tcPr>
          <w:p>
            <w:pPr>
              <w:spacing w:after="0"/>
              <w:rPr>
                <w:sz w:val="16"/>
                <w:szCs w:val="16"/>
                <w:color w:val="auto"/>
              </w:rPr>
            </w:pP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8"/>
              </w:rPr>
              <w:t>Address for Notice:</w:t>
            </w:r>
          </w:p>
        </w:tc>
        <w:tc>
          <w:tcPr>
            <w:tcW w:w="700" w:type="dxa"/>
            <w:vAlign w:val="bottom"/>
          </w:tcPr>
          <w:p>
            <w:pPr>
              <w:spacing w:after="0"/>
              <w:rPr>
                <w:sz w:val="16"/>
                <w:szCs w:val="16"/>
                <w:color w:val="auto"/>
              </w:rPr>
            </w:pPr>
          </w:p>
        </w:tc>
      </w:tr>
      <w:tr>
        <w:trPr>
          <w:trHeight w:val="188"/>
        </w:trPr>
        <w:tc>
          <w:tcPr>
            <w:tcW w:w="156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7"/>
              </w:rPr>
              <w:t>2450 Holcombe Blvd., Suite X</w:t>
            </w:r>
          </w:p>
        </w:tc>
      </w:tr>
      <w:tr>
        <w:trPr>
          <w:trHeight w:val="189"/>
        </w:trPr>
        <w:tc>
          <w:tcPr>
            <w:tcW w:w="156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Houston, TX 77021</w:t>
            </w:r>
          </w:p>
        </w:tc>
      </w:tr>
      <w:tr>
        <w:trPr>
          <w:trHeight w:val="206"/>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 Frederick E. Pierce</w:t>
            </w:r>
          </w:p>
        </w:tc>
        <w:tc>
          <w:tcPr>
            <w:tcW w:w="760" w:type="dxa"/>
            <w:vAlign w:val="bottom"/>
          </w:tcPr>
          <w:p>
            <w:pPr>
              <w:spacing w:after="0"/>
              <w:rPr>
                <w:sz w:val="17"/>
                <w:szCs w:val="17"/>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E-mail: [*]</w:t>
            </w:r>
          </w:p>
        </w:tc>
      </w:tr>
      <w:tr>
        <w:trPr>
          <w:trHeight w:val="165"/>
        </w:trPr>
        <w:tc>
          <w:tcPr>
            <w:tcW w:w="156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Name:</w:t>
            </w:r>
          </w:p>
        </w:tc>
        <w:tc>
          <w:tcPr>
            <w:tcW w:w="494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Frederick E. Pierce</w:t>
            </w: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6"/>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a copy to (which shall not constitute notice):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Honigman LLP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2290 First National Building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660 Woodward Avenue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Detroit, MI 48226</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jkuras@honigman.com</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[REMAINDER OF PAGE INTENTIONALLY LEFT BLANK</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FOR PURCHASER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right="374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394335</wp:posOffset>
            </wp:positionV>
            <wp:extent cx="7174865" cy="40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130" w:name="page131"/>
    <w:bookmarkEnd w:id="130"/>
    <w:p>
      <w:pPr>
        <w:spacing w:after="0" w:line="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[PURCHASER SIGNATURE PAGES TO SECURITIES PURCHASE AGREEMENT]</w:t>
      </w:r>
    </w:p>
    <w:p>
      <w:pPr>
        <w:spacing w:after="0" w:line="384" w:lineRule="exact"/>
        <w:rPr>
          <w:sz w:val="20"/>
          <w:szCs w:val="20"/>
          <w:color w:val="auto"/>
        </w:rPr>
      </w:pPr>
    </w:p>
    <w:p>
      <w:pPr>
        <w:ind w:left="5" w:firstLine="751"/>
        <w:spacing w:after="0" w:line="276" w:lineRule="auto"/>
        <w:rPr>
          <w:sz w:val="20"/>
          <w:szCs w:val="20"/>
          <w:color w:val="auto"/>
        </w:rPr>
      </w:pPr>
      <w:r>
        <w:rPr>
          <w:rFonts w:ascii="Times New Roman" w:cs="Times New Roman" w:eastAsia="Times New Roman" w:hAnsi="Times New Roman"/>
          <w:sz w:val="16"/>
          <w:szCs w:val="16"/>
          <w:color w:val="auto"/>
        </w:rPr>
        <w:t>IN WITNESS WHEREOF, the undersigned have caused this Securities Purchase Agreement to be duly executed by their respective authorized signatories as of the date first indicated above.</w:t>
      </w:r>
    </w:p>
    <w:p>
      <w:pPr>
        <w:spacing w:after="0" w:line="14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Name of Purchaser: __</w:t>
      </w:r>
      <w:r>
        <w:rPr>
          <w:rFonts w:ascii="Times New Roman" w:cs="Times New Roman" w:eastAsia="Times New Roman" w:hAnsi="Times New Roman"/>
          <w:sz w:val="16"/>
          <w:szCs w:val="16"/>
          <w:u w:val="single" w:color="auto"/>
          <w:color w:val="auto"/>
        </w:rPr>
        <w:t>____________________</w:t>
      </w:r>
      <w:r>
        <w:rPr>
          <w:rFonts w:ascii="Times New Roman" w:cs="Times New Roman" w:eastAsia="Times New Roman" w:hAnsi="Times New Roman"/>
          <w:sz w:val="16"/>
          <w:szCs w:val="16"/>
          <w:color w:val="auto"/>
        </w:rPr>
        <w:t>_____________________________________________________</w:t>
      </w:r>
    </w:p>
    <w:p>
      <w:pPr>
        <w:spacing w:after="0" w:line="1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Signature of Authorized Signatory of Purchaser</w:t>
      </w:r>
      <w:r>
        <w:rPr>
          <w:rFonts w:ascii="Times New Roman" w:cs="Times New Roman" w:eastAsia="Times New Roman" w:hAnsi="Times New Roman"/>
          <w:sz w:val="16"/>
          <w:szCs w:val="16"/>
          <w:color w:val="auto"/>
        </w:rPr>
        <w:t>: _______________________________________</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Name of Authorized Signatory: _ 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1339850</wp:posOffset>
            </wp:positionH>
            <wp:positionV relativeFrom="paragraph">
              <wp:posOffset>-8255</wp:posOffset>
            </wp:positionV>
            <wp:extent cx="2476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765" cy="7620"/>
                    </a:xfrm>
                    <a:prstGeom prst="rect">
                      <a:avLst/>
                    </a:prstGeom>
                    <a:noFill/>
                  </pic:spPr>
                </pic:pic>
              </a:graphicData>
            </a:graphic>
          </wp:anchor>
        </w:drawing>
      </w:r>
    </w:p>
    <w:p>
      <w:pPr>
        <w:spacing w:after="0" w:line="17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Title of Authorized Signatory: __</w:t>
      </w:r>
      <w:r>
        <w:rPr>
          <w:rFonts w:ascii="Times New Roman" w:cs="Times New Roman" w:eastAsia="Times New Roman" w:hAnsi="Times New Roman"/>
          <w:sz w:val="16"/>
          <w:szCs w:val="16"/>
          <w:u w:val="single" w:color="auto"/>
          <w:color w:val="auto"/>
        </w:rPr>
        <w:t>____________</w:t>
      </w:r>
      <w:r>
        <w:rPr>
          <w:rFonts w:ascii="Times New Roman" w:cs="Times New Roman" w:eastAsia="Times New Roman" w:hAnsi="Times New Roman"/>
          <w:sz w:val="16"/>
          <w:szCs w:val="16"/>
          <w:color w:val="auto"/>
        </w:rPr>
        <w:t xml:space="preserve"> ______________________________________________</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Email Address of Authorized Signatory: _____________________________________________</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Facsimile Number of Authorized Signatory: __________________________________________</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Address for Notice to Purchaser: ___________________________________________________</w:t>
      </w:r>
    </w:p>
    <w:p>
      <w:pPr>
        <w:spacing w:after="0" w:line="14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Address for Delivery of Warrants to Purchaser (if not same as address for notice):</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Subscription Amount: $_____________________</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Shares: _________________</w:t>
      </w:r>
    </w:p>
    <w:p>
      <w:pPr>
        <w:spacing w:after="0" w:line="161" w:lineRule="exact"/>
        <w:rPr>
          <w:sz w:val="20"/>
          <w:szCs w:val="20"/>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Pre-Funded Warrant Shares: ________ Beneficial Ownership Blocker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4.99% or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9.99%</w:t>
      </w:r>
    </w:p>
    <w:p>
      <w:pPr>
        <w:spacing w:after="0" w:line="194" w:lineRule="exact"/>
        <w:rPr>
          <w:sz w:val="20"/>
          <w:szCs w:val="20"/>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Series A Shares: _____ Beneficial Ownership Blocker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4.99% or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9.99%</w:t>
      </w:r>
    </w:p>
    <w:p>
      <w:pPr>
        <w:spacing w:after="0" w:line="194" w:lineRule="exact"/>
        <w:rPr>
          <w:sz w:val="20"/>
          <w:szCs w:val="20"/>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Series B Shares: _____ Beneficial Ownership Blocker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4.99% or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9.99%</w:t>
      </w:r>
    </w:p>
    <w:p>
      <w:pPr>
        <w:spacing w:after="0" w:line="194" w:lineRule="exact"/>
        <w:rPr>
          <w:sz w:val="20"/>
          <w:szCs w:val="20"/>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Series C Shares: _____ Beneficial Ownership Blocker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4.99% or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9.99%</w:t>
      </w:r>
    </w:p>
    <w:p>
      <w:pPr>
        <w:spacing w:after="0" w:line="22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EIN Number: ____________________</w:t>
      </w:r>
    </w:p>
    <w:p>
      <w:pPr>
        <w:spacing w:after="0" w:line="194" w:lineRule="exact"/>
        <w:rPr>
          <w:sz w:val="20"/>
          <w:szCs w:val="20"/>
          <w:color w:val="auto"/>
        </w:rPr>
      </w:pPr>
    </w:p>
    <w:p>
      <w:pPr>
        <w:jc w:val="both"/>
        <w:ind w:left="5" w:hanging="5"/>
        <w:spacing w:after="0" w:line="252" w:lineRule="auto"/>
        <w:tabs>
          <w:tab w:leader="none" w:pos="194" w:val="left"/>
        </w:tabs>
        <w:numPr>
          <w:ilvl w:val="0"/>
          <w:numId w:val="16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by the first (1st)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5" w:right="374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 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394335</wp:posOffset>
            </wp:positionV>
            <wp:extent cx="7174865"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1440" w:right="339" w:bottom="1440" w:gutter="0" w:footer="0" w:header="0"/>
        </w:sectPr>
      </w:pPr>
    </w:p>
    <w:bookmarkStart w:id="131" w:name="page132"/>
    <w:bookmarkEnd w:id="1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4902-2848-6327, v.9</w:t>
      </w:r>
    </w:p>
    <w:p>
      <w:pPr>
        <w:sectPr>
          <w:pgSz w:w="11900" w:h="16838" w:orient="portrait"/>
          <w:cols w:equalWidth="0" w:num="1">
            <w:col w:w="10099"/>
          </w:cols>
          <w:pgMar w:left="360" w:top="1440" w:right="1440" w:bottom="1440" w:gutter="0" w:footer="0" w:header="0"/>
        </w:sectPr>
      </w:pP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DOCPROPERTY "CUS_DocIDChunk0" 76095546.1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508635</wp:posOffset>
            </wp:positionV>
            <wp:extent cx="7174865"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099"/>
          </w:cols>
          <w:pgMar w:left="360" w:top="1440" w:right="1440" w:bottom="1440" w:gutter="0" w:footer="0" w:header="0"/>
          <w:type w:val="continuous"/>
        </w:sectPr>
      </w:pPr>
    </w:p>
    <w:bookmarkStart w:id="132" w:name="page133"/>
    <w:bookmarkEnd w:id="132"/>
    <w:p>
      <w:pPr>
        <w:jc w:val="right"/>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REGISTRATION RIGHTS AGREEMENT</w:t>
      </w:r>
    </w:p>
    <w:p>
      <w:pPr>
        <w:spacing w:after="0" w:line="196" w:lineRule="exact"/>
        <w:rPr>
          <w:sz w:val="20"/>
          <w:szCs w:val="20"/>
          <w:color w:val="auto"/>
        </w:rPr>
      </w:pPr>
    </w:p>
    <w:p>
      <w:pPr>
        <w:ind w:right="20" w:firstLine="751"/>
        <w:spacing w:after="0" w:line="276" w:lineRule="auto"/>
        <w:rPr>
          <w:sz w:val="20"/>
          <w:szCs w:val="20"/>
          <w:color w:val="auto"/>
        </w:rPr>
      </w:pPr>
      <w:r>
        <w:rPr>
          <w:rFonts w:ascii="Times New Roman" w:cs="Times New Roman" w:eastAsia="Times New Roman" w:hAnsi="Times New Roman"/>
          <w:sz w:val="16"/>
          <w:szCs w:val="16"/>
          <w:color w:val="auto"/>
        </w:rPr>
        <w:t>This Registration Rights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made and entered into as of June 26, 2026, between Decoy Therapeutics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each of the several purchasers signatory hereto (each such purchaser, a “</w:t>
      </w:r>
      <w:r>
        <w:rPr>
          <w:rFonts w:ascii="Times New Roman" w:cs="Times New Roman" w:eastAsia="Times New Roman" w:hAnsi="Times New Roman"/>
          <w:sz w:val="16"/>
          <w:szCs w:val="16"/>
          <w:u w:val="single" w:color="auto"/>
          <w:color w:val="auto"/>
        </w:rPr>
        <w:t>Purchaser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Purchasers</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ind w:firstLine="751"/>
        <w:spacing w:after="0" w:line="276" w:lineRule="auto"/>
        <w:rPr>
          <w:sz w:val="20"/>
          <w:szCs w:val="20"/>
          <w:color w:val="auto"/>
        </w:rPr>
      </w:pPr>
      <w:r>
        <w:rPr>
          <w:rFonts w:ascii="Times New Roman" w:cs="Times New Roman" w:eastAsia="Times New Roman" w:hAnsi="Times New Roman"/>
          <w:sz w:val="16"/>
          <w:szCs w:val="16"/>
          <w:color w:val="auto"/>
        </w:rPr>
        <w:t>This Agreement is made pursuant to the Securities Purchase Agreement, dated as of the date hereof, between the Company and each Purchaser (the “</w:t>
      </w:r>
      <w:r>
        <w:rPr>
          <w:rFonts w:ascii="Times New Roman" w:cs="Times New Roman" w:eastAsia="Times New Roman" w:hAnsi="Times New Roman"/>
          <w:sz w:val="16"/>
          <w:szCs w:val="16"/>
          <w:u w:val="single" w:color="auto"/>
          <w:color w:val="auto"/>
        </w:rPr>
        <w:t>Purchase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Company and each Purchaser hereby agrees as follows:</w:t>
      </w:r>
    </w:p>
    <w:p>
      <w:pPr>
        <w:spacing w:after="0" w:line="194" w:lineRule="exact"/>
        <w:rPr>
          <w:sz w:val="20"/>
          <w:szCs w:val="20"/>
          <w:color w:val="auto"/>
        </w:rPr>
      </w:pPr>
    </w:p>
    <w:p>
      <w:pPr>
        <w:ind w:left="120"/>
        <w:spacing w:after="0"/>
        <w:tabs>
          <w:tab w:leader="none" w:pos="16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right="20" w:firstLine="375"/>
        <w:spacing w:after="0" w:line="278" w:lineRule="auto"/>
        <w:rPr>
          <w:sz w:val="20"/>
          <w:szCs w:val="20"/>
          <w:color w:val="auto"/>
        </w:rPr>
      </w:pPr>
      <w:r>
        <w:rPr>
          <w:rFonts w:ascii="Times New Roman" w:cs="Times New Roman" w:eastAsia="Times New Roman" w:hAnsi="Times New Roman"/>
          <w:sz w:val="16"/>
          <w:szCs w:val="16"/>
          <w:b w:val="1"/>
          <w:bCs w:val="1"/>
          <w:color w:val="auto"/>
        </w:rPr>
        <w:t xml:space="preserve">Capitalized terms used and not otherwise defined herein that are defined in the Purchase Agreement shall have the meanings given such terms in the Purchase Agreement. </w:t>
      </w:r>
      <w:r>
        <w:rPr>
          <w:rFonts w:ascii="Times New Roman" w:cs="Times New Roman" w:eastAsia="Times New Roman" w:hAnsi="Times New Roman"/>
          <w:sz w:val="16"/>
          <w:szCs w:val="16"/>
          <w:color w:val="auto"/>
        </w:rPr>
        <w:t>As used in this Agreement, the following terms shall have the following meanings:</w:t>
      </w:r>
    </w:p>
    <w:p>
      <w:pPr>
        <w:spacing w:after="0" w:line="14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Advice</w:t>
      </w:r>
      <w:r>
        <w:rPr>
          <w:rFonts w:ascii="Times New Roman" w:cs="Times New Roman" w:eastAsia="Times New Roman" w:hAnsi="Times New Roman"/>
          <w:sz w:val="16"/>
          <w:szCs w:val="16"/>
          <w:color w:val="auto"/>
        </w:rPr>
        <w:t>” shall have the meaning set forth in Section 6(c).</w:t>
      </w:r>
    </w:p>
    <w:p>
      <w:pPr>
        <w:spacing w:after="0" w:line="19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means the common stock of the Company, par value $0.0001 per share.</w:t>
      </w:r>
    </w:p>
    <w:p>
      <w:pPr>
        <w:spacing w:after="0" w:line="19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Cutback Registration Statement</w:t>
      </w:r>
      <w:r>
        <w:rPr>
          <w:rFonts w:ascii="Times New Roman" w:cs="Times New Roman" w:eastAsia="Times New Roman" w:hAnsi="Times New Roman"/>
          <w:sz w:val="16"/>
          <w:szCs w:val="16"/>
          <w:color w:val="auto"/>
        </w:rPr>
        <w:t>” shall have the meaning set forth in Section 2(c).</w:t>
      </w:r>
    </w:p>
    <w:p>
      <w:pPr>
        <w:spacing w:after="0" w:line="198" w:lineRule="exact"/>
        <w:rPr>
          <w:sz w:val="20"/>
          <w:szCs w:val="20"/>
          <w:color w:val="auto"/>
        </w:rPr>
      </w:pPr>
    </w:p>
    <w:p>
      <w:pPr>
        <w:jc w:val="both"/>
        <w:ind w:left="740"/>
        <w:spacing w:after="0" w:line="1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Effectiveness Date</w:t>
      </w:r>
      <w:r>
        <w:rPr>
          <w:rFonts w:ascii="Times New Roman" w:cs="Times New Roman" w:eastAsia="Times New Roman" w:hAnsi="Times New Roman"/>
          <w:sz w:val="15"/>
          <w:szCs w:val="15"/>
          <w:color w:val="auto"/>
        </w:rPr>
        <w:t>” means, with respect to the Initial Registration Statement required to be filed hereunder, the closing of business, Eastern Time, on the 45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calendar day following the date hereof (or, in the event of a “limited review” by the Commission, the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calendar day following the date hereof or, in the event of a “full review” by the Commission,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calendar day following the date hereof) and with respect to any additional Registration Statements which may be required pursuant to Section 2(c) or Section 3(c) (including any Cutback Registration Statement), the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calendar day following the date on which an additional Registration</w:t>
      </w:r>
    </w:p>
    <w:p>
      <w:pPr>
        <w:spacing w:after="0" w:line="2" w:lineRule="exact"/>
        <w:rPr>
          <w:sz w:val="20"/>
          <w:szCs w:val="20"/>
          <w:color w:val="auto"/>
        </w:rPr>
      </w:pPr>
    </w:p>
    <w:p>
      <w:pPr>
        <w:jc w:val="both"/>
        <w:ind w:left="740" w:right="20"/>
        <w:spacing w:after="0" w:line="227" w:lineRule="auto"/>
        <w:rPr>
          <w:sz w:val="20"/>
          <w:szCs w:val="20"/>
          <w:color w:val="auto"/>
        </w:rPr>
      </w:pPr>
      <w:r>
        <w:rPr>
          <w:rFonts w:ascii="Times New Roman" w:cs="Times New Roman" w:eastAsia="Times New Roman" w:hAnsi="Times New Roman"/>
          <w:sz w:val="16"/>
          <w:szCs w:val="16"/>
          <w:color w:val="auto"/>
        </w:rPr>
        <w:t>Statement is required to be filed hereunder (or, in the event of a “full review” by the Commission,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calendar day following the date such additional Registration Statement is required to be filed hereunder);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spacing w:after="0" w:line="17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Effectiveness Period</w:t>
      </w:r>
      <w:r>
        <w:rPr>
          <w:rFonts w:ascii="Times New Roman" w:cs="Times New Roman" w:eastAsia="Times New Roman" w:hAnsi="Times New Roman"/>
          <w:sz w:val="16"/>
          <w:szCs w:val="16"/>
          <w:color w:val="auto"/>
        </w:rPr>
        <w:t>” shall have the meaning set forth in Section 2(a).</w:t>
      </w:r>
    </w:p>
    <w:p>
      <w:pPr>
        <w:spacing w:after="0" w:line="19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Event</w:t>
      </w:r>
      <w:r>
        <w:rPr>
          <w:rFonts w:ascii="Times New Roman" w:cs="Times New Roman" w:eastAsia="Times New Roman" w:hAnsi="Times New Roman"/>
          <w:sz w:val="16"/>
          <w:szCs w:val="16"/>
          <w:color w:val="auto"/>
        </w:rPr>
        <w:t>” shall have the meaning set forth in Section 2(d).</w:t>
      </w:r>
    </w:p>
    <w:p>
      <w:pPr>
        <w:spacing w:after="0" w:line="19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Event Date</w:t>
      </w:r>
      <w:r>
        <w:rPr>
          <w:rFonts w:ascii="Times New Roman" w:cs="Times New Roman" w:eastAsia="Times New Roman" w:hAnsi="Times New Roman"/>
          <w:sz w:val="16"/>
          <w:szCs w:val="16"/>
          <w:color w:val="auto"/>
        </w:rPr>
        <w:t>” shall have the meaning set forth in Section 2(d).</w:t>
      </w:r>
    </w:p>
    <w:p>
      <w:pPr>
        <w:spacing w:after="0" w:line="194" w:lineRule="exact"/>
        <w:rPr>
          <w:sz w:val="20"/>
          <w:szCs w:val="20"/>
          <w:color w:val="auto"/>
        </w:rPr>
      </w:pPr>
    </w:p>
    <w:p>
      <w:pPr>
        <w:jc w:val="both"/>
        <w:ind w:left="740"/>
        <w:spacing w:after="0" w:line="22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Filing Date</w:t>
      </w:r>
      <w:r>
        <w:rPr>
          <w:rFonts w:ascii="Times New Roman" w:cs="Times New Roman" w:eastAsia="Times New Roman" w:hAnsi="Times New Roman"/>
          <w:sz w:val="16"/>
          <w:szCs w:val="16"/>
          <w:color w:val="auto"/>
        </w:rPr>
        <w:t>” means, with respect to the Initial Registration Statement required hereunder, as soon as practicable following the date hereof, and in any event, no later than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calendar day following the date hereof and, with respect to any additional Registration Statements which may be required pursuant to Section 2(c) or Section 3(c), the earliest practical date on which the Company is permitted by SEC Guidance to file such additional Registration Statement related to the Registrable Securities.</w:t>
      </w:r>
    </w:p>
    <w:p>
      <w:pPr>
        <w:spacing w:after="0" w:line="200" w:lineRule="exact"/>
        <w:rPr>
          <w:sz w:val="20"/>
          <w:szCs w:val="20"/>
          <w:color w:val="auto"/>
        </w:rPr>
      </w:pPr>
    </w:p>
    <w:p>
      <w:pPr>
        <w:spacing w:after="0" w:line="391" w:lineRule="exact"/>
        <w:rPr>
          <w:sz w:val="20"/>
          <w:szCs w:val="20"/>
          <w:color w:val="auto"/>
        </w:rPr>
      </w:pPr>
    </w:p>
    <w:p>
      <w:pPr>
        <w:ind w:left="60" w:right="3760" w:hanging="35"/>
        <w:spacing w:after="0" w:line="493"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4898-3127-1095, v.7 DOCPROPERTY "CUS_DocIDChunk0" 76095602.2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386080</wp:posOffset>
            </wp:positionV>
            <wp:extent cx="7174865" cy="40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133" w:name="page134"/>
    <w:bookmarkEnd w:id="133"/>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Holder</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Holders</w:t>
      </w:r>
      <w:r>
        <w:rPr>
          <w:rFonts w:ascii="Times New Roman" w:cs="Times New Roman" w:eastAsia="Times New Roman" w:hAnsi="Times New Roman"/>
          <w:sz w:val="16"/>
          <w:szCs w:val="16"/>
          <w:color w:val="auto"/>
        </w:rPr>
        <w:t>” means the holder or holders, as the case may be, from time to time of Registrable Securities.</w:t>
      </w:r>
    </w:p>
    <w:p>
      <w:pPr>
        <w:spacing w:after="0" w:line="19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Indemnified Party</w:t>
      </w:r>
      <w:r>
        <w:rPr>
          <w:rFonts w:ascii="Times New Roman" w:cs="Times New Roman" w:eastAsia="Times New Roman" w:hAnsi="Times New Roman"/>
          <w:sz w:val="16"/>
          <w:szCs w:val="16"/>
          <w:color w:val="auto"/>
        </w:rPr>
        <w:t>” shall have the meaning set forth in Section 5(c).</w:t>
      </w:r>
    </w:p>
    <w:p>
      <w:pPr>
        <w:spacing w:after="0" w:line="19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Indemnifying Party</w:t>
      </w:r>
      <w:r>
        <w:rPr>
          <w:rFonts w:ascii="Times New Roman" w:cs="Times New Roman" w:eastAsia="Times New Roman" w:hAnsi="Times New Roman"/>
          <w:sz w:val="16"/>
          <w:szCs w:val="16"/>
          <w:color w:val="auto"/>
        </w:rPr>
        <w:t>” shall have the meaning set forth in Section 5(c).</w:t>
      </w:r>
    </w:p>
    <w:p>
      <w:pPr>
        <w:spacing w:after="0" w:line="19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Initial Registration Statement</w:t>
      </w:r>
      <w:r>
        <w:rPr>
          <w:rFonts w:ascii="Times New Roman" w:cs="Times New Roman" w:eastAsia="Times New Roman" w:hAnsi="Times New Roman"/>
          <w:sz w:val="16"/>
          <w:szCs w:val="16"/>
          <w:color w:val="auto"/>
        </w:rPr>
        <w:t>” means the initial Registration Statement filed pursuant to this Agreement.</w:t>
      </w:r>
    </w:p>
    <w:p>
      <w:pPr>
        <w:spacing w:after="0" w:line="19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Losses</w:t>
      </w:r>
      <w:r>
        <w:rPr>
          <w:rFonts w:ascii="Times New Roman" w:cs="Times New Roman" w:eastAsia="Times New Roman" w:hAnsi="Times New Roman"/>
          <w:sz w:val="16"/>
          <w:szCs w:val="16"/>
          <w:color w:val="auto"/>
        </w:rPr>
        <w:t>” shall have the meaning set forth in Section 5(a).</w:t>
      </w:r>
    </w:p>
    <w:p>
      <w:pPr>
        <w:spacing w:after="0" w:line="19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Plan of Distribution</w:t>
      </w:r>
      <w:r>
        <w:rPr>
          <w:rFonts w:ascii="Times New Roman" w:cs="Times New Roman" w:eastAsia="Times New Roman" w:hAnsi="Times New Roman"/>
          <w:sz w:val="16"/>
          <w:szCs w:val="16"/>
          <w:color w:val="auto"/>
        </w:rPr>
        <w:t>” shall have the meaning set forth in Section 2(a).</w:t>
      </w:r>
    </w:p>
    <w:p>
      <w:pPr>
        <w:spacing w:after="0" w:line="194" w:lineRule="exact"/>
        <w:rPr>
          <w:sz w:val="20"/>
          <w:szCs w:val="20"/>
          <w:color w:val="auto"/>
        </w:rPr>
      </w:pPr>
    </w:p>
    <w:p>
      <w:pPr>
        <w:jc w:val="both"/>
        <w:ind w:left="680"/>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Prospectus</w:t>
      </w:r>
      <w:r>
        <w:rPr>
          <w:rFonts w:ascii="Times New Roman" w:cs="Times New Roman" w:eastAsia="Times New Roman" w:hAnsi="Times New Roman"/>
          <w:sz w:val="16"/>
          <w:szCs w:val="16"/>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62" w:lineRule="exact"/>
        <w:rPr>
          <w:sz w:val="20"/>
          <w:szCs w:val="20"/>
          <w:color w:val="auto"/>
        </w:rPr>
      </w:pPr>
    </w:p>
    <w:p>
      <w:pPr>
        <w:jc w:val="both"/>
        <w:ind w:left="680"/>
        <w:spacing w:after="0" w:line="24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Registrable Securities</w:t>
      </w:r>
      <w:r>
        <w:rPr>
          <w:rFonts w:ascii="Times New Roman" w:cs="Times New Roman" w:eastAsia="Times New Roman" w:hAnsi="Times New Roman"/>
          <w:sz w:val="16"/>
          <w:szCs w:val="16"/>
          <w:color w:val="auto"/>
        </w:rPr>
        <w:t>” means, as of any date of determination, (a) all of the shares of Common Stock or shares of Common Stock underlying the Pre-Funded Warrants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xml:space="preserve">”) purchased pursuant to the Purchase Agreement, (b) all Warrant Shares then issued and issuable upon exercise of the Warrants (assuming on such date the Warrants are exercised in full for cash without regard to any exercise limitations therein) purchased pursuant to the Purchase Agreement, (d) any additional shares of Common Stock issued and issuable in connection with any anti-dilution provisions in the Warrants (without giving effect to any limitations on exercise set forth in the Warrants) and (e) any securities issued or then issuable upon any stock split, dividend or other distribution, recapitalization or similar event with respect to the foregoing; </w:t>
      </w:r>
      <w:r>
        <w:rPr>
          <w:rFonts w:ascii="Times New Roman" w:cs="Times New Roman" w:eastAsia="Times New Roman" w:hAnsi="Times New Roman"/>
          <w:sz w:val="16"/>
          <w:szCs w:val="16"/>
          <w:u w:val="single" w:color="auto"/>
          <w:color w:val="auto"/>
        </w:rPr>
        <w:t>provided, however</w:t>
      </w:r>
      <w:r>
        <w:rPr>
          <w:rFonts w:ascii="Times New Roman" w:cs="Times New Roman" w:eastAsia="Times New Roman" w:hAnsi="Times New Roman"/>
          <w:sz w:val="16"/>
          <w:szCs w:val="16"/>
          <w:color w:val="auto"/>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and all Warrants are exercised by “cashless exercise” as provided in Section 2(c) of each of the Warrants), as reasonably determined by the Company, upon the advice of counsel to the Company.</w:t>
      </w:r>
    </w:p>
    <w:p>
      <w:pPr>
        <w:spacing w:after="0" w:line="166" w:lineRule="exact"/>
        <w:rPr>
          <w:sz w:val="20"/>
          <w:szCs w:val="20"/>
          <w:color w:val="auto"/>
        </w:rPr>
      </w:pPr>
    </w:p>
    <w:p>
      <w:pPr>
        <w:jc w:val="both"/>
        <w:ind w:left="680"/>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161" w:lineRule="exact"/>
        <w:rPr>
          <w:sz w:val="20"/>
          <w:szCs w:val="20"/>
          <w:color w:val="auto"/>
        </w:rPr>
      </w:pPr>
    </w:p>
    <w:p>
      <w:pPr>
        <w:jc w:val="both"/>
        <w:ind w:left="680" w:right="20"/>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Rule 415</w:t>
      </w:r>
      <w:r>
        <w:rPr>
          <w:rFonts w:ascii="Times New Roman" w:cs="Times New Roman" w:eastAsia="Times New Roman" w:hAnsi="Times New Roman"/>
          <w:sz w:val="16"/>
          <w:szCs w:val="16"/>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267" w:lineRule="exact"/>
        <w:rPr>
          <w:sz w:val="20"/>
          <w:szCs w:val="20"/>
          <w:color w:val="auto"/>
        </w:rPr>
      </w:pPr>
    </w:p>
    <w:p>
      <w:pPr>
        <w:ind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4898-3127-1095, v.7 DOCPROPERTY "CUS_DocIDChunk0" 76095602.2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394335</wp:posOffset>
            </wp:positionV>
            <wp:extent cx="7174865"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40" w:right="319" w:bottom="1440" w:gutter="0" w:footer="0" w:header="0"/>
        </w:sectPr>
      </w:pPr>
    </w:p>
    <w:bookmarkStart w:id="134" w:name="page135"/>
    <w:bookmarkEnd w:id="134"/>
    <w:p>
      <w:pPr>
        <w:spacing w:after="0" w:line="8" w:lineRule="exact"/>
        <w:rPr>
          <w:sz w:val="20"/>
          <w:szCs w:val="20"/>
          <w:color w:val="auto"/>
        </w:rPr>
      </w:pPr>
    </w:p>
    <w:p>
      <w:pPr>
        <w:ind w:left="680" w:right="20"/>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Rule 424</w:t>
      </w:r>
      <w:r>
        <w:rPr>
          <w:rFonts w:ascii="Times New Roman" w:cs="Times New Roman" w:eastAsia="Times New Roman" w:hAnsi="Times New Roman"/>
          <w:sz w:val="16"/>
          <w:szCs w:val="16"/>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45" w:lineRule="exact"/>
        <w:rPr>
          <w:sz w:val="20"/>
          <w:szCs w:val="20"/>
          <w:color w:val="auto"/>
        </w:rPr>
      </w:pPr>
    </w:p>
    <w:p>
      <w:pPr>
        <w:ind w:left="680" w:right="20"/>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 Guidance</w:t>
      </w:r>
      <w:r>
        <w:rPr>
          <w:rFonts w:ascii="Times New Roman" w:cs="Times New Roman" w:eastAsia="Times New Roman" w:hAnsi="Times New Roman"/>
          <w:sz w:val="16"/>
          <w:szCs w:val="16"/>
          <w:color w:val="auto"/>
        </w:rPr>
        <w:t>” means (i) any publicly-available written or oral guidance of the Commission staff, or any comments, requirements or requests of the Commission staff and (ii) the Securities Act.</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Selling Stockholder Questionnaire</w:t>
      </w:r>
      <w:r>
        <w:rPr>
          <w:rFonts w:ascii="Times New Roman" w:cs="Times New Roman" w:eastAsia="Times New Roman" w:hAnsi="Times New Roman"/>
          <w:sz w:val="16"/>
          <w:szCs w:val="16"/>
          <w:color w:val="auto"/>
        </w:rPr>
        <w:t>” shall have the meaning set forth in Section 3(a).</w:t>
      </w:r>
    </w:p>
    <w:p>
      <w:pPr>
        <w:spacing w:after="0" w:line="194" w:lineRule="exact"/>
        <w:rPr>
          <w:sz w:val="20"/>
          <w:szCs w:val="20"/>
          <w:color w:val="auto"/>
        </w:rPr>
      </w:pPr>
    </w:p>
    <w:p>
      <w:pPr>
        <w:ind w:left="1020" w:hanging="967"/>
        <w:spacing w:after="0"/>
        <w:tabs>
          <w:tab w:leader="none" w:pos="102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Rights</w:t>
      </w:r>
      <w:r>
        <w:rPr>
          <w:rFonts w:ascii="Times New Roman" w:cs="Times New Roman" w:eastAsia="Times New Roman" w:hAnsi="Times New Roman"/>
          <w:sz w:val="16"/>
          <w:szCs w:val="16"/>
          <w:color w:val="auto"/>
        </w:rPr>
        <w:t>.</w:t>
      </w:r>
    </w:p>
    <w:p>
      <w:pPr>
        <w:spacing w:after="0" w:line="194" w:lineRule="exact"/>
        <w:rPr>
          <w:rFonts w:ascii="Times New Roman" w:cs="Times New Roman" w:eastAsia="Times New Roman" w:hAnsi="Times New Roman"/>
          <w:sz w:val="16"/>
          <w:szCs w:val="16"/>
          <w:color w:val="auto"/>
        </w:rPr>
      </w:pPr>
    </w:p>
    <w:p>
      <w:pPr>
        <w:jc w:val="both"/>
        <w:ind w:left="680" w:firstLine="756"/>
        <w:spacing w:after="0" w:line="266" w:lineRule="auto"/>
        <w:tabs>
          <w:tab w:leader="none" w:pos="1657" w:val="left"/>
        </w:tabs>
        <w:numPr>
          <w:ilvl w:val="2"/>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(which is the case as of the date hereof), in which case such registration shall be on another appropriate form in accordance herewith, subject to the provisions of Section 2(e)) and shall contain (unless otherwise directed by at least 85% in interest of the Holders) substantially the “</w:t>
      </w:r>
      <w:r>
        <w:rPr>
          <w:rFonts w:ascii="Times New Roman" w:cs="Times New Roman" w:eastAsia="Times New Roman" w:hAnsi="Times New Roman"/>
          <w:sz w:val="15"/>
          <w:szCs w:val="15"/>
          <w:u w:val="single" w:color="auto"/>
          <w:color w:val="auto"/>
        </w:rPr>
        <w:t>Plan of Distribution</w:t>
      </w:r>
      <w:r>
        <w:rPr>
          <w:rFonts w:ascii="Times New Roman" w:cs="Times New Roman" w:eastAsia="Times New Roman" w:hAnsi="Times New Roman"/>
          <w:sz w:val="15"/>
          <w:szCs w:val="15"/>
          <w:color w:val="auto"/>
        </w:rPr>
        <w:t xml:space="preserve">” attached hereto as </w:t>
      </w:r>
      <w:r>
        <w:rPr>
          <w:rFonts w:ascii="Times New Roman" w:cs="Times New Roman" w:eastAsia="Times New Roman" w:hAnsi="Times New Roman"/>
          <w:sz w:val="15"/>
          <w:szCs w:val="15"/>
          <w:u w:val="single" w:color="auto"/>
          <w:color w:val="auto"/>
        </w:rPr>
        <w:t>Annex</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w:t>
      </w:r>
      <w:r>
        <w:rPr>
          <w:rFonts w:ascii="Times New Roman" w:cs="Times New Roman" w:eastAsia="Times New Roman" w:hAnsi="Times New Roman"/>
          <w:sz w:val="15"/>
          <w:szCs w:val="15"/>
          <w:color w:val="auto"/>
        </w:rPr>
        <w:t xml:space="preserve"> and substantially the “</w:t>
      </w:r>
      <w:r>
        <w:rPr>
          <w:rFonts w:ascii="Times New Roman" w:cs="Times New Roman" w:eastAsia="Times New Roman" w:hAnsi="Times New Roman"/>
          <w:sz w:val="15"/>
          <w:szCs w:val="15"/>
          <w:u w:val="single" w:color="auto"/>
          <w:color w:val="auto"/>
        </w:rPr>
        <w:t>Selling Stockholder</w:t>
      </w:r>
      <w:r>
        <w:rPr>
          <w:rFonts w:ascii="Times New Roman" w:cs="Times New Roman" w:eastAsia="Times New Roman" w:hAnsi="Times New Roman"/>
          <w:sz w:val="15"/>
          <w:szCs w:val="15"/>
          <w:color w:val="auto"/>
        </w:rPr>
        <w:t xml:space="preserve">” section attached hereto as </w:t>
      </w:r>
      <w:r>
        <w:rPr>
          <w:rFonts w:ascii="Times New Roman" w:cs="Times New Roman" w:eastAsia="Times New Roman" w:hAnsi="Times New Roman"/>
          <w:sz w:val="15"/>
          <w:szCs w:val="15"/>
          <w:u w:val="single" w:color="auto"/>
          <w:color w:val="auto"/>
        </w:rPr>
        <w:t>Annex 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no Holder shall be required to be named as an “underwriter” without such Holder’s express prior written consent. Subject to the terms of this Agreement, the Company shall use commercially reasonable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commercially reasonable efforts to keep such Registration Statement continuously effective under the Securities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 w:cs="Times New Roman" w:eastAsia="Times New Roman" w:hAnsi="Times New Roman"/>
          <w:sz w:val="15"/>
          <w:szCs w:val="15"/>
          <w:u w:val="single" w:color="auto"/>
          <w:color w:val="auto"/>
        </w:rPr>
        <w:t>Effectiveness Period</w:t>
      </w:r>
      <w:r>
        <w:rPr>
          <w:rFonts w:ascii="Times New Roman" w:cs="Times New Roman" w:eastAsia="Times New Roman" w:hAnsi="Times New Roman"/>
          <w:sz w:val="15"/>
          <w:szCs w:val="15"/>
          <w:color w:val="auto"/>
        </w:rPr>
        <w:t>”). The Company shall telephonically request effectiveness of a Registration Statement as of 5:00 p.m. (New York City time) on a Trading Day. The Company shall immediately notify the Holders via facsimile or by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w:t>
      </w:r>
    </w:p>
    <w:p>
      <w:pPr>
        <w:spacing w:after="0" w:line="175" w:lineRule="exact"/>
        <w:rPr>
          <w:rFonts w:ascii="Times New Roman" w:cs="Times New Roman" w:eastAsia="Times New Roman" w:hAnsi="Times New Roman"/>
          <w:sz w:val="15"/>
          <w:szCs w:val="15"/>
          <w:color w:val="auto"/>
        </w:rPr>
      </w:pPr>
    </w:p>
    <w:p>
      <w:pPr>
        <w:ind w:left="680" w:right="20" w:firstLine="5"/>
        <w:spacing w:after="0" w:line="253" w:lineRule="auto"/>
        <w:tabs>
          <w:tab w:leader="none" w:pos="997"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so notify the Holder within one (1) Trading Day of such notification of effectiveness or failure to file a final Prospectus as foresaid shall be deemed an Event under Section 2(d).</w:t>
      </w:r>
    </w:p>
    <w:p>
      <w:pPr>
        <w:spacing w:after="0" w:line="162" w:lineRule="exact"/>
        <w:rPr>
          <w:rFonts w:ascii="Times New Roman" w:cs="Times New Roman" w:eastAsia="Times New Roman" w:hAnsi="Times New Roman"/>
          <w:sz w:val="16"/>
          <w:szCs w:val="16"/>
          <w:color w:val="auto"/>
        </w:rPr>
      </w:pPr>
    </w:p>
    <w:p>
      <w:pPr>
        <w:jc w:val="both"/>
        <w:ind w:left="680" w:firstLine="756"/>
        <w:spacing w:after="0" w:line="251" w:lineRule="auto"/>
        <w:tabs>
          <w:tab w:leader="none" w:pos="1667" w:val="left"/>
        </w:tabs>
        <w:numPr>
          <w:ilvl w:val="2"/>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subject to the provisions of Section 2(e); with respect to filing on Form S-3 or other appropriate form;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prior to filing such amendment, the Company shall be obligated to use commercially reasonable efforts to advocate with the Commission for the registration of all of the Registrable Securities in accordance with the SEC Guidance, including without limitation, Compliance and Disclosure Interpretation 612.09.</w:t>
      </w:r>
    </w:p>
    <w:p>
      <w:pPr>
        <w:spacing w:after="0" w:line="200" w:lineRule="exact"/>
        <w:rPr>
          <w:sz w:val="20"/>
          <w:szCs w:val="20"/>
          <w:color w:val="auto"/>
        </w:rPr>
      </w:pPr>
    </w:p>
    <w:p>
      <w:pPr>
        <w:spacing w:after="0" w:line="275" w:lineRule="exact"/>
        <w:rPr>
          <w:sz w:val="20"/>
          <w:szCs w:val="20"/>
          <w:color w:val="auto"/>
        </w:rPr>
      </w:pPr>
    </w:p>
    <w:p>
      <w:pPr>
        <w:ind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4898-3127-1095, v.7 DOCPROPERTY "CUS_DocIDChunk0" 76095602.2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394335</wp:posOffset>
            </wp:positionV>
            <wp:extent cx="7174865"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40" w:right="319" w:bottom="1440" w:gutter="0" w:footer="0" w:header="0"/>
        </w:sectPr>
      </w:pPr>
    </w:p>
    <w:bookmarkStart w:id="135" w:name="page136"/>
    <w:bookmarkEnd w:id="135"/>
    <w:p>
      <w:pPr>
        <w:jc w:val="both"/>
        <w:ind w:left="680" w:right="20" w:firstLine="756"/>
        <w:spacing w:after="0" w:line="279" w:lineRule="auto"/>
        <w:tabs>
          <w:tab w:leader="none" w:pos="1650"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other provision of this Agreement, if the Commission or any SEC Guidance sets forth a limitation on the number of Registrable Securities permitted to be registered on a particular Registration Statement as a secondary offering (and notwithstanding that the Company used commercially reasonable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w:t>
      </w:r>
    </w:p>
    <w:p>
      <w:pPr>
        <w:spacing w:after="0" w:line="144" w:lineRule="exact"/>
        <w:rPr>
          <w:rFonts w:ascii="Times New Roman" w:cs="Times New Roman" w:eastAsia="Times New Roman" w:hAnsi="Times New Roman"/>
          <w:sz w:val="15"/>
          <w:szCs w:val="15"/>
          <w:color w:val="auto"/>
        </w:rPr>
      </w:pPr>
    </w:p>
    <w:p>
      <w:pPr>
        <w:ind w:left="1760" w:hanging="218"/>
        <w:spacing w:after="0"/>
        <w:tabs>
          <w:tab w:leader="none" w:pos="1760"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First, the Company shall reduce or eliminate any securities to be included other than Registrable Securities; and</w:t>
      </w:r>
    </w:p>
    <w:p>
      <w:pPr>
        <w:spacing w:after="0" w:line="200" w:lineRule="exact"/>
        <w:rPr>
          <w:rFonts w:ascii="Times New Roman" w:cs="Times New Roman" w:eastAsia="Times New Roman" w:hAnsi="Times New Roman"/>
          <w:sz w:val="16"/>
          <w:szCs w:val="16"/>
          <w:color w:val="auto"/>
        </w:rPr>
      </w:pPr>
    </w:p>
    <w:p>
      <w:pPr>
        <w:spacing w:after="0" w:line="337" w:lineRule="exact"/>
        <w:rPr>
          <w:rFonts w:ascii="Times New Roman" w:cs="Times New Roman" w:eastAsia="Times New Roman" w:hAnsi="Times New Roman"/>
          <w:sz w:val="16"/>
          <w:szCs w:val="16"/>
          <w:color w:val="auto"/>
        </w:rPr>
      </w:pPr>
    </w:p>
    <w:p>
      <w:pPr>
        <w:ind w:left="1720" w:right="200" w:hanging="178"/>
        <w:spacing w:after="0" w:line="276" w:lineRule="auto"/>
        <w:tabs>
          <w:tab w:leader="none" w:pos="1769"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Second, the Company shall reduce Registrable Securities represented by Warrant Shares (applied, in the case that some Warrant Shares may be registered, to the Holders on a pro rata basis based on the total number of unregistered Warrant Shares held by such Holders.</w:t>
      </w:r>
    </w:p>
    <w:p>
      <w:pPr>
        <w:spacing w:after="0" w:line="346" w:lineRule="exact"/>
        <w:rPr>
          <w:sz w:val="20"/>
          <w:szCs w:val="20"/>
          <w:color w:val="auto"/>
        </w:rPr>
      </w:pPr>
    </w:p>
    <w:p>
      <w:pPr>
        <w:jc w:val="both"/>
        <w:ind w:left="680"/>
        <w:spacing w:after="0" w:line="254" w:lineRule="auto"/>
        <w:rPr>
          <w:sz w:val="20"/>
          <w:szCs w:val="20"/>
          <w:color w:val="auto"/>
        </w:rPr>
      </w:pPr>
      <w:r>
        <w:rPr>
          <w:rFonts w:ascii="Times New Roman" w:cs="Times New Roman" w:eastAsia="Times New Roman" w:hAnsi="Times New Roman"/>
          <w:sz w:val="16"/>
          <w:szCs w:val="16"/>
          <w:color w:val="auto"/>
        </w:rPr>
        <w:t>In the event of a cutback hereunder, the Company shall give the Holder at least five (5) Trading Days prior written notice along with the calculations as to such Holder’s allotment. In the event the Company amends the Initial Registration Statement in accordance with the foregoing,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 (the “Cutback Registration Statement”).</w:t>
      </w:r>
    </w:p>
    <w:p>
      <w:pPr>
        <w:spacing w:after="0" w:line="162" w:lineRule="exact"/>
        <w:rPr>
          <w:sz w:val="20"/>
          <w:szCs w:val="20"/>
          <w:color w:val="auto"/>
        </w:rPr>
      </w:pPr>
    </w:p>
    <w:p>
      <w:pPr>
        <w:jc w:val="both"/>
        <w:ind w:left="680" w:firstLine="756"/>
        <w:spacing w:after="0" w:line="265" w:lineRule="auto"/>
        <w:tabs>
          <w:tab w:leader="none" w:pos="1674" w:val="left"/>
        </w:tabs>
        <w:numPr>
          <w:ilvl w:val="0"/>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(i) the Initial Registration Statement is not filed on or prior to its Filing Date (if the Company files the Initial Registration Statement without affording the Holders the opportunity to review and comment on the same as required by Section 3(a) herein, the Company shall be deemed to have not satisfied this clause (i)), or (ii) if the Cutback Registration Statement, if applicable, is not filed as promptly as allowed by Commission or SEC Guidance provided to the Company or to registrants of securities in general or (iii) the Company fails to file with the Commission a request for acceleration of a Registration Statement in accordance with Rule 461 promulgated by the Commission pursuant to the Securities Act, within five Trading Days of the date that the Company is notified (orally or in writing, whichever is earlier) by the Commission that such Registration Statement will not be “reviewed” or will not be subject to further review, or (iv) prior to the effective date of a Registration Statement, the Company fails to file a pre-effective amendment and otherwise respond in writing to comments made by the Commission in respect of such Registration Statement within ten (10) calendar days after the receipt of comments by or notice from the Commission that such amendment is required in order for such Registration Statement to be declared effective, or (v) a Registration Statement (including the Initial Registration Statement or any Cutback Registration Statement) is not declared effective by the Commission by the applicable Effectiveness Date, or (vi)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ten (10) consecutive calendar days or more than an aggregate of fifteen (15) calendar days (which need not be consecutive calendar days) during any 12-month period (any such failure or breach being referred to as an “</w:t>
      </w:r>
      <w:r>
        <w:rPr>
          <w:rFonts w:ascii="Times New Roman" w:cs="Times New Roman" w:eastAsia="Times New Roman" w:hAnsi="Times New Roman"/>
          <w:sz w:val="15"/>
          <w:szCs w:val="15"/>
          <w:u w:val="single" w:color="auto"/>
          <w:color w:val="auto"/>
        </w:rPr>
        <w:t>Event</w:t>
      </w:r>
      <w:r>
        <w:rPr>
          <w:rFonts w:ascii="Times New Roman" w:cs="Times New Roman" w:eastAsia="Times New Roman" w:hAnsi="Times New Roman"/>
          <w:sz w:val="15"/>
          <w:szCs w:val="15"/>
          <w:color w:val="auto"/>
        </w:rPr>
        <w:t>”, and for purposes of clauses (i) and (v), the date on which such Event occurs, and for purpose of clause (ii) the date on which such five (5) Trading Day period is exceeded, and for purpose of clause (iv) the date which such ten (10) calendar day period is exceeded, and for purpose of clause (vi) the date on which such ten (10) or fifteen (15) calendar day period, as applicable, is exceeded being referred to as “</w:t>
      </w:r>
      <w:r>
        <w:rPr>
          <w:rFonts w:ascii="Times New Roman" w:cs="Times New Roman" w:eastAsia="Times New Roman" w:hAnsi="Times New Roman"/>
          <w:sz w:val="15"/>
          <w:szCs w:val="15"/>
          <w:u w:val="single" w:color="auto"/>
          <w:color w:val="auto"/>
        </w:rPr>
        <w:t>Event Date</w:t>
      </w:r>
      <w:r>
        <w:rPr>
          <w:rFonts w:ascii="Times New Roman" w:cs="Times New Roman" w:eastAsia="Times New Roman" w:hAnsi="Times New Roman"/>
          <w:sz w:val="15"/>
          <w:szCs w:val="15"/>
          <w:color w:val="auto"/>
        </w:rPr>
        <w:t>”),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the product of 1.5% multiplied by the aggregate Subscription Amount paid by such Holder pursuant to the Purchase Agreement; provided that, for</w:t>
      </w:r>
    </w:p>
    <w:p>
      <w:pPr>
        <w:spacing w:after="0" w:line="288" w:lineRule="exact"/>
        <w:rPr>
          <w:sz w:val="20"/>
          <w:szCs w:val="20"/>
          <w:color w:val="auto"/>
        </w:rPr>
      </w:pPr>
    </w:p>
    <w:p>
      <w:pPr>
        <w:ind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4898-3127-1095, v.7 DOCPROPERTY "CUS_DocIDChunk0" 76095602.2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394335</wp:posOffset>
            </wp:positionV>
            <wp:extent cx="7174865"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258" w:right="319" w:bottom="1440" w:gutter="0" w:footer="0" w:header="0"/>
        </w:sectPr>
      </w:pPr>
    </w:p>
    <w:bookmarkStart w:id="136" w:name="page137"/>
    <w:bookmarkEnd w:id="136"/>
    <w:p>
      <w:pPr>
        <w:jc w:val="both"/>
        <w:ind w:left="680" w:right="20"/>
        <w:spacing w:after="0" w:line="258" w:lineRule="auto"/>
        <w:rPr>
          <w:sz w:val="20"/>
          <w:szCs w:val="20"/>
          <w:color w:val="auto"/>
        </w:rPr>
      </w:pPr>
      <w:r>
        <w:rPr>
          <w:rFonts w:ascii="Times New Roman" w:cs="Times New Roman" w:eastAsia="Times New Roman" w:hAnsi="Times New Roman"/>
          <w:sz w:val="16"/>
          <w:szCs w:val="16"/>
          <w:color w:val="auto"/>
        </w:rPr>
        <w:t>purposes of calculating such liquidated damages, the aggregate Subscription Amount shall exclude any amount attributable to Warrant Shares that are not then issuable upon exercise of the Warrants (including any</w:t>
      </w:r>
    </w:p>
    <w:p>
      <w:pPr>
        <w:ind w:left="680"/>
        <w:spacing w:after="0"/>
        <w:rPr>
          <w:sz w:val="20"/>
          <w:szCs w:val="20"/>
          <w:color w:val="auto"/>
        </w:rPr>
      </w:pPr>
      <w:r>
        <w:rPr>
          <w:rFonts w:ascii="Times New Roman" w:cs="Times New Roman" w:eastAsia="Times New Roman" w:hAnsi="Times New Roman"/>
          <w:sz w:val="16"/>
          <w:szCs w:val="16"/>
          <w:color w:val="auto"/>
        </w:rPr>
        <w:t>Warrant Shares underlying Warrants for which the applicable milestone event or Stockholder Approval has</w:t>
      </w:r>
    </w:p>
    <w:p>
      <w:pPr>
        <w:spacing w:after="0" w:line="5" w:lineRule="exact"/>
        <w:rPr>
          <w:sz w:val="20"/>
          <w:szCs w:val="20"/>
          <w:color w:val="auto"/>
        </w:rPr>
      </w:pPr>
    </w:p>
    <w:p>
      <w:pPr>
        <w:jc w:val="both"/>
        <w:ind w:left="680"/>
        <w:spacing w:after="0" w:line="269" w:lineRule="auto"/>
        <w:rPr>
          <w:sz w:val="20"/>
          <w:szCs w:val="20"/>
          <w:color w:val="auto"/>
        </w:rPr>
      </w:pPr>
      <w:r>
        <w:rPr>
          <w:rFonts w:ascii="Times New Roman" w:cs="Times New Roman" w:eastAsia="Times New Roman" w:hAnsi="Times New Roman"/>
          <w:sz w:val="15"/>
          <w:szCs w:val="15"/>
          <w:color w:val="auto"/>
        </w:rPr>
        <w:t>not then occurred). The parties agree that the maximum aggregate liquidated damages payable to a Holder under this Agreement shall be 10.5% of the aggregate Subscription Amount paid by such Holder pursuant to the Purchase Agreement. If the Company fails to pay any partial liquidated damages pursuant to this Section in full within seven days after the date payable, the Company will pay interest thereon at a rate of 18%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spacing w:after="0" w:line="151" w:lineRule="exact"/>
        <w:rPr>
          <w:sz w:val="20"/>
          <w:szCs w:val="20"/>
          <w:color w:val="auto"/>
        </w:rPr>
      </w:pPr>
    </w:p>
    <w:p>
      <w:pPr>
        <w:jc w:val="both"/>
        <w:ind w:left="680" w:firstLine="756"/>
        <w:spacing w:after="0" w:line="256" w:lineRule="auto"/>
        <w:tabs>
          <w:tab w:leader="none" w:pos="1666" w:val="left"/>
        </w:tabs>
        <w:numPr>
          <w:ilvl w:val="1"/>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Commission.</w:t>
      </w:r>
    </w:p>
    <w:p>
      <w:pPr>
        <w:spacing w:after="0" w:line="161" w:lineRule="exact"/>
        <w:rPr>
          <w:rFonts w:ascii="Times New Roman" w:cs="Times New Roman" w:eastAsia="Times New Roman" w:hAnsi="Times New Roman"/>
          <w:sz w:val="16"/>
          <w:szCs w:val="16"/>
          <w:color w:val="auto"/>
        </w:rPr>
      </w:pPr>
    </w:p>
    <w:p>
      <w:pPr>
        <w:ind w:left="680" w:right="20" w:firstLine="756"/>
        <w:spacing w:after="0" w:line="276" w:lineRule="auto"/>
        <w:tabs>
          <w:tab w:leader="none" w:pos="1632" w:val="left"/>
        </w:tabs>
        <w:numPr>
          <w:ilvl w:val="1"/>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contained herein, in no event shall the Company be permitted to name any Holder or affiliate of a Holder as any Underwriter without the prior written consent of such Holder.</w:t>
      </w:r>
    </w:p>
    <w:p>
      <w:pPr>
        <w:spacing w:after="0" w:line="144" w:lineRule="exact"/>
        <w:rPr>
          <w:rFonts w:ascii="Times New Roman" w:cs="Times New Roman" w:eastAsia="Times New Roman" w:hAnsi="Times New Roman"/>
          <w:sz w:val="16"/>
          <w:szCs w:val="16"/>
          <w:color w:val="auto"/>
        </w:rPr>
      </w:pPr>
    </w:p>
    <w:p>
      <w:pPr>
        <w:ind w:left="840" w:hanging="787"/>
        <w:spacing w:after="0"/>
        <w:tabs>
          <w:tab w:leader="none" w:pos="840"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Procedures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In connection with the Company’s registration obligations hereunder, the Company shall:</w:t>
      </w:r>
    </w:p>
    <w:p>
      <w:pPr>
        <w:spacing w:after="0" w:line="194" w:lineRule="exact"/>
        <w:rPr>
          <w:sz w:val="20"/>
          <w:szCs w:val="20"/>
          <w:color w:val="auto"/>
        </w:rPr>
      </w:pPr>
    </w:p>
    <w:p>
      <w:pPr>
        <w:jc w:val="both"/>
        <w:ind w:left="680" w:firstLine="756"/>
        <w:spacing w:after="0" w:line="265" w:lineRule="auto"/>
        <w:tabs>
          <w:tab w:leader="none" w:pos="1653" w:val="left"/>
        </w:tabs>
        <w:numPr>
          <w:ilvl w:val="0"/>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 less than five (5)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 (ii)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five (5) Trading Days after the Holders have been so furnished copies of a Registration Statement or one (1) Trading Day after the Holders have been so furnished copies of any related Prospectus or amendments or supplements thereto. Each Holder agrees to furnish to the Company a completed Selling Stockholder Notice and Questionnaire in the form attached to this Agreement as </w:t>
      </w:r>
      <w:r>
        <w:rPr>
          <w:rFonts w:ascii="Times New Roman" w:cs="Times New Roman" w:eastAsia="Times New Roman" w:hAnsi="Times New Roman"/>
          <w:sz w:val="15"/>
          <w:szCs w:val="15"/>
          <w:u w:val="single" w:color="auto"/>
          <w:color w:val="auto"/>
        </w:rPr>
        <w:t>Annex C</w:t>
      </w:r>
      <w:r>
        <w:rPr>
          <w:rFonts w:ascii="Times New Roman" w:cs="Times New Roman" w:eastAsia="Times New Roman" w:hAnsi="Times New Roman"/>
          <w:sz w:val="15"/>
          <w:szCs w:val="15"/>
          <w:color w:val="auto"/>
        </w:rPr>
        <w:t xml:space="preserve"> (a “</w:t>
      </w:r>
      <w:r>
        <w:rPr>
          <w:rFonts w:ascii="Times New Roman" w:cs="Times New Roman" w:eastAsia="Times New Roman" w:hAnsi="Times New Roman"/>
          <w:sz w:val="15"/>
          <w:szCs w:val="15"/>
          <w:u w:val="single" w:color="auto"/>
          <w:color w:val="auto"/>
        </w:rPr>
        <w:t>Selling Stockholder Questionnaire</w:t>
      </w:r>
      <w:r>
        <w:rPr>
          <w:rFonts w:ascii="Times New Roman" w:cs="Times New Roman" w:eastAsia="Times New Roman" w:hAnsi="Times New Roman"/>
          <w:sz w:val="15"/>
          <w:szCs w:val="15"/>
          <w:color w:val="auto"/>
        </w:rPr>
        <w:t>”) on a date that is not less than two (2) Trading</w:t>
      </w:r>
    </w:p>
    <w:p>
      <w:pPr>
        <w:spacing w:after="0" w:line="5" w:lineRule="exact"/>
        <w:rPr>
          <w:sz w:val="20"/>
          <w:szCs w:val="20"/>
          <w:color w:val="auto"/>
        </w:rPr>
      </w:pPr>
    </w:p>
    <w:p>
      <w:pPr>
        <w:jc w:val="both"/>
        <w:ind w:left="680"/>
        <w:spacing w:after="0" w:line="217" w:lineRule="auto"/>
        <w:rPr>
          <w:sz w:val="20"/>
          <w:szCs w:val="20"/>
          <w:color w:val="auto"/>
        </w:rPr>
      </w:pPr>
      <w:r>
        <w:rPr>
          <w:rFonts w:ascii="Times New Roman" w:cs="Times New Roman" w:eastAsia="Times New Roman" w:hAnsi="Times New Roman"/>
          <w:sz w:val="16"/>
          <w:szCs w:val="16"/>
          <w:color w:val="auto"/>
        </w:rPr>
        <w:t>Days prior to the Filing Date or by the end of the fourth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Trading Day following the date on which such Holder receives draft materials in accordance with this Section. Each Holder shall provide any additional information as may be reasonably requested by the Company and is necessary for purposes of complying with requirements under applicable securities laws and regulations or rules of any applicable stock exchange where the Common Stock is then listed.</w:t>
      </w:r>
    </w:p>
    <w:p>
      <w:pPr>
        <w:spacing w:after="0" w:line="172" w:lineRule="exact"/>
        <w:rPr>
          <w:sz w:val="20"/>
          <w:szCs w:val="20"/>
          <w:color w:val="auto"/>
        </w:rPr>
      </w:pPr>
    </w:p>
    <w:p>
      <w:pPr>
        <w:jc w:val="both"/>
        <w:ind w:left="680" w:firstLine="756"/>
        <w:spacing w:after="0" w:line="256" w:lineRule="auto"/>
        <w:tabs>
          <w:tab w:leader="none" w:pos="1655"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w:t>
      </w:r>
    </w:p>
    <w:p>
      <w:pPr>
        <w:spacing w:after="0" w:line="284" w:lineRule="exact"/>
        <w:rPr>
          <w:sz w:val="20"/>
          <w:szCs w:val="20"/>
          <w:color w:val="auto"/>
        </w:rPr>
      </w:pPr>
    </w:p>
    <w:p>
      <w:pPr>
        <w:ind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4898-3127-1095, v.7 DOCPROPERTY "CUS_DocIDChunk0" 76095602.2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394335</wp:posOffset>
            </wp:positionV>
            <wp:extent cx="7174865" cy="40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258" w:right="319" w:bottom="1440" w:gutter="0" w:footer="0" w:header="0"/>
        </w:sectPr>
      </w:pPr>
    </w:p>
    <w:bookmarkStart w:id="137" w:name="page138"/>
    <w:bookmarkEnd w:id="137"/>
    <w:p>
      <w:pPr>
        <w:jc w:val="both"/>
        <w:ind w:left="680"/>
        <w:spacing w:after="0" w:line="251" w:lineRule="auto"/>
        <w:rPr>
          <w:sz w:val="20"/>
          <w:szCs w:val="20"/>
          <w:color w:val="auto"/>
        </w:rPr>
      </w:pPr>
      <w:r>
        <w:rPr>
          <w:rFonts w:ascii="Times New Roman" w:cs="Times New Roman" w:eastAsia="Times New Roman" w:hAnsi="Times New Roman"/>
          <w:sz w:val="16"/>
          <w:szCs w:val="16"/>
          <w:color w:val="auto"/>
        </w:rPr>
        <w:t>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164" w:lineRule="exact"/>
        <w:rPr>
          <w:sz w:val="20"/>
          <w:szCs w:val="20"/>
          <w:color w:val="auto"/>
        </w:rPr>
      </w:pPr>
    </w:p>
    <w:p>
      <w:pPr>
        <w:jc w:val="both"/>
        <w:ind w:left="680" w:firstLine="756"/>
        <w:spacing w:after="0" w:line="261" w:lineRule="auto"/>
        <w:tabs>
          <w:tab w:leader="none" w:pos="1658"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spacing w:after="0" w:line="156" w:lineRule="exact"/>
        <w:rPr>
          <w:rFonts w:ascii="Times New Roman" w:cs="Times New Roman" w:eastAsia="Times New Roman" w:hAnsi="Times New Roman"/>
          <w:sz w:val="16"/>
          <w:szCs w:val="16"/>
          <w:color w:val="auto"/>
        </w:rPr>
      </w:pPr>
    </w:p>
    <w:p>
      <w:pPr>
        <w:jc w:val="both"/>
        <w:ind w:left="680" w:firstLine="756"/>
        <w:spacing w:after="0" w:line="266" w:lineRule="auto"/>
        <w:tabs>
          <w:tab w:leader="none" w:pos="1679" w:val="left"/>
        </w:tabs>
        <w:numPr>
          <w:ilvl w:val="0"/>
          <w:numId w:val="1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in no event shall any such notice contain any information which would constitute material, non-public information regarding the Company or any of its Subsidiaries.</w:t>
      </w:r>
    </w:p>
    <w:p>
      <w:pPr>
        <w:spacing w:after="0" w:line="154" w:lineRule="exact"/>
        <w:rPr>
          <w:rFonts w:ascii="Times New Roman" w:cs="Times New Roman" w:eastAsia="Times New Roman" w:hAnsi="Times New Roman"/>
          <w:sz w:val="15"/>
          <w:szCs w:val="15"/>
          <w:color w:val="auto"/>
        </w:rPr>
      </w:pPr>
    </w:p>
    <w:p>
      <w:pPr>
        <w:jc w:val="both"/>
        <w:ind w:left="680" w:firstLine="756"/>
        <w:spacing w:after="0" w:line="261" w:lineRule="auto"/>
        <w:tabs>
          <w:tab w:leader="none" w:pos="1675"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commercially reasonable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200" w:lineRule="exact"/>
        <w:rPr>
          <w:sz w:val="20"/>
          <w:szCs w:val="20"/>
          <w:color w:val="auto"/>
        </w:rPr>
      </w:pPr>
    </w:p>
    <w:p>
      <w:pPr>
        <w:spacing w:after="0" w:line="268" w:lineRule="exact"/>
        <w:rPr>
          <w:sz w:val="20"/>
          <w:szCs w:val="20"/>
          <w:color w:val="auto"/>
        </w:rPr>
      </w:pPr>
    </w:p>
    <w:p>
      <w:pPr>
        <w:ind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4898-3127-1095, v.7 DOCPROPERTY "CUS_DocIDChunk0" 76095602.2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394335</wp:posOffset>
            </wp:positionV>
            <wp:extent cx="7174865"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258" w:right="319" w:bottom="1440" w:gutter="0" w:footer="0" w:header="0"/>
        </w:sectPr>
      </w:pPr>
    </w:p>
    <w:bookmarkStart w:id="138" w:name="page139"/>
    <w:bookmarkEnd w:id="138"/>
    <w:p>
      <w:pPr>
        <w:jc w:val="both"/>
        <w:ind w:left="680" w:firstLine="756"/>
        <w:spacing w:after="0" w:line="256" w:lineRule="auto"/>
        <w:tabs>
          <w:tab w:leader="none" w:pos="1646"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spacing w:after="0" w:line="161" w:lineRule="exact"/>
        <w:rPr>
          <w:rFonts w:ascii="Times New Roman" w:cs="Times New Roman" w:eastAsia="Times New Roman" w:hAnsi="Times New Roman"/>
          <w:sz w:val="16"/>
          <w:szCs w:val="16"/>
          <w:color w:val="auto"/>
        </w:rPr>
      </w:pPr>
    </w:p>
    <w:p>
      <w:pPr>
        <w:jc w:val="both"/>
        <w:ind w:left="680" w:right="20" w:firstLine="756"/>
        <w:spacing w:after="0" w:line="261" w:lineRule="auto"/>
        <w:tabs>
          <w:tab w:leader="none" w:pos="1665"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spacing w:after="0" w:line="156" w:lineRule="exact"/>
        <w:rPr>
          <w:rFonts w:ascii="Times New Roman" w:cs="Times New Roman" w:eastAsia="Times New Roman" w:hAnsi="Times New Roman"/>
          <w:sz w:val="16"/>
          <w:szCs w:val="16"/>
          <w:color w:val="auto"/>
        </w:rPr>
      </w:pPr>
    </w:p>
    <w:p>
      <w:pPr>
        <w:jc w:val="both"/>
        <w:ind w:left="680" w:firstLine="756"/>
        <w:spacing w:after="0" w:line="251" w:lineRule="auto"/>
        <w:tabs>
          <w:tab w:leader="none" w:pos="1666"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66" w:lineRule="exact"/>
        <w:rPr>
          <w:rFonts w:ascii="Times New Roman" w:cs="Times New Roman" w:eastAsia="Times New Roman" w:hAnsi="Times New Roman"/>
          <w:sz w:val="16"/>
          <w:szCs w:val="16"/>
          <w:color w:val="auto"/>
        </w:rPr>
      </w:pPr>
    </w:p>
    <w:p>
      <w:pPr>
        <w:jc w:val="both"/>
        <w:ind w:left="680" w:firstLine="756"/>
        <w:spacing w:after="0" w:line="256" w:lineRule="auto"/>
        <w:tabs>
          <w:tab w:leader="none" w:pos="1641"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requested by a Holder, cooperate with such Holder to facilitate the timely preparation and delivery of certificates or book entry statements, as applicable,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spacing w:after="0" w:line="161" w:lineRule="exact"/>
        <w:rPr>
          <w:rFonts w:ascii="Times New Roman" w:cs="Times New Roman" w:eastAsia="Times New Roman" w:hAnsi="Times New Roman"/>
          <w:sz w:val="16"/>
          <w:szCs w:val="16"/>
          <w:color w:val="auto"/>
        </w:rPr>
      </w:pPr>
    </w:p>
    <w:p>
      <w:pPr>
        <w:jc w:val="both"/>
        <w:ind w:left="680" w:firstLine="756"/>
        <w:spacing w:after="0" w:line="268" w:lineRule="auto"/>
        <w:tabs>
          <w:tab w:leader="none" w:pos="1628" w:val="left"/>
        </w:tabs>
        <w:numPr>
          <w:ilvl w:val="0"/>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commercially reasonable efforts to ensure that the use of the Prospectus may be resumed as promptly as is practicable. The Company shall be entitled to exercise its right under this Section 3(j) to suspend the availability of a Registration Statement and Prospectus, subject to the payment of partial liquidated damages otherwise required pursuant to Section 2(d), for a period not to exceed 60 calendar days (which need not be consecutive days) in any 12-month period.</w:t>
      </w:r>
    </w:p>
    <w:p>
      <w:pPr>
        <w:spacing w:after="0" w:line="155" w:lineRule="exact"/>
        <w:rPr>
          <w:rFonts w:ascii="Times New Roman" w:cs="Times New Roman" w:eastAsia="Times New Roman" w:hAnsi="Times New Roman"/>
          <w:sz w:val="15"/>
          <w:szCs w:val="15"/>
          <w:color w:val="auto"/>
        </w:rPr>
      </w:pPr>
    </w:p>
    <w:p>
      <w:pPr>
        <w:jc w:val="both"/>
        <w:ind w:left="680" w:right="20" w:firstLine="756"/>
        <w:spacing w:after="0" w:line="279" w:lineRule="auto"/>
        <w:tabs>
          <w:tab w:leader="none" w:pos="1655" w:val="left"/>
        </w:tabs>
        <w:numPr>
          <w:ilvl w:val="0"/>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w:t>
      </w:r>
    </w:p>
    <w:p>
      <w:pPr>
        <w:spacing w:after="0" w:line="266" w:lineRule="exact"/>
        <w:rPr>
          <w:sz w:val="20"/>
          <w:szCs w:val="20"/>
          <w:color w:val="auto"/>
        </w:rPr>
      </w:pPr>
    </w:p>
    <w:p>
      <w:pPr>
        <w:ind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4898-3127-1095, v.7 DOCPROPERTY "CUS_DocIDChunk0" 76095602.2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394335</wp:posOffset>
            </wp:positionV>
            <wp:extent cx="7174865" cy="4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258" w:right="319" w:bottom="1440" w:gutter="0" w:footer="0" w:header="0"/>
        </w:sectPr>
      </w:pPr>
    </w:p>
    <w:bookmarkStart w:id="139" w:name="page140"/>
    <w:bookmarkEnd w:id="139"/>
    <w:p>
      <w:pPr>
        <w:ind w:left="680"/>
        <w:spacing w:after="0"/>
        <w:rPr>
          <w:sz w:val="20"/>
          <w:szCs w:val="20"/>
          <w:color w:val="auto"/>
        </w:rPr>
      </w:pPr>
      <w:r>
        <w:rPr>
          <w:rFonts w:ascii="Times New Roman" w:cs="Times New Roman" w:eastAsia="Times New Roman" w:hAnsi="Times New Roman"/>
          <w:sz w:val="16"/>
          <w:szCs w:val="16"/>
          <w:color w:val="auto"/>
        </w:rPr>
        <w:t>of Registrable Securities and take such other actions as may be reasonably necessary to facilitate the registration of the Registrable Securities hereunder.</w:t>
      </w:r>
    </w:p>
    <w:p>
      <w:pPr>
        <w:spacing w:after="0" w:line="194" w:lineRule="exact"/>
        <w:rPr>
          <w:sz w:val="20"/>
          <w:szCs w:val="20"/>
          <w:color w:val="auto"/>
        </w:rPr>
      </w:pPr>
    </w:p>
    <w:p>
      <w:pPr>
        <w:jc w:val="both"/>
        <w:ind w:left="680" w:right="20" w:firstLine="756"/>
        <w:spacing w:after="0" w:line="261" w:lineRule="auto"/>
        <w:tabs>
          <w:tab w:leader="none" w:pos="1632" w:val="left"/>
        </w:tabs>
        <w:numPr>
          <w:ilvl w:val="1"/>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Acknowledging that the Company is not currently eligible to use Form S-3 for the registration of the resale of Registrable Securities, the Company shall use commercially reasonable efforts to maintain eligibility for use of Form S-3 (or any successor form thereto) for the registration of the resale of Registrable Securities.</w:t>
      </w:r>
    </w:p>
    <w:p>
      <w:pPr>
        <w:spacing w:after="0" w:line="156" w:lineRule="exact"/>
        <w:rPr>
          <w:rFonts w:ascii="Times New Roman" w:cs="Times New Roman" w:eastAsia="Times New Roman" w:hAnsi="Times New Roman"/>
          <w:sz w:val="16"/>
          <w:szCs w:val="16"/>
          <w:color w:val="auto"/>
        </w:rPr>
      </w:pPr>
    </w:p>
    <w:p>
      <w:pPr>
        <w:jc w:val="both"/>
        <w:ind w:left="680" w:firstLine="756"/>
        <w:spacing w:after="0" w:line="252" w:lineRule="auto"/>
        <w:tabs>
          <w:tab w:leader="none" w:pos="1724" w:val="left"/>
        </w:tabs>
        <w:numPr>
          <w:ilvl w:val="1"/>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spacing w:after="0" w:line="165" w:lineRule="exact"/>
        <w:rPr>
          <w:rFonts w:ascii="Times New Roman" w:cs="Times New Roman" w:eastAsia="Times New Roman" w:hAnsi="Times New Roman"/>
          <w:sz w:val="16"/>
          <w:szCs w:val="16"/>
          <w:color w:val="auto"/>
        </w:rPr>
      </w:pPr>
    </w:p>
    <w:p>
      <w:pPr>
        <w:jc w:val="both"/>
        <w:ind w:left="240" w:hanging="187"/>
        <w:spacing w:after="0" w:line="249" w:lineRule="auto"/>
        <w:tabs>
          <w:tab w:leader="none" w:pos="240"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Expenses</w:t>
      </w:r>
      <w:r>
        <w:rPr>
          <w:rFonts w:ascii="Times New Roman" w:cs="Times New Roman" w:eastAsia="Times New Roman" w:hAnsi="Times New Roman"/>
          <w:sz w:val="16"/>
          <w:szCs w:val="16"/>
          <w:color w:val="auto"/>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underwriter fees or commissions or similar commissions of any Holder or, except to the extent provided for in the Transaction Documents, any legal fees or other costs of the Holders.</w:t>
      </w:r>
    </w:p>
    <w:p>
      <w:pPr>
        <w:spacing w:after="0" w:line="167" w:lineRule="exact"/>
        <w:rPr>
          <w:rFonts w:ascii="Times New Roman" w:cs="Times New Roman" w:eastAsia="Times New Roman" w:hAnsi="Times New Roman"/>
          <w:sz w:val="16"/>
          <w:szCs w:val="16"/>
          <w:color w:val="auto"/>
        </w:rPr>
      </w:pPr>
    </w:p>
    <w:p>
      <w:pPr>
        <w:ind w:left="1180" w:hanging="1127"/>
        <w:spacing w:after="0"/>
        <w:tabs>
          <w:tab w:leader="none" w:pos="1180"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w:t>
      </w:r>
    </w:p>
    <w:p>
      <w:pPr>
        <w:spacing w:after="0" w:line="194" w:lineRule="exact"/>
        <w:rPr>
          <w:rFonts w:ascii="Times New Roman" w:cs="Times New Roman" w:eastAsia="Times New Roman" w:hAnsi="Times New Roman"/>
          <w:sz w:val="16"/>
          <w:szCs w:val="16"/>
          <w:color w:val="auto"/>
        </w:rPr>
      </w:pPr>
    </w:p>
    <w:p>
      <w:pPr>
        <w:jc w:val="both"/>
        <w:ind w:left="680" w:right="20" w:firstLine="756"/>
        <w:spacing w:after="0" w:line="250" w:lineRule="auto"/>
        <w:tabs>
          <w:tab w:leader="none" w:pos="1645" w:val="left"/>
        </w:tabs>
        <w:numPr>
          <w:ilvl w:val="1"/>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by the Company</w:t>
      </w:r>
      <w:r>
        <w:rPr>
          <w:rFonts w:ascii="Times New Roman" w:cs="Times New Roman" w:eastAsia="Times New Roman" w:hAnsi="Times New Roman"/>
          <w:sz w:val="16"/>
          <w:szCs w:val="16"/>
          <w:color w:val="auto"/>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Times New Roman" w:cs="Times New Roman" w:eastAsia="Times New Roman" w:hAnsi="Times New Roman"/>
          <w:sz w:val="16"/>
          <w:szCs w:val="16"/>
          <w:u w:val="single" w:color="auto"/>
          <w:color w:val="auto"/>
        </w:rPr>
        <w:t>Losses</w:t>
      </w:r>
      <w:r>
        <w:rPr>
          <w:rFonts w:ascii="Times New Roman" w:cs="Times New Roman" w:eastAsia="Times New Roman" w:hAnsi="Times New Roman"/>
          <w:sz w:val="16"/>
          <w:szCs w:val="16"/>
          <w:color w:val="auto"/>
        </w:rPr>
        <w:t>”), as incurred, arising out of or relating to (1) any untrue or alleged untrue statement of a material fact contained in a Registration Statement, any Prospectus or any form of prospectus or in any amendment</w:t>
      </w:r>
    </w:p>
    <w:p>
      <w:pPr>
        <w:spacing w:after="0" w:line="290" w:lineRule="exact"/>
        <w:rPr>
          <w:sz w:val="20"/>
          <w:szCs w:val="20"/>
          <w:color w:val="auto"/>
        </w:rPr>
      </w:pPr>
    </w:p>
    <w:p>
      <w:pPr>
        <w:ind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4898-3127-1095, v.7 DOCPROPERTY "CUS_DocIDChunk0" 76095602.2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394335</wp:posOffset>
            </wp:positionV>
            <wp:extent cx="7174865"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258" w:right="319" w:bottom="1440" w:gutter="0" w:footer="0" w:header="0"/>
        </w:sectPr>
      </w:pPr>
    </w:p>
    <w:bookmarkStart w:id="140" w:name="page141"/>
    <w:bookmarkEnd w:id="140"/>
    <w:p>
      <w:pPr>
        <w:jc w:val="both"/>
        <w:ind w:left="680"/>
        <w:spacing w:after="0" w:line="249" w:lineRule="auto"/>
        <w:rPr>
          <w:sz w:val="20"/>
          <w:szCs w:val="20"/>
          <w:color w:val="auto"/>
        </w:rPr>
      </w:pPr>
      <w:r>
        <w:rPr>
          <w:rFonts w:ascii="Times New Roman" w:cs="Times New Roman" w:eastAsia="Times New Roman" w:hAnsi="Times New Roman"/>
          <w:sz w:val="16"/>
          <w:szCs w:val="16"/>
          <w:color w:val="auto"/>
        </w:rPr>
        <w:t>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or alleged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6(c).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6(f).</w:t>
      </w:r>
    </w:p>
    <w:p>
      <w:pPr>
        <w:spacing w:after="0" w:line="168" w:lineRule="exact"/>
        <w:rPr>
          <w:sz w:val="20"/>
          <w:szCs w:val="20"/>
          <w:color w:val="auto"/>
        </w:rPr>
      </w:pPr>
    </w:p>
    <w:p>
      <w:pPr>
        <w:jc w:val="both"/>
        <w:ind w:left="680" w:firstLine="756"/>
        <w:spacing w:after="0" w:line="249" w:lineRule="auto"/>
        <w:tabs>
          <w:tab w:leader="none" w:pos="1653"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by Holders</w:t>
      </w:r>
      <w:r>
        <w:rPr>
          <w:rFonts w:ascii="Times New Roman" w:cs="Times New Roman" w:eastAsia="Times New Roman" w:hAnsi="Times New Roman"/>
          <w:sz w:val="16"/>
          <w:szCs w:val="16"/>
          <w:color w:val="auto"/>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or alleged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165" w:lineRule="exact"/>
        <w:rPr>
          <w:rFonts w:ascii="Times New Roman" w:cs="Times New Roman" w:eastAsia="Times New Roman" w:hAnsi="Times New Roman"/>
          <w:sz w:val="16"/>
          <w:szCs w:val="16"/>
          <w:color w:val="auto"/>
        </w:rPr>
      </w:pPr>
    </w:p>
    <w:p>
      <w:pPr>
        <w:jc w:val="both"/>
        <w:ind w:left="680" w:firstLine="756"/>
        <w:spacing w:after="0" w:line="251" w:lineRule="auto"/>
        <w:tabs>
          <w:tab w:leader="none" w:pos="1668"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Conduct of Indemnification Proceedings</w:t>
      </w:r>
      <w:r>
        <w:rPr>
          <w:rFonts w:ascii="Times New Roman" w:cs="Times New Roman" w:eastAsia="Times New Roman" w:hAnsi="Times New Roman"/>
          <w:sz w:val="16"/>
          <w:szCs w:val="16"/>
          <w:color w:val="auto"/>
        </w:rPr>
        <w:t>. If any Proceeding shall be brought or asserted against any Person entitled to indemnity hereunder (an “</w:t>
      </w:r>
      <w:r>
        <w:rPr>
          <w:rFonts w:ascii="Times New Roman" w:cs="Times New Roman" w:eastAsia="Times New Roman" w:hAnsi="Times New Roman"/>
          <w:sz w:val="16"/>
          <w:szCs w:val="16"/>
          <w:u w:val="single" w:color="auto"/>
          <w:color w:val="auto"/>
        </w:rPr>
        <w:t>Indemnified Party</w:t>
      </w:r>
      <w:r>
        <w:rPr>
          <w:rFonts w:ascii="Times New Roman" w:cs="Times New Roman" w:eastAsia="Times New Roman" w:hAnsi="Times New Roman"/>
          <w:sz w:val="16"/>
          <w:szCs w:val="16"/>
          <w:color w:val="auto"/>
        </w:rPr>
        <w:t>”), such Indemnified Party shall promptly notify the Person from whom indemnity is sought (the “</w:t>
      </w:r>
      <w:r>
        <w:rPr>
          <w:rFonts w:ascii="Times New Roman" w:cs="Times New Roman" w:eastAsia="Times New Roman" w:hAnsi="Times New Roman"/>
          <w:sz w:val="16"/>
          <w:szCs w:val="16"/>
          <w:u w:val="single" w:color="auto"/>
          <w:color w:val="auto"/>
        </w:rPr>
        <w:t>Indemnifying Party</w:t>
      </w:r>
      <w:r>
        <w:rPr>
          <w:rFonts w:ascii="Times New Roman" w:cs="Times New Roman" w:eastAsia="Times New Roman" w:hAnsi="Times New Roman"/>
          <w:sz w:val="16"/>
          <w:szCs w:val="16"/>
          <w:color w:val="auto"/>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289" w:lineRule="exact"/>
        <w:rPr>
          <w:sz w:val="20"/>
          <w:szCs w:val="20"/>
          <w:color w:val="auto"/>
        </w:rPr>
      </w:pPr>
    </w:p>
    <w:p>
      <w:pPr>
        <w:ind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4898-3127-1095, v.7 DOCPROPERTY "CUS_DocIDChunk0" 76095602.2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394335</wp:posOffset>
            </wp:positionV>
            <wp:extent cx="7174865"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258" w:right="319" w:bottom="1440" w:gutter="0" w:footer="0" w:header="0"/>
        </w:sectPr>
      </w:pPr>
    </w:p>
    <w:bookmarkStart w:id="141" w:name="page142"/>
    <w:bookmarkEnd w:id="141"/>
    <w:p>
      <w:pPr>
        <w:spacing w:after="0" w:line="8" w:lineRule="exact"/>
        <w:rPr>
          <w:sz w:val="20"/>
          <w:szCs w:val="20"/>
          <w:color w:val="auto"/>
        </w:rPr>
      </w:pPr>
    </w:p>
    <w:p>
      <w:pPr>
        <w:jc w:val="both"/>
        <w:ind w:left="680" w:firstLine="750"/>
        <w:spacing w:after="0" w:line="268" w:lineRule="auto"/>
        <w:rPr>
          <w:sz w:val="20"/>
          <w:szCs w:val="20"/>
          <w:color w:val="auto"/>
        </w:rPr>
      </w:pPr>
      <w:r>
        <w:rPr>
          <w:rFonts w:ascii="Times New Roman" w:cs="Times New Roman" w:eastAsia="Times New Roman" w:hAnsi="Times New Roman"/>
          <w:sz w:val="15"/>
          <w:szCs w:val="15"/>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52" w:lineRule="exact"/>
        <w:rPr>
          <w:sz w:val="20"/>
          <w:szCs w:val="20"/>
          <w:color w:val="auto"/>
        </w:rPr>
      </w:pPr>
    </w:p>
    <w:p>
      <w:pPr>
        <w:jc w:val="both"/>
        <w:ind w:left="680" w:right="20" w:firstLine="750"/>
        <w:spacing w:after="0" w:line="254" w:lineRule="auto"/>
        <w:rPr>
          <w:sz w:val="20"/>
          <w:szCs w:val="20"/>
          <w:color w:val="auto"/>
        </w:rPr>
      </w:pPr>
      <w:r>
        <w:rPr>
          <w:rFonts w:ascii="Times New Roman" w:cs="Times New Roman" w:eastAsia="Times New Roman" w:hAnsi="Times New Roman"/>
          <w:sz w:val="16"/>
          <w:szCs w:val="16"/>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162" w:lineRule="exact"/>
        <w:rPr>
          <w:sz w:val="20"/>
          <w:szCs w:val="20"/>
          <w:color w:val="auto"/>
        </w:rPr>
      </w:pPr>
    </w:p>
    <w:p>
      <w:pPr>
        <w:jc w:val="both"/>
        <w:ind w:left="680" w:firstLine="756"/>
        <w:spacing w:after="0" w:line="250" w:lineRule="auto"/>
        <w:tabs>
          <w:tab w:leader="none" w:pos="1665"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Contribution</w:t>
      </w:r>
      <w:r>
        <w:rPr>
          <w:rFonts w:ascii="Times New Roman" w:cs="Times New Roman" w:eastAsia="Times New Roman" w:hAnsi="Times New Roman"/>
          <w:sz w:val="16"/>
          <w:szCs w:val="16"/>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165" w:lineRule="exact"/>
        <w:rPr>
          <w:sz w:val="20"/>
          <w:szCs w:val="20"/>
          <w:color w:val="auto"/>
        </w:rPr>
      </w:pPr>
    </w:p>
    <w:p>
      <w:pPr>
        <w:jc w:val="both"/>
        <w:ind w:left="680" w:right="20" w:firstLine="750"/>
        <w:spacing w:after="0" w:line="254" w:lineRule="auto"/>
        <w:rPr>
          <w:sz w:val="20"/>
          <w:szCs w:val="20"/>
          <w:color w:val="auto"/>
        </w:rPr>
      </w:pPr>
      <w:r>
        <w:rPr>
          <w:rFonts w:ascii="Times New Roman" w:cs="Times New Roman" w:eastAsia="Times New Roman" w:hAnsi="Times New Roman"/>
          <w:sz w:val="16"/>
          <w:szCs w:val="16"/>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200" w:lineRule="exact"/>
        <w:rPr>
          <w:sz w:val="20"/>
          <w:szCs w:val="20"/>
          <w:color w:val="auto"/>
        </w:rPr>
      </w:pPr>
    </w:p>
    <w:p>
      <w:pPr>
        <w:spacing w:after="0" w:line="273" w:lineRule="exact"/>
        <w:rPr>
          <w:sz w:val="20"/>
          <w:szCs w:val="20"/>
          <w:color w:val="auto"/>
        </w:rPr>
      </w:pPr>
    </w:p>
    <w:p>
      <w:pPr>
        <w:ind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4898-3127-1095, v.7 DOCPROPERTY "CUS_DocIDChunk0" 76095602.2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394335</wp:posOffset>
            </wp:positionV>
            <wp:extent cx="7174865"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40" w:right="319" w:bottom="1440" w:gutter="0" w:footer="0" w:header="0"/>
        </w:sectPr>
      </w:pPr>
    </w:p>
    <w:bookmarkStart w:id="142" w:name="page143"/>
    <w:bookmarkEnd w:id="142"/>
    <w:p>
      <w:pPr>
        <w:ind w:left="740" w:firstLine="750"/>
        <w:spacing w:after="0" w:line="276" w:lineRule="auto"/>
        <w:rPr>
          <w:sz w:val="20"/>
          <w:szCs w:val="20"/>
          <w:color w:val="auto"/>
        </w:rPr>
      </w:pPr>
      <w:r>
        <w:rPr>
          <w:rFonts w:ascii="Times New Roman" w:cs="Times New Roman" w:eastAsia="Times New Roman" w:hAnsi="Times New Roman"/>
          <w:sz w:val="16"/>
          <w:szCs w:val="16"/>
          <w:color w:val="auto"/>
        </w:rPr>
        <w:t>The indemnity and contribution agreements contained in this Section are in addition to any liability that the Indemnifying Parties may have to the Indemnified Parties.</w:t>
      </w:r>
    </w:p>
    <w:p>
      <w:pPr>
        <w:spacing w:after="0" w:line="145" w:lineRule="exact"/>
        <w:rPr>
          <w:sz w:val="20"/>
          <w:szCs w:val="20"/>
          <w:color w:val="auto"/>
        </w:rPr>
      </w:pPr>
    </w:p>
    <w:p>
      <w:pPr>
        <w:ind w:left="1340" w:hanging="1227"/>
        <w:spacing w:after="0"/>
        <w:tabs>
          <w:tab w:leader="none" w:pos="1340"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94" w:lineRule="exact"/>
        <w:rPr>
          <w:rFonts w:ascii="Times New Roman" w:cs="Times New Roman" w:eastAsia="Times New Roman" w:hAnsi="Times New Roman"/>
          <w:sz w:val="16"/>
          <w:szCs w:val="16"/>
          <w:color w:val="auto"/>
        </w:rPr>
      </w:pPr>
    </w:p>
    <w:p>
      <w:pPr>
        <w:jc w:val="both"/>
        <w:ind w:right="20" w:firstLine="745"/>
        <w:spacing w:after="0" w:line="254" w:lineRule="auto"/>
        <w:tabs>
          <w:tab w:leader="none" w:pos="965" w:val="left"/>
        </w:tabs>
        <w:numPr>
          <w:ilvl w:val="1"/>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Remedies</w:t>
      </w:r>
      <w:r>
        <w:rPr>
          <w:rFonts w:ascii="Times New Roman" w:cs="Times New Roman" w:eastAsia="Times New Roman" w:hAnsi="Times New Roman"/>
          <w:sz w:val="16"/>
          <w:szCs w:val="16"/>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61" w:lineRule="exact"/>
        <w:rPr>
          <w:rFonts w:ascii="Times New Roman" w:cs="Times New Roman" w:eastAsia="Times New Roman" w:hAnsi="Times New Roman"/>
          <w:sz w:val="16"/>
          <w:szCs w:val="16"/>
          <w:color w:val="auto"/>
        </w:rPr>
      </w:pPr>
    </w:p>
    <w:p>
      <w:pPr>
        <w:jc w:val="both"/>
        <w:ind w:right="20" w:firstLine="745"/>
        <w:spacing w:after="0" w:line="254" w:lineRule="auto"/>
        <w:tabs>
          <w:tab w:leader="none" w:pos="974" w:val="left"/>
        </w:tabs>
        <w:numPr>
          <w:ilvl w:val="1"/>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Piggyback on Registrations; Prohibition on Filing Other Registration Statements</w:t>
      </w:r>
      <w:r>
        <w:rPr>
          <w:rFonts w:ascii="Times New Roman" w:cs="Times New Roman" w:eastAsia="Times New Roman" w:hAnsi="Times New Roman"/>
          <w:sz w:val="16"/>
          <w:szCs w:val="16"/>
          <w:color w:val="auto"/>
        </w:rPr>
        <w:t>. Neither the Company nor any of its security holders (other than the Holders in such capacity pursuant hereto) may include securities of the Company in any Registration Statements other than the Registrable Securities. The Company shall not file any other registration statements until all Registrable Securities are registered pursuant to a Registration Statement that is declared effective by the Commission, provided that this Section 6(b) shall not prohibit the Company from filing (i) amendments to registration statements filed prior to the date of this Agreement so long as no new securities are registered on any such existing registration statements and (ii) a registration statement on Form S-8 relating to any employee or director equity incentive or benefit plan.</w:t>
      </w:r>
    </w:p>
    <w:p>
      <w:pPr>
        <w:spacing w:after="0" w:line="161" w:lineRule="exact"/>
        <w:rPr>
          <w:rFonts w:ascii="Times New Roman" w:cs="Times New Roman" w:eastAsia="Times New Roman" w:hAnsi="Times New Roman"/>
          <w:sz w:val="16"/>
          <w:szCs w:val="16"/>
          <w:color w:val="auto"/>
        </w:rPr>
      </w:pPr>
    </w:p>
    <w:p>
      <w:pPr>
        <w:jc w:val="both"/>
        <w:ind w:right="20" w:firstLine="745"/>
        <w:spacing w:after="0" w:line="275" w:lineRule="auto"/>
        <w:tabs>
          <w:tab w:leader="none" w:pos="965" w:val="left"/>
        </w:tabs>
        <w:numPr>
          <w:ilvl w:val="1"/>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Discontinued Disposition</w:t>
      </w:r>
      <w:r>
        <w:rPr>
          <w:rFonts w:ascii="Times New Roman" w:cs="Times New Roman" w:eastAsia="Times New Roman" w:hAnsi="Times New Roman"/>
          <w:sz w:val="15"/>
          <w:szCs w:val="15"/>
          <w:color w:val="auto"/>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Times New Roman" w:cs="Times New Roman" w:eastAsia="Times New Roman" w:hAnsi="Times New Roman"/>
          <w:sz w:val="15"/>
          <w:szCs w:val="15"/>
          <w:u w:val="single" w:color="auto"/>
          <w:color w:val="auto"/>
        </w:rPr>
        <w:t>Advice</w:t>
      </w:r>
      <w:r>
        <w:rPr>
          <w:rFonts w:ascii="Times New Roman" w:cs="Times New Roman" w:eastAsia="Times New Roman" w:hAnsi="Times New Roman"/>
          <w:sz w:val="15"/>
          <w:szCs w:val="15"/>
          <w:color w:val="auto"/>
        </w:rPr>
        <w:t>”) by the Company that the use of the applicable Prospectus (as it may have been supplemented or amended) may be resumed. The Company will use commercially reasonable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2(d).</w:t>
      </w:r>
    </w:p>
    <w:p>
      <w:pPr>
        <w:spacing w:after="0" w:line="147" w:lineRule="exact"/>
        <w:rPr>
          <w:rFonts w:ascii="Times New Roman" w:cs="Times New Roman" w:eastAsia="Times New Roman" w:hAnsi="Times New Roman"/>
          <w:sz w:val="15"/>
          <w:szCs w:val="15"/>
          <w:color w:val="auto"/>
        </w:rPr>
      </w:pPr>
    </w:p>
    <w:p>
      <w:pPr>
        <w:jc w:val="both"/>
        <w:ind w:firstLine="745"/>
        <w:spacing w:after="0" w:line="249" w:lineRule="auto"/>
        <w:tabs>
          <w:tab w:leader="none" w:pos="985" w:val="left"/>
        </w:tabs>
        <w:numPr>
          <w:ilvl w:val="1"/>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Amendments and Waivers</w:t>
      </w:r>
      <w:r>
        <w:rPr>
          <w:rFonts w:ascii="Times New Roman" w:cs="Times New Roman" w:eastAsia="Times New Roman" w:hAnsi="Times New Roman"/>
          <w:sz w:val="16"/>
          <w:szCs w:val="16"/>
          <w:color w:val="auto"/>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67% or more of the then outstanding Registrable Securities (for purposes of clarification, this includes any Registrable Securities issuable upon exercise or conversion of any Security),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provisions of this sentence may not be amended, modified, or supplemented except in accordance with the provisions of the first sentence of this Section 6(d). No consideration shall be offered or paid to any Person to amend or consent to a waiver or modification of any provision of this Agreement unless the same consideration also is offered to all of the parties to this Agreement.</w:t>
      </w:r>
    </w:p>
    <w:p>
      <w:pPr>
        <w:spacing w:after="0" w:line="169" w:lineRule="exact"/>
        <w:rPr>
          <w:rFonts w:ascii="Times New Roman" w:cs="Times New Roman" w:eastAsia="Times New Roman" w:hAnsi="Times New Roman"/>
          <w:sz w:val="16"/>
          <w:szCs w:val="16"/>
          <w:color w:val="auto"/>
        </w:rPr>
      </w:pPr>
    </w:p>
    <w:p>
      <w:pPr>
        <w:ind w:left="960" w:hanging="215"/>
        <w:spacing w:after="0"/>
        <w:tabs>
          <w:tab w:leader="none" w:pos="960" w:val="left"/>
        </w:tabs>
        <w:numPr>
          <w:ilvl w:val="1"/>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and all notices or other communications or deliveries required or permitted to be provided hereunder shall be delivered as set forth in the Purchase</w:t>
      </w:r>
    </w:p>
    <w:p>
      <w:pPr>
        <w:spacing w:after="0" w:line="2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Agreement.</w:t>
      </w:r>
    </w:p>
    <w:p>
      <w:pPr>
        <w:spacing w:after="0" w:line="200" w:lineRule="exact"/>
        <w:rPr>
          <w:sz w:val="20"/>
          <w:szCs w:val="20"/>
          <w:color w:val="auto"/>
        </w:rPr>
      </w:pPr>
    </w:p>
    <w:p>
      <w:pPr>
        <w:spacing w:after="0" w:line="289" w:lineRule="exact"/>
        <w:rPr>
          <w:sz w:val="20"/>
          <w:szCs w:val="20"/>
          <w:color w:val="auto"/>
        </w:rPr>
      </w:pPr>
    </w:p>
    <w:p>
      <w:pPr>
        <w:ind w:left="60"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4898-3127-1095, v.7 DOCPROPERTY "CUS_DocIDChunk0" 76095602.2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394335</wp:posOffset>
            </wp:positionV>
            <wp:extent cx="7174865"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143" w:name="page144"/>
    <w:bookmarkEnd w:id="143"/>
    <w:p>
      <w:pPr>
        <w:jc w:val="both"/>
        <w:ind w:left="-60" w:right="20" w:firstLine="745"/>
        <w:spacing w:after="0" w:line="256" w:lineRule="auto"/>
        <w:tabs>
          <w:tab w:leader="none" w:pos="899"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5.7 of the Purchase Agreement.</w:t>
      </w:r>
    </w:p>
    <w:p>
      <w:pPr>
        <w:spacing w:after="0" w:line="161" w:lineRule="exact"/>
        <w:rPr>
          <w:rFonts w:ascii="Times New Roman" w:cs="Times New Roman" w:eastAsia="Times New Roman" w:hAnsi="Times New Roman"/>
          <w:sz w:val="16"/>
          <w:szCs w:val="16"/>
          <w:color w:val="auto"/>
        </w:rPr>
      </w:pPr>
    </w:p>
    <w:p>
      <w:pPr>
        <w:jc w:val="both"/>
        <w:ind w:left="-60" w:firstLine="745"/>
        <w:spacing w:after="0" w:line="256" w:lineRule="auto"/>
        <w:tabs>
          <w:tab w:leader="none" w:pos="914"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Inconsistent Agreements</w:t>
      </w:r>
      <w:r>
        <w:rPr>
          <w:rFonts w:ascii="Times New Roman" w:cs="Times New Roman" w:eastAsia="Times New Roman" w:hAnsi="Times New Roman"/>
          <w:sz w:val="16"/>
          <w:szCs w:val="16"/>
          <w:color w:val="auto"/>
        </w:rPr>
        <w:t xml:space="preserve">.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Except as set forth on </w:t>
      </w:r>
      <w:r>
        <w:rPr>
          <w:rFonts w:ascii="Times New Roman" w:cs="Times New Roman" w:eastAsia="Times New Roman" w:hAnsi="Times New Roman"/>
          <w:sz w:val="16"/>
          <w:szCs w:val="16"/>
          <w:u w:val="single" w:color="auto"/>
          <w:color w:val="auto"/>
        </w:rPr>
        <w:t>Schedule 6(i)</w:t>
      </w:r>
      <w:r>
        <w:rPr>
          <w:rFonts w:ascii="Times New Roman" w:cs="Times New Roman" w:eastAsia="Times New Roman" w:hAnsi="Times New Roman"/>
          <w:sz w:val="16"/>
          <w:szCs w:val="16"/>
          <w:color w:val="auto"/>
        </w:rPr>
        <w:t>, neither the Company nor any of its Subsidiaries has previously entered into any agreement granting any registration rights with respect to any of its securities to any Person that have not been satisfied in full.</w:t>
      </w:r>
    </w:p>
    <w:p>
      <w:pPr>
        <w:spacing w:after="0" w:line="161" w:lineRule="exact"/>
        <w:rPr>
          <w:rFonts w:ascii="Times New Roman" w:cs="Times New Roman" w:eastAsia="Times New Roman" w:hAnsi="Times New Roman"/>
          <w:sz w:val="16"/>
          <w:szCs w:val="16"/>
          <w:color w:val="auto"/>
        </w:rPr>
      </w:pPr>
    </w:p>
    <w:p>
      <w:pPr>
        <w:jc w:val="both"/>
        <w:ind w:left="-60" w:firstLine="745"/>
        <w:spacing w:after="0" w:line="254" w:lineRule="auto"/>
        <w:tabs>
          <w:tab w:leader="none" w:pos="914"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Execution and Counterparts</w:t>
      </w:r>
      <w:r>
        <w:rPr>
          <w:rFonts w:ascii="Times New Roman" w:cs="Times New Roman" w:eastAsia="Times New Roman" w:hAnsi="Times New Roman"/>
          <w:sz w:val="16"/>
          <w:szCs w:val="16"/>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61" w:lineRule="exact"/>
        <w:rPr>
          <w:rFonts w:ascii="Times New Roman" w:cs="Times New Roman" w:eastAsia="Times New Roman" w:hAnsi="Times New Roman"/>
          <w:sz w:val="16"/>
          <w:szCs w:val="16"/>
          <w:color w:val="auto"/>
        </w:rPr>
      </w:pPr>
    </w:p>
    <w:p>
      <w:pPr>
        <w:ind w:left="-60" w:right="20" w:firstLine="745"/>
        <w:spacing w:after="0" w:line="276" w:lineRule="auto"/>
        <w:tabs>
          <w:tab w:leader="none" w:pos="879"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All questions concerning the construction, validity, enforcement and interpretation of this Agreement shall be determined in accordance with the provisions of the Purchase Agreement.</w:t>
      </w:r>
    </w:p>
    <w:p>
      <w:pPr>
        <w:spacing w:after="0" w:line="144" w:lineRule="exact"/>
        <w:rPr>
          <w:rFonts w:ascii="Times New Roman" w:cs="Times New Roman" w:eastAsia="Times New Roman" w:hAnsi="Times New Roman"/>
          <w:sz w:val="16"/>
          <w:szCs w:val="16"/>
          <w:color w:val="auto"/>
        </w:rPr>
      </w:pPr>
    </w:p>
    <w:p>
      <w:pPr>
        <w:ind w:left="880" w:hanging="195"/>
        <w:spacing w:after="0"/>
        <w:tabs>
          <w:tab w:leader="none" w:pos="880"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Cumulative Remedies</w:t>
      </w:r>
      <w:r>
        <w:rPr>
          <w:rFonts w:ascii="Times New Roman" w:cs="Times New Roman" w:eastAsia="Times New Roman" w:hAnsi="Times New Roman"/>
          <w:sz w:val="16"/>
          <w:szCs w:val="16"/>
          <w:color w:val="auto"/>
        </w:rPr>
        <w:t>. The remedies provided herein are cumulative and not exclusive of any other remedies provided by law.</w:t>
      </w:r>
    </w:p>
    <w:p>
      <w:pPr>
        <w:spacing w:after="0" w:line="194" w:lineRule="exact"/>
        <w:rPr>
          <w:rFonts w:ascii="Times New Roman" w:cs="Times New Roman" w:eastAsia="Times New Roman" w:hAnsi="Times New Roman"/>
          <w:sz w:val="16"/>
          <w:szCs w:val="16"/>
          <w:color w:val="auto"/>
        </w:rPr>
      </w:pPr>
    </w:p>
    <w:p>
      <w:pPr>
        <w:jc w:val="both"/>
        <w:ind w:left="-60" w:firstLine="745"/>
        <w:spacing w:after="0" w:line="254" w:lineRule="auto"/>
        <w:tabs>
          <w:tab w:leader="none" w:pos="937"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61" w:lineRule="exact"/>
        <w:rPr>
          <w:rFonts w:ascii="Times New Roman" w:cs="Times New Roman" w:eastAsia="Times New Roman" w:hAnsi="Times New Roman"/>
          <w:sz w:val="16"/>
          <w:szCs w:val="16"/>
          <w:color w:val="auto"/>
        </w:rPr>
      </w:pPr>
    </w:p>
    <w:p>
      <w:pPr>
        <w:ind w:left="-60" w:right="20" w:firstLine="745"/>
        <w:spacing w:after="0" w:line="276" w:lineRule="auto"/>
        <w:tabs>
          <w:tab w:leader="none" w:pos="879"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The headings in this Agreement are for convenience only, do not constitute a part of the Agreement and shall not be deemed to limit or affect any of the provisions hereof.</w:t>
      </w:r>
    </w:p>
    <w:p>
      <w:pPr>
        <w:spacing w:after="0" w:line="144" w:lineRule="exact"/>
        <w:rPr>
          <w:rFonts w:ascii="Times New Roman" w:cs="Times New Roman" w:eastAsia="Times New Roman" w:hAnsi="Times New Roman"/>
          <w:sz w:val="16"/>
          <w:szCs w:val="16"/>
          <w:color w:val="auto"/>
        </w:rPr>
      </w:pPr>
    </w:p>
    <w:p>
      <w:pPr>
        <w:jc w:val="both"/>
        <w:ind w:left="-60" w:firstLine="745"/>
        <w:spacing w:after="0" w:line="250" w:lineRule="auto"/>
        <w:tabs>
          <w:tab w:leader="none" w:pos="969"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Independent Nature of Holders’ Obligations and Rights</w:t>
      </w:r>
      <w:r>
        <w:rPr>
          <w:rFonts w:ascii="Times New Roman" w:cs="Times New Roman" w:eastAsia="Times New Roman" w:hAnsi="Times New Roman"/>
          <w:sz w:val="16"/>
          <w:szCs w:val="16"/>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w:t>
      </w:r>
    </w:p>
    <w:p>
      <w:pPr>
        <w:spacing w:after="0" w:line="287" w:lineRule="exact"/>
        <w:rPr>
          <w:sz w:val="20"/>
          <w:szCs w:val="20"/>
          <w:color w:val="auto"/>
        </w:rPr>
      </w:pPr>
    </w:p>
    <w:p>
      <w:pPr>
        <w:ind w:right="37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4898-3127-1095, v.7 DOCPROPERTY "CUS_DocIDChunk0" 76095602.2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394335</wp:posOffset>
            </wp:positionV>
            <wp:extent cx="7174865"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258" w:right="3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5"/>
          <w:szCs w:val="15"/>
          <w:color w:val="auto"/>
        </w:rPr>
        <w:t>the Company and a Holder, solely, and not between the Company and the Holders collectively and not between and among Holders.</w:t>
      </w:r>
    </w:p>
    <w:p>
      <w:pPr>
        <w:sectPr>
          <w:pgSz w:w="11900" w:h="16838" w:orient="portrait"/>
          <w:cols w:equalWidth="0" w:num="1">
            <w:col w:w="10139"/>
          </w:cols>
          <w:pgMar w:left="320" w:top="1258" w:right="1440" w:bottom="1440" w:gutter="0" w:footer="0" w:header="0"/>
        </w:sectPr>
      </w:pPr>
    </w:p>
    <w:p>
      <w:pPr>
        <w:spacing w:after="0" w:line="20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color w:val="auto"/>
        </w:rPr>
        <w:t>********************</w:t>
      </w:r>
    </w:p>
    <w:p>
      <w:pPr>
        <w:spacing w:after="0" w:line="19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b w:val="1"/>
          <w:bCs w:val="1"/>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right="2639"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4898-3127-1095, v.7 DOCPROPERTY "CUS_DocIDChunk0" 76095602.2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394335</wp:posOffset>
            </wp:positionV>
            <wp:extent cx="7174865"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1258" w:right="1440" w:bottom="1440" w:gutter="0" w:footer="0" w:header="0"/>
          <w:type w:val="continuous"/>
        </w:sectPr>
      </w:pPr>
    </w:p>
    <w:bookmarkStart w:id="145" w:name="page146"/>
    <w:bookmarkEnd w:id="145"/>
    <w:p>
      <w:pPr>
        <w:ind w:left="740"/>
        <w:spacing w:after="0"/>
        <w:rPr>
          <w:sz w:val="20"/>
          <w:szCs w:val="20"/>
          <w:color w:val="auto"/>
        </w:rPr>
      </w:pPr>
      <w:r>
        <w:rPr>
          <w:rFonts w:ascii="Times New Roman" w:cs="Times New Roman" w:eastAsia="Times New Roman" w:hAnsi="Times New Roman"/>
          <w:sz w:val="16"/>
          <w:szCs w:val="16"/>
          <w:color w:val="auto"/>
        </w:rPr>
        <w:t>IN WITNESS WHEREOF, the parties have executed this Registration Rights Agreement as of the date first written above.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DECOY THERAPEUTICS INC.</w:t>
            </w:r>
          </w:p>
        </w:tc>
        <w:tc>
          <w:tcPr>
            <w:tcW w:w="8660" w:type="dxa"/>
            <w:vAlign w:val="bottom"/>
          </w:tcPr>
          <w:p>
            <w:pPr>
              <w:spacing w:after="0"/>
              <w:rPr>
                <w:sz w:val="18"/>
                <w:szCs w:val="18"/>
                <w:color w:val="auto"/>
              </w:rPr>
            </w:pPr>
          </w:p>
        </w:tc>
      </w:tr>
      <w:tr>
        <w:trPr>
          <w:trHeight w:val="378"/>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8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 Frederick E. Pierce</w:t>
            </w:r>
          </w:p>
        </w:tc>
      </w:tr>
      <w:tr>
        <w:trPr>
          <w:trHeight w:val="165"/>
        </w:trPr>
        <w:tc>
          <w:tcPr>
            <w:tcW w:w="240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Name:</w:t>
            </w:r>
          </w:p>
        </w:tc>
        <w:tc>
          <w:tcPr>
            <w:tcW w:w="866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Frederick E. Pierce</w:t>
            </w:r>
          </w:p>
        </w:tc>
      </w:tr>
      <w:tr>
        <w:trPr>
          <w:trHeight w:val="206"/>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866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200" w:lineRule="exact"/>
        <w:rPr>
          <w:sz w:val="20"/>
          <w:szCs w:val="20"/>
          <w:color w:val="auto"/>
        </w:rPr>
      </w:pPr>
    </w:p>
    <w:p>
      <w:pPr>
        <w:spacing w:after="0" w:line="35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[SIGNATURE PAGE OF HOLDERS FOLLOWS]</w:t>
      </w:r>
    </w:p>
    <w:p>
      <w:pPr>
        <w:spacing w:after="0" w:line="317" w:lineRule="exact"/>
        <w:rPr>
          <w:sz w:val="20"/>
          <w:szCs w:val="20"/>
          <w:color w:val="auto"/>
        </w:rPr>
      </w:pPr>
    </w:p>
    <w:p>
      <w:pPr>
        <w:ind w:left="60" w:right="3560"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4898-3127-1095, v.7 DOCPROPERTY "CUS_DocIDChunk0" 76095602.2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394335</wp:posOffset>
            </wp:positionV>
            <wp:extent cx="7174865"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060"/>
          </w:cols>
          <w:pgMar w:left="320" w:top="1258" w:right="519" w:bottom="1440" w:gutter="0" w:footer="0" w:header="0"/>
        </w:sectPr>
      </w:pPr>
    </w:p>
    <w:bookmarkStart w:id="146" w:name="page147"/>
    <w:bookmarkEnd w:id="146"/>
    <w:p>
      <w:pPr>
        <w:spacing w:after="0" w:line="19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color w:val="auto"/>
        </w:rPr>
        <w:t>[SIGNATURE PAGE OF HOLDERS]</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Holder: __</w:t>
      </w:r>
      <w:r>
        <w:rPr>
          <w:rFonts w:ascii="Times New Roman" w:cs="Times New Roman" w:eastAsia="Times New Roman" w:hAnsi="Times New Roman"/>
          <w:sz w:val="16"/>
          <w:szCs w:val="16"/>
          <w:u w:val="single" w:color="auto"/>
          <w:color w:val="auto"/>
        </w:rPr>
        <w:t>___________________</w:t>
      </w:r>
      <w:r>
        <w:rPr>
          <w:rFonts w:ascii="Times New Roman" w:cs="Times New Roman" w:eastAsia="Times New Roman" w:hAnsi="Times New Roman"/>
          <w:sz w:val="16"/>
          <w:szCs w:val="16"/>
          <w:color w:val="auto"/>
        </w:rPr>
        <w:t>________________________</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Signature of Authorized Signatory of Holder</w:t>
      </w:r>
      <w:r>
        <w:rPr>
          <w:rFonts w:ascii="Times New Roman" w:cs="Times New Roman" w:eastAsia="Times New Roman" w:hAnsi="Times New Roman"/>
          <w:sz w:val="16"/>
          <w:szCs w:val="16"/>
          <w:color w:val="auto"/>
        </w:rPr>
        <w:t>: ____________________________________</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Authorized Signatory: _____</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of Authorized Signatory: _ 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-8255</wp:posOffset>
            </wp:positionV>
            <wp:extent cx="24765"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47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639" w:hanging="35"/>
        <w:spacing w:after="0" w:line="475"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4898-3127-1095, v.7 DOCPROPERTY "CUS_DocIDChunk0" 76095602.2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394335</wp:posOffset>
            </wp:positionV>
            <wp:extent cx="7174865" cy="406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7" w:name="page148"/>
    <w:bookmarkEnd w:id="147"/>
    <w:p>
      <w:pPr>
        <w:ind w:left="10440"/>
        <w:spacing w:after="0"/>
        <w:rPr>
          <w:sz w:val="20"/>
          <w:szCs w:val="20"/>
          <w:color w:val="auto"/>
        </w:rPr>
      </w:pPr>
      <w:r>
        <w:rPr>
          <w:rFonts w:ascii="Times New Roman" w:cs="Times New Roman" w:eastAsia="Times New Roman" w:hAnsi="Times New Roman"/>
          <w:sz w:val="15"/>
          <w:szCs w:val="15"/>
          <w:b w:val="1"/>
          <w:bCs w:val="1"/>
          <w:color w:val="auto"/>
        </w:rPr>
        <w:t>Exhibit 10.3</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Lock-Up Agreement</w:t>
      </w:r>
    </w:p>
    <w:p>
      <w:pPr>
        <w:spacing w:after="0" w:line="1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Curvature Securities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39 Main Street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Chatham, New Jersey 07928</w:t>
      </w:r>
    </w:p>
    <w:p>
      <w:pPr>
        <w:spacing w:after="0" w:line="3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Re: Decoy Therapeutics Inc.—Proposed Offering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90" w:lineRule="exact"/>
        <w:rPr>
          <w:sz w:val="20"/>
          <w:szCs w:val="20"/>
          <w:color w:val="auto"/>
        </w:rPr>
      </w:pPr>
    </w:p>
    <w:p>
      <w:pPr>
        <w:jc w:val="both"/>
        <w:ind w:firstLine="751"/>
        <w:spacing w:after="0" w:line="253" w:lineRule="auto"/>
        <w:rPr>
          <w:sz w:val="20"/>
          <w:szCs w:val="20"/>
          <w:color w:val="auto"/>
        </w:rPr>
      </w:pPr>
      <w:r>
        <w:rPr>
          <w:rFonts w:ascii="Times New Roman" w:cs="Times New Roman" w:eastAsia="Times New Roman" w:hAnsi="Times New Roman"/>
          <w:sz w:val="16"/>
          <w:szCs w:val="16"/>
          <w:color w:val="auto"/>
        </w:rPr>
        <w:t>The undersigned understands that Curvature Securities, LLC (the “</w:t>
      </w:r>
      <w:r>
        <w:rPr>
          <w:rFonts w:ascii="Times New Roman" w:cs="Times New Roman" w:eastAsia="Times New Roman" w:hAnsi="Times New Roman"/>
          <w:sz w:val="16"/>
          <w:szCs w:val="16"/>
          <w:b w:val="1"/>
          <w:bCs w:val="1"/>
          <w:i w:val="1"/>
          <w:iCs w:val="1"/>
          <w:color w:val="auto"/>
        </w:rPr>
        <w:t>Placement Agent</w:t>
      </w:r>
      <w:r>
        <w:rPr>
          <w:rFonts w:ascii="Times New Roman" w:cs="Times New Roman" w:eastAsia="Times New Roman" w:hAnsi="Times New Roman"/>
          <w:sz w:val="16"/>
          <w:szCs w:val="16"/>
          <w:color w:val="auto"/>
        </w:rPr>
        <w:t>”) propose to enter into or has entered into a Placement Agency Agreement (the “</w:t>
      </w:r>
      <w:r>
        <w:rPr>
          <w:rFonts w:ascii="Times New Roman" w:cs="Times New Roman" w:eastAsia="Times New Roman" w:hAnsi="Times New Roman"/>
          <w:sz w:val="16"/>
          <w:szCs w:val="16"/>
          <w:b w:val="1"/>
          <w:bCs w:val="1"/>
          <w:i w:val="1"/>
          <w:iCs w:val="1"/>
          <w:color w:val="auto"/>
        </w:rPr>
        <w:t>Placement Agency Agreement</w:t>
      </w:r>
      <w:r>
        <w:rPr>
          <w:rFonts w:ascii="Times New Roman" w:cs="Times New Roman" w:eastAsia="Times New Roman" w:hAnsi="Times New Roman"/>
          <w:sz w:val="16"/>
          <w:szCs w:val="16"/>
          <w:color w:val="auto"/>
        </w:rPr>
        <w:t>”) providing for the offer and sale (the “</w:t>
      </w:r>
      <w:r>
        <w:rPr>
          <w:rFonts w:ascii="Times New Roman" w:cs="Times New Roman" w:eastAsia="Times New Roman" w:hAnsi="Times New Roman"/>
          <w:sz w:val="16"/>
          <w:szCs w:val="16"/>
          <w:b w:val="1"/>
          <w:bCs w:val="1"/>
          <w:i w:val="1"/>
          <w:iCs w:val="1"/>
          <w:color w:val="auto"/>
        </w:rPr>
        <w:t>Offering</w:t>
      </w:r>
      <w:r>
        <w:rPr>
          <w:rFonts w:ascii="Times New Roman" w:cs="Times New Roman" w:eastAsia="Times New Roman" w:hAnsi="Times New Roman"/>
          <w:sz w:val="16"/>
          <w:szCs w:val="16"/>
          <w:color w:val="auto"/>
        </w:rPr>
        <w:t>”) of (a) shares of common stock, par value $0.0001 per share (the “</w:t>
      </w:r>
      <w:r>
        <w:rPr>
          <w:rFonts w:ascii="Times New Roman" w:cs="Times New Roman" w:eastAsia="Times New Roman" w:hAnsi="Times New Roman"/>
          <w:sz w:val="16"/>
          <w:szCs w:val="16"/>
          <w:b w:val="1"/>
          <w:bCs w:val="1"/>
          <w:i w:val="1"/>
          <w:iCs w:val="1"/>
          <w:color w:val="auto"/>
        </w:rPr>
        <w:t>Common Stock</w:t>
      </w:r>
      <w:r>
        <w:rPr>
          <w:rFonts w:ascii="Times New Roman" w:cs="Times New Roman" w:eastAsia="Times New Roman" w:hAnsi="Times New Roman"/>
          <w:sz w:val="16"/>
          <w:szCs w:val="16"/>
          <w:color w:val="auto"/>
        </w:rPr>
        <w:t>”), of Decoy Therapeutics Inc.,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pre-funded warrants (the “</w:t>
      </w:r>
      <w:r>
        <w:rPr>
          <w:rFonts w:ascii="Times New Roman" w:cs="Times New Roman" w:eastAsia="Times New Roman" w:hAnsi="Times New Roman"/>
          <w:sz w:val="16"/>
          <w:szCs w:val="16"/>
          <w:b w:val="1"/>
          <w:bCs w:val="1"/>
          <w:color w:val="auto"/>
        </w:rPr>
        <w:t>Pre-Funded Warrants</w:t>
      </w:r>
      <w:r>
        <w:rPr>
          <w:rFonts w:ascii="Times New Roman" w:cs="Times New Roman" w:eastAsia="Times New Roman" w:hAnsi="Times New Roman"/>
          <w:sz w:val="16"/>
          <w:szCs w:val="16"/>
          <w:color w:val="auto"/>
        </w:rPr>
        <w:t>”) and accompanying (b)(i) Series A common warrants to purchase shares of Common Stock (the “</w:t>
      </w:r>
      <w:r>
        <w:rPr>
          <w:rFonts w:ascii="Times New Roman" w:cs="Times New Roman" w:eastAsia="Times New Roman" w:hAnsi="Times New Roman"/>
          <w:sz w:val="16"/>
          <w:szCs w:val="16"/>
          <w:b w:val="1"/>
          <w:bCs w:val="1"/>
          <w:color w:val="auto"/>
        </w:rPr>
        <w:t>Series A Warrants</w:t>
      </w:r>
      <w:r>
        <w:rPr>
          <w:rFonts w:ascii="Times New Roman" w:cs="Times New Roman" w:eastAsia="Times New Roman" w:hAnsi="Times New Roman"/>
          <w:sz w:val="16"/>
          <w:szCs w:val="16"/>
          <w:color w:val="auto"/>
        </w:rPr>
        <w:t>”), (ii) Series B common warrants to purchase shares of Common Stock (the “</w:t>
      </w:r>
      <w:r>
        <w:rPr>
          <w:rFonts w:ascii="Times New Roman" w:cs="Times New Roman" w:eastAsia="Times New Roman" w:hAnsi="Times New Roman"/>
          <w:sz w:val="16"/>
          <w:szCs w:val="16"/>
          <w:b w:val="1"/>
          <w:bCs w:val="1"/>
          <w:color w:val="auto"/>
        </w:rPr>
        <w:t>Series B Warrants</w:t>
      </w:r>
      <w:r>
        <w:rPr>
          <w:rFonts w:ascii="Times New Roman" w:cs="Times New Roman" w:eastAsia="Times New Roman" w:hAnsi="Times New Roman"/>
          <w:sz w:val="16"/>
          <w:szCs w:val="16"/>
          <w:color w:val="auto"/>
        </w:rPr>
        <w:t>”), and (iii) Series C common warrants to purchase shares of Common Stock (the “</w:t>
      </w:r>
      <w:r>
        <w:rPr>
          <w:rFonts w:ascii="Times New Roman" w:cs="Times New Roman" w:eastAsia="Times New Roman" w:hAnsi="Times New Roman"/>
          <w:sz w:val="16"/>
          <w:szCs w:val="16"/>
          <w:b w:val="1"/>
          <w:bCs w:val="1"/>
          <w:color w:val="auto"/>
        </w:rPr>
        <w:t>Series C Warrants</w:t>
      </w:r>
      <w:r>
        <w:rPr>
          <w:rFonts w:ascii="Times New Roman" w:cs="Times New Roman" w:eastAsia="Times New Roman" w:hAnsi="Times New Roman"/>
          <w:sz w:val="16"/>
          <w:szCs w:val="16"/>
          <w:color w:val="auto"/>
        </w:rPr>
        <w:t>”, and collectively with the Series A Warrants and Series B Warrants, the “</w:t>
      </w:r>
      <w:r>
        <w:rPr>
          <w:rFonts w:ascii="Times New Roman" w:cs="Times New Roman" w:eastAsia="Times New Roman" w:hAnsi="Times New Roman"/>
          <w:sz w:val="16"/>
          <w:szCs w:val="16"/>
          <w:b w:val="1"/>
          <w:bCs w:val="1"/>
          <w:color w:val="auto"/>
        </w:rPr>
        <w:t>Warrants</w:t>
      </w:r>
      <w:r>
        <w:rPr>
          <w:rFonts w:ascii="Times New Roman" w:cs="Times New Roman" w:eastAsia="Times New Roman" w:hAnsi="Times New Roman"/>
          <w:sz w:val="16"/>
          <w:szCs w:val="16"/>
          <w:color w:val="auto"/>
        </w:rPr>
        <w:t>” and the Warrants, together with the Pre-Funded Warrants and the Shares, the “</w:t>
      </w:r>
      <w:r>
        <w:rPr>
          <w:rFonts w:ascii="Times New Roman" w:cs="Times New Roman" w:eastAsia="Times New Roman" w:hAnsi="Times New Roman"/>
          <w:sz w:val="16"/>
          <w:szCs w:val="16"/>
          <w:b w:val="1"/>
          <w:bCs w:val="1"/>
          <w:color w:val="auto"/>
        </w:rPr>
        <w:t>Securities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firstLine="751"/>
        <w:spacing w:after="0" w:line="249" w:lineRule="auto"/>
        <w:rPr>
          <w:sz w:val="20"/>
          <w:szCs w:val="20"/>
          <w:color w:val="auto"/>
        </w:rPr>
      </w:pPr>
      <w:r>
        <w:rPr>
          <w:rFonts w:ascii="Times New Roman" w:cs="Times New Roman" w:eastAsia="Times New Roman" w:hAnsi="Times New Roman"/>
          <w:sz w:val="16"/>
          <w:szCs w:val="16"/>
          <w:color w:val="auto"/>
        </w:rPr>
        <w:t>In consideration of the execution of the Placement Agency Agreement by Curvature Securities, and for other good and valuable consideration, the undersigned hereby irrevocably agrees that, without the prior written consent of Curvature Securities, the undersigned will not, directly or indirectly, (a) offer for sale, sell, pledge, or otherwise transfer or dispose of (or enter into any transaction that is designed to, or could reasonably be expected to, result in the transfer or disposition by any person at any time in the future of) any shares of Common Stock (including, without limitation, shares of Common Stock that may be deemed to be beneficially owned by the undersigned in accordance with the rules and regulations of the Securities and Exchange Commission and shares of Common Stock that may be issued upon exercise of any options or warrants) or securities convertible into or exercisable or exchangeable for Common Stock; (b) enter into any swap or other derivatives transaction that transfers to another, in whole or in part, any of the economic benefits or risks of ownership of shares of Common Stock, whether any such transaction described in clause (a) or (b) above is to be settled by delivery of Common Stock or other securities, in cash or otherwise; (c) except as provided for below, make any demand for or exercise any right or cause to be filed a registration statement, including any amendments thereto, with respect to the registration of any shares of Common Stock or securities convertible into or exercisable or exchangeable for Common Stock or any other securities of the Company; or (d) publicly disclose the intention to do any of the foregoing for a period commencing on the date hereof and ending ninety (90) days after the date of the Closing Date (as defined in the Purchase Agreement) (such 90-day period, the “</w:t>
      </w:r>
      <w:r>
        <w:rPr>
          <w:rFonts w:ascii="Times New Roman" w:cs="Times New Roman" w:eastAsia="Times New Roman" w:hAnsi="Times New Roman"/>
          <w:sz w:val="16"/>
          <w:szCs w:val="16"/>
          <w:b w:val="1"/>
          <w:bCs w:val="1"/>
          <w:i w:val="1"/>
          <w:iCs w:val="1"/>
          <w:color w:val="auto"/>
        </w:rPr>
        <w:t>Lock-Up Period</w:t>
      </w:r>
      <w:r>
        <w:rPr>
          <w:rFonts w:ascii="Times New Roman" w:cs="Times New Roman" w:eastAsia="Times New Roman" w:hAnsi="Times New Roman"/>
          <w:sz w:val="16"/>
          <w:szCs w:val="16"/>
          <w:color w:val="auto"/>
        </w:rPr>
        <w:t>”).</w:t>
      </w:r>
    </w:p>
    <w:p>
      <w:pPr>
        <w:spacing w:after="0" w:line="171" w:lineRule="exact"/>
        <w:rPr>
          <w:sz w:val="20"/>
          <w:szCs w:val="20"/>
          <w:color w:val="auto"/>
        </w:rPr>
      </w:pPr>
    </w:p>
    <w:p>
      <w:pPr>
        <w:jc w:val="both"/>
        <w:ind w:firstLine="751"/>
        <w:spacing w:after="0" w:line="250" w:lineRule="auto"/>
        <w:rPr>
          <w:sz w:val="20"/>
          <w:szCs w:val="20"/>
          <w:color w:val="auto"/>
        </w:rPr>
      </w:pPr>
      <w:r>
        <w:rPr>
          <w:rFonts w:ascii="Times New Roman" w:cs="Times New Roman" w:eastAsia="Times New Roman" w:hAnsi="Times New Roman"/>
          <w:sz w:val="16"/>
          <w:szCs w:val="16"/>
          <w:color w:val="auto"/>
        </w:rPr>
        <w:t>The foregoing paragraph shall not apply to (a) transactions relating to shares of Common Stock or other securities acquired in the open market after the completion of the Offering; (b) bona fide gifts of shares of Common Stock or any security convertible into Common Stock, in each case that are made exclusively between and among the undersigned or members of the undersigned’s family, or affiliates of the undersigned, including its partners (if a partnership) or members (if a limited liability company); (c) any transfer of shares of Common Stock or any security convertible into Common Stock by will or intestate succession upon the death of the undersigned; (d) transfer of shares of Common Stock or any security convertible into Common Stock to an immediate family member (for purposes of this Lock-Up Letter Agreement, “</w:t>
      </w:r>
      <w:r>
        <w:rPr>
          <w:rFonts w:ascii="Times New Roman" w:cs="Times New Roman" w:eastAsia="Times New Roman" w:hAnsi="Times New Roman"/>
          <w:sz w:val="16"/>
          <w:szCs w:val="16"/>
          <w:b w:val="1"/>
          <w:bCs w:val="1"/>
          <w:color w:val="auto"/>
        </w:rPr>
        <w:t>immediate family</w:t>
      </w:r>
      <w:r>
        <w:rPr>
          <w:rFonts w:ascii="Times New Roman" w:cs="Times New Roman" w:eastAsia="Times New Roman" w:hAnsi="Times New Roman"/>
          <w:sz w:val="16"/>
          <w:szCs w:val="16"/>
          <w:color w:val="auto"/>
        </w:rPr>
        <w:t xml:space="preserve">” shall mean any relationship by blood, marriage or adoption, not more remote than first cousin) or any trust, limited partnership, limited liability company or other entity for the direct or indirect benefit of the undersigned or any immediate family member of the undersigned;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case of clauses (b), (c) and (d) above, it shall be a condition to any such transfer that (i) the transferee/donee agrees to be bound by the terms of this Lock-Up Letter Agreement (including, without limitation, the restrictions set forth in the preceding sentence) to the same extent as if the transferee/donee were a party hereto; (ii) each party (donor, donee, transferor or transferee) shall not be required by law (including without limitation the disclosure requirements of the</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76095635.1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6"/>
          <w:szCs w:val="16"/>
          <w:b w:val="1"/>
          <w:bCs w:val="1"/>
          <w:color w:val="auto"/>
        </w:rPr>
        <w:t>Exhibit 10.3</w:t>
      </w:r>
    </w:p>
    <w:p>
      <w:pPr>
        <w:spacing w:after="0" w:line="3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Securities Act of 1933, as amended (the “</w:t>
      </w:r>
      <w:r>
        <w:rPr>
          <w:rFonts w:ascii="Times New Roman" w:cs="Times New Roman" w:eastAsia="Times New Roman" w:hAnsi="Times New Roman"/>
          <w:sz w:val="15"/>
          <w:szCs w:val="15"/>
          <w:b w:val="1"/>
          <w:bCs w:val="1"/>
          <w:i w:val="1"/>
          <w:iCs w:val="1"/>
          <w:color w:val="auto"/>
        </w:rPr>
        <w:t>Securities Act</w:t>
      </w:r>
      <w:r>
        <w:rPr>
          <w:rFonts w:ascii="Times New Roman" w:cs="Times New Roman" w:eastAsia="Times New Roman" w:hAnsi="Times New Roman"/>
          <w:sz w:val="15"/>
          <w:szCs w:val="15"/>
          <w:color w:val="auto"/>
        </w:rPr>
        <w:t>”), and the Securities Exchange Act of 1934, as amended (the “</w:t>
      </w:r>
      <w:r>
        <w:rPr>
          <w:rFonts w:ascii="Times New Roman" w:cs="Times New Roman" w:eastAsia="Times New Roman" w:hAnsi="Times New Roman"/>
          <w:sz w:val="15"/>
          <w:szCs w:val="15"/>
          <w:b w:val="1"/>
          <w:bCs w:val="1"/>
          <w:i w:val="1"/>
          <w:iCs w:val="1"/>
          <w:color w:val="auto"/>
        </w:rPr>
        <w:t>Exchange Act</w:t>
      </w:r>
      <w:r>
        <w:rPr>
          <w:rFonts w:ascii="Times New Roman" w:cs="Times New Roman" w:eastAsia="Times New Roman" w:hAnsi="Times New Roman"/>
          <w:sz w:val="15"/>
          <w:szCs w:val="15"/>
          <w:color w:val="auto"/>
        </w:rPr>
        <w:t xml:space="preserve">”)) to make, and shall agree to not voluntarily make, any filing or public announcement of the transfer or disposition prior to the expiration of the 90-day period referred to above; and (iii) the undersigned notifies the Placement Agent at least two (2) business days prior to the proposed transfer or disposition; (e) the transfer of shares to the Company to satisfy withholding obligations for any equity award granted pursuant to the terms of the Company’s stock option/incentive plans, such as upon exercise, vesting, lapse of substantial risk of forfeiture, or other similar taxable event, in each case on a “cashless” or “net exercise” basis (which, for the avoidance of doubt shall not include “cashless” exercise programs involving a broker or other third party),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as a condition of any transfer pursuant to this clause (e), that if the undersigned is required to file a report under Section 16(a) of the Exchange Act, reporting a reduction in beneficial ownership of shares of Common Stock or any securities convertible into or exercisable or exchangeable for Common Stock during the Lock-Up Period, the undersigned shall include a statement in such report, and if applicable an appropriate disposition transaction code, to the effect that such transfer is being made as a share delivery or forfeiture in connection with a net value exercise, or as a forfeiture or sale of shares solely to cover required tax withholding, as the case may be; (f) transfers of shares of Common Stock or any security convertible into or exercisable or exchangeable for Common Stock pursuant to a bona fide third party tender offer made to all holders of the Common Stock, merger, consolidation or other similar transaction involving a change of control (as defined below) of the Company, including voting in favor of any such transaction or taking any other action in connection with such transaction,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in the event that such merger, tender offer or other transaction is not completed, the Common Stock and any security convertible into or exercisable or exchangeable for Common Stock shall remain subject to the restrictions set forth herein; (g) the vesting of equity awards, the exercise of warrants or the exercise of stock options granted pursuant to the Company’s stock option/incentive plans or otherwise outstanding on the date hereof;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the restrictions shall apply to shares of Common Stock issued upon such vesting, exercise or conversion; (h) the establishment of any, or the continued use of any existing, contract, instruction or plan that satisfies all of the requirements of Rule 10b5-1 (a “</w:t>
      </w:r>
      <w:r>
        <w:rPr>
          <w:rFonts w:ascii="Times New Roman" w:cs="Times New Roman" w:eastAsia="Times New Roman" w:hAnsi="Times New Roman"/>
          <w:sz w:val="15"/>
          <w:szCs w:val="15"/>
          <w:b w:val="1"/>
          <w:bCs w:val="1"/>
          <w:i w:val="1"/>
          <w:iCs w:val="1"/>
          <w:color w:val="auto"/>
        </w:rPr>
        <w:t>Rule 10b5-1 Plan</w:t>
      </w:r>
      <w:r>
        <w:rPr>
          <w:rFonts w:ascii="Times New Roman" w:cs="Times New Roman" w:eastAsia="Times New Roman" w:hAnsi="Times New Roman"/>
          <w:sz w:val="15"/>
          <w:szCs w:val="15"/>
          <w:color w:val="auto"/>
        </w:rPr>
        <w:t xml:space="preserve">”) under the Exchange Act;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xml:space="preserve">, that except for already existing plans, no sales of Common Stock or securities convertible into, or exchangeable or exercisable for, Common Stock, shall be made pursuant to a Rule 10b5-1 Plan prior to the expiration of the Lock-Up Period; </w:t>
      </w:r>
      <w:r>
        <w:rPr>
          <w:rFonts w:ascii="Times New Roman" w:cs="Times New Roman" w:eastAsia="Times New Roman" w:hAnsi="Times New Roman"/>
          <w:sz w:val="15"/>
          <w:szCs w:val="15"/>
          <w:i w:val="1"/>
          <w:iCs w:val="1"/>
          <w:color w:val="auto"/>
        </w:rPr>
        <w:t>provided further</w:t>
      </w:r>
      <w:r>
        <w:rPr>
          <w:rFonts w:ascii="Times New Roman" w:cs="Times New Roman" w:eastAsia="Times New Roman" w:hAnsi="Times New Roman"/>
          <w:sz w:val="15"/>
          <w:szCs w:val="15"/>
          <w:color w:val="auto"/>
        </w:rPr>
        <w:t>, that the Company is not required to report the establishment of such Rule 10b5-1 Plan in any public report or filing with the Commission under the Exchange Act during the lock-up period and does not otherwise voluntarily effect any such public filing or report regarding such Rule 10b5-1 Plan; and (i) any demands or requests for, exercise any right with respect to, or take any action in preparation of, the registration by the Company under the Securities Act of the undersigned’s shares of Common Stock, provided that no transfer of the undersigned’s shares of Common Stock registered pursuant to the exercise of any such right and no registration statement shall be filed under the Securities Act with respect to any of the undersigned’s shares of Common Stock during the Lock-Up Period. For purposes of clause (f) above, “</w:t>
      </w:r>
      <w:r>
        <w:rPr>
          <w:rFonts w:ascii="Times New Roman" w:cs="Times New Roman" w:eastAsia="Times New Roman" w:hAnsi="Times New Roman"/>
          <w:sz w:val="15"/>
          <w:szCs w:val="15"/>
          <w:b w:val="1"/>
          <w:bCs w:val="1"/>
          <w:color w:val="auto"/>
        </w:rPr>
        <w:t>change of control</w:t>
      </w:r>
      <w:r>
        <w:rPr>
          <w:rFonts w:ascii="Times New Roman" w:cs="Times New Roman" w:eastAsia="Times New Roman" w:hAnsi="Times New Roman"/>
          <w:sz w:val="15"/>
          <w:szCs w:val="15"/>
          <w:color w:val="auto"/>
        </w:rPr>
        <w:t>” shall mean the consummation of any bona fide third party tender offer, merger, purchase, consolidation or other similar transaction the result of which is that any “</w:t>
      </w:r>
      <w:r>
        <w:rPr>
          <w:rFonts w:ascii="Times New Roman" w:cs="Times New Roman" w:eastAsia="Times New Roman" w:hAnsi="Times New Roman"/>
          <w:sz w:val="15"/>
          <w:szCs w:val="15"/>
          <w:b w:val="1"/>
          <w:bCs w:val="1"/>
          <w:color w:val="auto"/>
        </w:rPr>
        <w:t>person</w:t>
      </w:r>
      <w:r>
        <w:rPr>
          <w:rFonts w:ascii="Times New Roman" w:cs="Times New Roman" w:eastAsia="Times New Roman" w:hAnsi="Times New Roman"/>
          <w:sz w:val="15"/>
          <w:szCs w:val="15"/>
          <w:color w:val="auto"/>
        </w:rPr>
        <w:t>” (as defined in Section 13(d)(3) of the Exchange Act), or group of persons, becomes the beneficial owner (as defined in Rules 13d-3 and 13d-5 of the Exchange Act) of a majority of total voting power of the voting stock of the Company.</w:t>
      </w:r>
    </w:p>
    <w:p>
      <w:pPr>
        <w:spacing w:after="0" w:line="353" w:lineRule="exact"/>
        <w:rPr>
          <w:sz w:val="20"/>
          <w:szCs w:val="20"/>
          <w:color w:val="auto"/>
        </w:rPr>
      </w:pPr>
    </w:p>
    <w:p>
      <w:pPr>
        <w:jc w:val="both"/>
        <w:ind w:firstLine="751"/>
        <w:spacing w:after="0" w:line="276" w:lineRule="auto"/>
        <w:rPr>
          <w:sz w:val="20"/>
          <w:szCs w:val="20"/>
          <w:color w:val="auto"/>
        </w:rPr>
      </w:pPr>
      <w:r>
        <w:rPr>
          <w:rFonts w:ascii="Times New Roman" w:cs="Times New Roman" w:eastAsia="Times New Roman" w:hAnsi="Times New Roman"/>
          <w:sz w:val="16"/>
          <w:szCs w:val="16"/>
          <w:color w:val="auto"/>
        </w:rPr>
        <w:t>The undersigned also agrees and consents to the entry of stop transfer instructions with the Company’s transfer agent and registrar against the transfer of the undersigned’s securities subject to this Lock-Up Letter Agreement except in compliance with this Lock-Up Letter Agreement.</w:t>
      </w:r>
    </w:p>
    <w:p>
      <w:pPr>
        <w:spacing w:after="0" w:line="145" w:lineRule="exact"/>
        <w:rPr>
          <w:sz w:val="20"/>
          <w:szCs w:val="20"/>
          <w:color w:val="auto"/>
        </w:rPr>
      </w:pPr>
    </w:p>
    <w:p>
      <w:pPr>
        <w:jc w:val="both"/>
        <w:ind w:right="20" w:firstLine="751"/>
        <w:spacing w:after="0" w:line="261" w:lineRule="auto"/>
        <w:rPr>
          <w:sz w:val="20"/>
          <w:szCs w:val="20"/>
          <w:color w:val="auto"/>
        </w:rPr>
      </w:pPr>
      <w:r>
        <w:rPr>
          <w:rFonts w:ascii="Times New Roman" w:cs="Times New Roman" w:eastAsia="Times New Roman" w:hAnsi="Times New Roman"/>
          <w:sz w:val="16"/>
          <w:szCs w:val="16"/>
          <w:color w:val="auto"/>
        </w:rPr>
        <w:t>It is understood that, if the Company notifies the Placement Agent that it does not intend to proceed with the Offering, if the Placement Agency Agreement does not become effective, or if the Placement Agency Agreement (other than the provisions thereof which survive termination) shall terminate or be terminated prior to payment for and delivery of the Securities, the undersigned will be released from its obligations under this Lock-Up Letter Agreement.</w:t>
      </w:r>
    </w:p>
    <w:p>
      <w:pPr>
        <w:spacing w:after="0" w:line="1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undersigned understands that the Company and the Placement Agent will proceed with the Offering in reliance on this Lock-Up Letter Agreement.</w:t>
      </w:r>
    </w:p>
    <w:p>
      <w:pPr>
        <w:spacing w:after="0" w:line="194" w:lineRule="exact"/>
        <w:rPr>
          <w:sz w:val="20"/>
          <w:szCs w:val="20"/>
          <w:color w:val="auto"/>
        </w:rPr>
      </w:pPr>
    </w:p>
    <w:p>
      <w:pPr>
        <w:jc w:val="both"/>
        <w:ind w:firstLine="751"/>
        <w:spacing w:after="0" w:line="261" w:lineRule="auto"/>
        <w:rPr>
          <w:sz w:val="20"/>
          <w:szCs w:val="20"/>
          <w:color w:val="auto"/>
        </w:rPr>
      </w:pPr>
      <w:r>
        <w:rPr>
          <w:rFonts w:ascii="Times New Roman" w:cs="Times New Roman" w:eastAsia="Times New Roman" w:hAnsi="Times New Roman"/>
          <w:sz w:val="16"/>
          <w:szCs w:val="16"/>
          <w:color w:val="auto"/>
        </w:rPr>
        <w:t>This Lock-Up Letter Agreement shall automatically terminate upon (a) the termination of the Placement Agency Agreement prior to the issuance and delivery of the Securities, (b) the date that either the Company or the Placement Agent provides written notice to the other that it has determined not to proceed with the proposed Offering and, with respect to the Company, is terminating this Lock-Up Letter Agreement on behalf of all of the Company’s</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76095635.1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6"/>
          <w:szCs w:val="16"/>
          <w:b w:val="1"/>
          <w:bCs w:val="1"/>
          <w:color w:val="auto"/>
        </w:rPr>
        <w:t>Exhibit 10.3</w:t>
      </w:r>
    </w:p>
    <w:p>
      <w:pPr>
        <w:spacing w:after="0" w:line="38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holders of securities subject to a Lock-Up Letter Agreement, provided that the Company and the Placement Agentshall not have executed the Placement Agency Agreement on or prior to such date. Notwithstanding anything herein to the contrary, this Lock-Up Letter Agreement shall lapse and become null and void if the closing of the Offering shall not have occurred on or before July 31, 2026.</w:t>
      </w:r>
    </w:p>
    <w:p>
      <w:pPr>
        <w:spacing w:after="0" w:line="157" w:lineRule="exact"/>
        <w:rPr>
          <w:sz w:val="20"/>
          <w:szCs w:val="20"/>
          <w:color w:val="auto"/>
        </w:rPr>
      </w:pPr>
    </w:p>
    <w:p>
      <w:pPr>
        <w:jc w:val="both"/>
        <w:ind w:firstLine="751"/>
        <w:spacing w:after="0" w:line="275" w:lineRule="auto"/>
        <w:rPr>
          <w:sz w:val="20"/>
          <w:szCs w:val="20"/>
          <w:color w:val="auto"/>
        </w:rPr>
      </w:pPr>
      <w:r>
        <w:rPr>
          <w:rFonts w:ascii="Times New Roman" w:cs="Times New Roman" w:eastAsia="Times New Roman" w:hAnsi="Times New Roman"/>
          <w:sz w:val="15"/>
          <w:szCs w:val="15"/>
          <w:color w:val="auto"/>
        </w:rPr>
        <w:t>The undersigned acknowledges that the execution, delivery and performance of this Lock-Up Agreement is also material inducement to each Purchaser (as defined in the Securities Purchase Agreement entered into by the Company and each Purchaser named therein connection with the purchase of the Securities (the “</w:t>
      </w:r>
      <w:r>
        <w:rPr>
          <w:rFonts w:ascii="Times New Roman" w:cs="Times New Roman" w:eastAsia="Times New Roman" w:hAnsi="Times New Roman"/>
          <w:sz w:val="15"/>
          <w:szCs w:val="15"/>
          <w:b w:val="1"/>
          <w:bCs w:val="1"/>
          <w:i w:val="1"/>
          <w:iCs w:val="1"/>
          <w:color w:val="auto"/>
        </w:rPr>
        <w:t>Purchase Agreement</w:t>
      </w:r>
      <w:r>
        <w:rPr>
          <w:rFonts w:ascii="Times New Roman" w:cs="Times New Roman" w:eastAsia="Times New Roman" w:hAnsi="Times New Roman"/>
          <w:sz w:val="15"/>
          <w:szCs w:val="15"/>
          <w:color w:val="auto"/>
        </w:rPr>
        <w:t>”) to complete the transactions contemplated by the Purchase Agreement and that the Company shall be entitled to specific performance of the undersigned’s obligations hereunder. The undersigned hereby represents that the undersigned has the power and authority to execute, deliver and perform this Lock-Up Agreement, that the undersigned has received adequate consideration therefor and that the undersigned will indirectly benefit from the closing of the transactions contemplated by the Purchase Agreement.</w:t>
      </w:r>
    </w:p>
    <w:p>
      <w:pPr>
        <w:spacing w:after="0" w:line="147" w:lineRule="exact"/>
        <w:rPr>
          <w:sz w:val="20"/>
          <w:szCs w:val="20"/>
          <w:color w:val="auto"/>
        </w:rPr>
      </w:pPr>
    </w:p>
    <w:p>
      <w:pPr>
        <w:jc w:val="both"/>
        <w:ind w:right="20" w:firstLine="751"/>
        <w:spacing w:after="0" w:line="276" w:lineRule="auto"/>
        <w:rPr>
          <w:sz w:val="20"/>
          <w:szCs w:val="20"/>
          <w:color w:val="auto"/>
        </w:rPr>
      </w:pPr>
      <w:r>
        <w:rPr>
          <w:rFonts w:ascii="Times New Roman" w:cs="Times New Roman" w:eastAsia="Times New Roman" w:hAnsi="Times New Roman"/>
          <w:sz w:val="16"/>
          <w:szCs w:val="16"/>
          <w:color w:val="auto"/>
        </w:rPr>
        <w:t>The undersigned understands and agrees that this Lock-Up Agreement is irrevocable and shall be binding upon the undersigned’s heirs, legal representatives, successors, and assigns.</w:t>
      </w:r>
    </w:p>
    <w:p>
      <w:pPr>
        <w:spacing w:after="0" w:line="145" w:lineRule="exact"/>
        <w:rPr>
          <w:sz w:val="20"/>
          <w:szCs w:val="20"/>
          <w:color w:val="auto"/>
        </w:rPr>
      </w:pPr>
    </w:p>
    <w:p>
      <w:pPr>
        <w:jc w:val="both"/>
        <w:ind w:right="20" w:firstLine="751"/>
        <w:spacing w:after="0" w:line="276" w:lineRule="auto"/>
        <w:rPr>
          <w:sz w:val="20"/>
          <w:szCs w:val="20"/>
          <w:color w:val="auto"/>
        </w:rPr>
      </w:pPr>
      <w:r>
        <w:rPr>
          <w:rFonts w:ascii="Times New Roman" w:cs="Times New Roman" w:eastAsia="Times New Roman" w:hAnsi="Times New Roman"/>
          <w:sz w:val="16"/>
          <w:szCs w:val="16"/>
          <w:color w:val="auto"/>
        </w:rPr>
        <w:t>This Lock-Up Letter Agreement shall be governed by and construed in accordance with the laws of the State of New York, without regard to the conflict of laws principles thereof. Delivery of a signed copy of this Lock-Up Letter Agreement by facsimile or e-mail/.pdf transmission shall be effective as the delivery of the original hereof.</w:t>
      </w:r>
    </w:p>
    <w:p>
      <w:pPr>
        <w:spacing w:after="0" w:line="145" w:lineRule="exact"/>
        <w:rPr>
          <w:sz w:val="20"/>
          <w:szCs w:val="20"/>
          <w:color w:val="auto"/>
        </w:rPr>
      </w:pPr>
    </w:p>
    <w:p>
      <w:pPr>
        <w:jc w:val="both"/>
        <w:ind w:right="20" w:firstLine="751"/>
        <w:spacing w:after="0" w:line="261" w:lineRule="auto"/>
        <w:rPr>
          <w:sz w:val="20"/>
          <w:szCs w:val="20"/>
          <w:color w:val="auto"/>
        </w:rPr>
      </w:pPr>
      <w:r>
        <w:rPr>
          <w:rFonts w:ascii="Times New Roman" w:cs="Times New Roman" w:eastAsia="Times New Roman" w:hAnsi="Times New Roman"/>
          <w:sz w:val="16"/>
          <w:szCs w:val="16"/>
          <w:color w:val="auto"/>
        </w:rPr>
        <w:t>The undersigned hereby represents and warrants that the undersigned has full power and authority to enter into this Lock-Up Letter Agreement and that, upon request, the undersigned will execute any additional documents necessary in connection with the enforcement hereof. Any obligations of the undersigned shall be binding upon the heirs, personal representative, successors and assigns of the undersigned.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follows]</w:t>
      </w:r>
    </w:p>
    <w:p>
      <w:pPr>
        <w:spacing w:after="0" w:line="3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DOCPROPERTY "CUS_DocIDChunk0" 76095635.1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501015</wp:posOffset>
            </wp:positionV>
            <wp:extent cx="7174865" cy="406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6"/>
          <w:szCs w:val="16"/>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3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-113030</wp:posOffset>
            </wp:positionV>
            <wp:extent cx="3777615"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777615" cy="7620"/>
                    </a:xfrm>
                    <a:prstGeom prst="rect">
                      <a:avLst/>
                    </a:prstGeom>
                    <a:noFill/>
                  </pic:spPr>
                </pic:pic>
              </a:graphicData>
            </a:graphic>
          </wp:anchor>
        </w:drawing>
      </w:r>
    </w:p>
    <w:p>
      <w:pPr>
        <w:spacing w:after="0" w:line="3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-113030</wp:posOffset>
            </wp:positionV>
            <wp:extent cx="3777615"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777615" cy="7620"/>
                    </a:xfrm>
                    <a:prstGeom prst="rect">
                      <a:avLst/>
                    </a:prstGeom>
                    <a:noFill/>
                  </pic:spPr>
                </pic:pic>
              </a:graphicData>
            </a:graphic>
          </wp:anchor>
        </w:drawing>
      </w:r>
    </w:p>
    <w:p>
      <w:pPr>
        <w:spacing w:after="0" w:line="3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(Name of Signatory, in the case of entities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-113030</wp:posOffset>
            </wp:positionV>
            <wp:extent cx="3777615"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777615" cy="7620"/>
                    </a:xfrm>
                    <a:prstGeom prst="rect">
                      <a:avLst/>
                    </a:prstGeom>
                    <a:noFill/>
                  </pic:spPr>
                </pic:pic>
              </a:graphicData>
            </a:graphic>
          </wp:anchor>
        </w:drawing>
      </w:r>
    </w:p>
    <w:p>
      <w:pPr>
        <w:spacing w:after="0" w:line="3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(Title of Signatory, in the case of entities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-113030</wp:posOffset>
            </wp:positionV>
            <wp:extent cx="3777615"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777615" cy="7620"/>
                    </a:xfrm>
                    <a:prstGeom prst="rect">
                      <a:avLst/>
                    </a:prstGeom>
                    <a:noFill/>
                  </pic:spPr>
                </pic:pic>
              </a:graphicData>
            </a:graphic>
          </wp:anchor>
        </w:drawing>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13970</wp:posOffset>
            </wp:positionV>
            <wp:extent cx="3169285"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1692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"CUS_DocIDChunk0" 76095635.1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501015</wp:posOffset>
            </wp:positionV>
            <wp:extent cx="7174865" cy="406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689" w:right="31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PLACEMENT AGENCY AGREEMENT</w:t>
      </w:r>
    </w:p>
    <w:p>
      <w:pPr>
        <w:spacing w:after="0" w:line="1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June 26, 2026</w:t>
      </w:r>
    </w:p>
    <w:p>
      <w:pPr>
        <w:spacing w:after="0" w:line="2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Decoy Therapeutics, Inc.</w:t>
      </w:r>
    </w:p>
    <w:p>
      <w:pPr>
        <w:spacing w:after="0" w:line="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2450 Holcombe Boulevard, Suite X</w:t>
      </w:r>
    </w:p>
    <w:p>
      <w:pPr>
        <w:spacing w:after="0" w:line="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Houston, Texas 77021</w:t>
      </w:r>
    </w:p>
    <w:p>
      <w:pPr>
        <w:spacing w:after="0" w:line="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Attention: Frederick E. Pierce, II</w:t>
      </w:r>
    </w:p>
    <w:p>
      <w:pPr>
        <w:spacing w:after="0" w:line="17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Dear Mr. Pierce:</w:t>
      </w:r>
    </w:p>
    <w:p>
      <w:pPr>
        <w:spacing w:after="0" w:line="192" w:lineRule="exact"/>
        <w:rPr>
          <w:sz w:val="20"/>
          <w:szCs w:val="20"/>
          <w:color w:val="auto"/>
        </w:rPr>
      </w:pPr>
    </w:p>
    <w:p>
      <w:pPr>
        <w:jc w:val="both"/>
        <w:ind w:left="5"/>
        <w:spacing w:after="0" w:line="248" w:lineRule="auto"/>
        <w:rPr>
          <w:sz w:val="20"/>
          <w:szCs w:val="20"/>
          <w:color w:val="auto"/>
        </w:rPr>
      </w:pPr>
      <w:r>
        <w:rPr>
          <w:rFonts w:ascii="Times New Roman" w:cs="Times New Roman" w:eastAsia="Times New Roman" w:hAnsi="Times New Roman"/>
          <w:sz w:val="16"/>
          <w:szCs w:val="16"/>
          <w:color w:val="auto"/>
        </w:rPr>
        <w:t>This letter agreement (the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constitutes the agreement between Curvature Securities, LLC (“</w:t>
      </w:r>
      <w:r>
        <w:rPr>
          <w:rFonts w:ascii="Times New Roman" w:cs="Times New Roman" w:eastAsia="Times New Roman" w:hAnsi="Times New Roman"/>
          <w:sz w:val="16"/>
          <w:szCs w:val="16"/>
          <w:b w:val="1"/>
          <w:bCs w:val="1"/>
          <w:color w:val="auto"/>
        </w:rPr>
        <w:t>Curvature</w:t>
      </w:r>
      <w:r>
        <w:rPr>
          <w:rFonts w:ascii="Times New Roman" w:cs="Times New Roman" w:eastAsia="Times New Roman" w:hAnsi="Times New Roman"/>
          <w:sz w:val="16"/>
          <w:szCs w:val="16"/>
          <w:color w:val="auto"/>
        </w:rPr>
        <w:t>”), as sole placement agent (the “</w:t>
      </w:r>
      <w:r>
        <w:rPr>
          <w:rFonts w:ascii="Times New Roman" w:cs="Times New Roman" w:eastAsia="Times New Roman" w:hAnsi="Times New Roman"/>
          <w:sz w:val="16"/>
          <w:szCs w:val="16"/>
          <w:b w:val="1"/>
          <w:bCs w:val="1"/>
          <w:color w:val="auto"/>
        </w:rPr>
        <w:t>Placement Agent</w:t>
      </w:r>
      <w:r>
        <w:rPr>
          <w:rFonts w:ascii="Times New Roman" w:cs="Times New Roman" w:eastAsia="Times New Roman" w:hAnsi="Times New Roman"/>
          <w:sz w:val="16"/>
          <w:szCs w:val="16"/>
          <w:color w:val="auto"/>
        </w:rPr>
        <w:t>”) and Decoy Therapeutics Inc., a company incorporated under the laws of the State of Delaware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pursuant to which the Placement Agent shall serve as the sole placement agent for the Company, on a “reasonable best efforts” basis, in connection with the proposed placement (the “</w:t>
      </w:r>
      <w:r>
        <w:rPr>
          <w:rFonts w:ascii="Times New Roman" w:cs="Times New Roman" w:eastAsia="Times New Roman" w:hAnsi="Times New Roman"/>
          <w:sz w:val="16"/>
          <w:szCs w:val="16"/>
          <w:b w:val="1"/>
          <w:bCs w:val="1"/>
          <w:color w:val="auto"/>
        </w:rPr>
        <w:t>Placement</w:t>
      </w:r>
      <w:r>
        <w:rPr>
          <w:rFonts w:ascii="Times New Roman" w:cs="Times New Roman" w:eastAsia="Times New Roman" w:hAnsi="Times New Roman"/>
          <w:sz w:val="16"/>
          <w:szCs w:val="16"/>
          <w:color w:val="auto"/>
        </w:rPr>
        <w:t>”) of shares of common stock (the “</w:t>
      </w: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16"/>
          <w:szCs w:val="16"/>
          <w:color w:val="auto"/>
        </w:rPr>
        <w:t>”) of the Company, par value $0.0001 per share (“</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and pre-funded warrants to purchase shares of Common Stock (the “</w:t>
      </w:r>
      <w:r>
        <w:rPr>
          <w:rFonts w:ascii="Times New Roman" w:cs="Times New Roman" w:eastAsia="Times New Roman" w:hAnsi="Times New Roman"/>
          <w:sz w:val="16"/>
          <w:szCs w:val="16"/>
          <w:b w:val="1"/>
          <w:bCs w:val="1"/>
          <w:color w:val="auto"/>
        </w:rPr>
        <w:t>Pre-Funded Warrants</w:t>
      </w:r>
      <w:r>
        <w:rPr>
          <w:rFonts w:ascii="Times New Roman" w:cs="Times New Roman" w:eastAsia="Times New Roman" w:hAnsi="Times New Roman"/>
          <w:sz w:val="16"/>
          <w:szCs w:val="16"/>
          <w:color w:val="auto"/>
        </w:rPr>
        <w:t>”), and accompanying (a)(i) Series A common warrants to purchase shares of Common Stock (the “</w:t>
      </w:r>
      <w:r>
        <w:rPr>
          <w:rFonts w:ascii="Times New Roman" w:cs="Times New Roman" w:eastAsia="Times New Roman" w:hAnsi="Times New Roman"/>
          <w:sz w:val="16"/>
          <w:szCs w:val="16"/>
          <w:b w:val="1"/>
          <w:bCs w:val="1"/>
          <w:color w:val="auto"/>
        </w:rPr>
        <w:t>Series A Warrants</w:t>
      </w:r>
      <w:r>
        <w:rPr>
          <w:rFonts w:ascii="Times New Roman" w:cs="Times New Roman" w:eastAsia="Times New Roman" w:hAnsi="Times New Roman"/>
          <w:sz w:val="16"/>
          <w:szCs w:val="16"/>
          <w:color w:val="auto"/>
        </w:rPr>
        <w:t>”), (ii) Series B common warrants to purchase shares of Common Stock (the “</w:t>
      </w:r>
      <w:r>
        <w:rPr>
          <w:rFonts w:ascii="Times New Roman" w:cs="Times New Roman" w:eastAsia="Times New Roman" w:hAnsi="Times New Roman"/>
          <w:sz w:val="16"/>
          <w:szCs w:val="16"/>
          <w:b w:val="1"/>
          <w:bCs w:val="1"/>
          <w:color w:val="auto"/>
        </w:rPr>
        <w:t>Series B Warrants</w:t>
      </w:r>
      <w:r>
        <w:rPr>
          <w:rFonts w:ascii="Times New Roman" w:cs="Times New Roman" w:eastAsia="Times New Roman" w:hAnsi="Times New Roman"/>
          <w:sz w:val="16"/>
          <w:szCs w:val="16"/>
          <w:color w:val="auto"/>
        </w:rPr>
        <w:t>”), and (iii) Series C common warrants to purchase shares of Common Stock (the “</w:t>
      </w:r>
      <w:r>
        <w:rPr>
          <w:rFonts w:ascii="Times New Roman" w:cs="Times New Roman" w:eastAsia="Times New Roman" w:hAnsi="Times New Roman"/>
          <w:sz w:val="16"/>
          <w:szCs w:val="16"/>
          <w:b w:val="1"/>
          <w:bCs w:val="1"/>
          <w:color w:val="auto"/>
        </w:rPr>
        <w:t>Series C Warrants</w:t>
      </w:r>
      <w:r>
        <w:rPr>
          <w:rFonts w:ascii="Times New Roman" w:cs="Times New Roman" w:eastAsia="Times New Roman" w:hAnsi="Times New Roman"/>
          <w:sz w:val="16"/>
          <w:szCs w:val="16"/>
          <w:color w:val="auto"/>
        </w:rPr>
        <w:t>”, and collectively with the Series A Warrants and Series B Warrants, the “</w:t>
      </w:r>
      <w:r>
        <w:rPr>
          <w:rFonts w:ascii="Times New Roman" w:cs="Times New Roman" w:eastAsia="Times New Roman" w:hAnsi="Times New Roman"/>
          <w:sz w:val="16"/>
          <w:szCs w:val="16"/>
          <w:b w:val="1"/>
          <w:bCs w:val="1"/>
          <w:color w:val="auto"/>
        </w:rPr>
        <w:t>Warrants</w:t>
      </w:r>
      <w:r>
        <w:rPr>
          <w:rFonts w:ascii="Times New Roman" w:cs="Times New Roman" w:eastAsia="Times New Roman" w:hAnsi="Times New Roman"/>
          <w:sz w:val="16"/>
          <w:szCs w:val="16"/>
          <w:color w:val="auto"/>
        </w:rPr>
        <w:t>” and the Warrants, together with the Pre-Funded Warrants and the Shares, the “</w:t>
      </w:r>
      <w:r>
        <w:rPr>
          <w:rFonts w:ascii="Times New Roman" w:cs="Times New Roman" w:eastAsia="Times New Roman" w:hAnsi="Times New Roman"/>
          <w:sz w:val="16"/>
          <w:szCs w:val="16"/>
          <w:b w:val="1"/>
          <w:bCs w:val="1"/>
          <w:color w:val="auto"/>
        </w:rPr>
        <w:t>Securities</w:t>
      </w:r>
      <w:r>
        <w:rPr>
          <w:rFonts w:ascii="Times New Roman" w:cs="Times New Roman" w:eastAsia="Times New Roman" w:hAnsi="Times New Roman"/>
          <w:sz w:val="16"/>
          <w:szCs w:val="16"/>
          <w:color w:val="auto"/>
        </w:rPr>
        <w:t>”). The terms of the Placement and the Securities shall be mutually agreed upon by the Company and the purchasers (each, a “</w:t>
      </w:r>
      <w:r>
        <w:rPr>
          <w:rFonts w:ascii="Times New Roman" w:cs="Times New Roman" w:eastAsia="Times New Roman" w:hAnsi="Times New Roman"/>
          <w:sz w:val="16"/>
          <w:szCs w:val="16"/>
          <w:b w:val="1"/>
          <w:bCs w:val="1"/>
          <w:color w:val="auto"/>
        </w:rPr>
        <w:t>Purchaser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b w:val="1"/>
          <w:bCs w:val="1"/>
          <w:color w:val="auto"/>
        </w:rPr>
        <w:t>Purchasers</w:t>
      </w:r>
      <w:r>
        <w:rPr>
          <w:rFonts w:ascii="Times New Roman" w:cs="Times New Roman" w:eastAsia="Times New Roman" w:hAnsi="Times New Roman"/>
          <w:sz w:val="16"/>
          <w:szCs w:val="16"/>
          <w:color w:val="auto"/>
        </w:rPr>
        <w:t>”) and nothing herein constitutes that the Placement Agent would have the power or authority to bind the Company or any Purchaser or an obligation for the Company to issue any Securities or complete the Placement. This Agreement and the documents executed and delivered by the Company and the Purchasers in connection with the Placement, which may include a securities purchase agreement between the Company and one or more of such Purchasers in a form mutually agreed upon by the Company and the Placement Agent (the “</w:t>
      </w:r>
      <w:r>
        <w:rPr>
          <w:rFonts w:ascii="Times New Roman" w:cs="Times New Roman" w:eastAsia="Times New Roman" w:hAnsi="Times New Roman"/>
          <w:sz w:val="16"/>
          <w:szCs w:val="16"/>
          <w:b w:val="1"/>
          <w:bCs w:val="1"/>
          <w:color w:val="auto"/>
        </w:rPr>
        <w:t>Purchase Agreement</w:t>
      </w:r>
      <w:r>
        <w:rPr>
          <w:rFonts w:ascii="Times New Roman" w:cs="Times New Roman" w:eastAsia="Times New Roman" w:hAnsi="Times New Roman"/>
          <w:sz w:val="16"/>
          <w:szCs w:val="16"/>
          <w:color w:val="auto"/>
        </w:rPr>
        <w:t>”), shall be collectively referred to herein as the “</w:t>
      </w:r>
      <w:r>
        <w:rPr>
          <w:rFonts w:ascii="Times New Roman" w:cs="Times New Roman" w:eastAsia="Times New Roman" w:hAnsi="Times New Roman"/>
          <w:sz w:val="16"/>
          <w:szCs w:val="16"/>
          <w:b w:val="1"/>
          <w:bCs w:val="1"/>
          <w:color w:val="auto"/>
        </w:rPr>
        <w:t>Transaction Documents</w:t>
      </w:r>
      <w:r>
        <w:rPr>
          <w:rFonts w:ascii="Times New Roman" w:cs="Times New Roman" w:eastAsia="Times New Roman" w:hAnsi="Times New Roman"/>
          <w:sz w:val="16"/>
          <w:szCs w:val="16"/>
          <w:color w:val="auto"/>
        </w:rPr>
        <w:t>.” The date of the closing of the Placement shall be referred to herein as the “</w:t>
      </w:r>
      <w:r>
        <w:rPr>
          <w:rFonts w:ascii="Times New Roman" w:cs="Times New Roman" w:eastAsia="Times New Roman" w:hAnsi="Times New Roman"/>
          <w:sz w:val="16"/>
          <w:szCs w:val="16"/>
          <w:b w:val="1"/>
          <w:bCs w:val="1"/>
          <w:color w:val="auto"/>
        </w:rPr>
        <w:t>Closing Date</w:t>
      </w:r>
      <w:r>
        <w:rPr>
          <w:rFonts w:ascii="Times New Roman" w:cs="Times New Roman" w:eastAsia="Times New Roman" w:hAnsi="Times New Roman"/>
          <w:sz w:val="16"/>
          <w:szCs w:val="16"/>
          <w:color w:val="auto"/>
        </w:rPr>
        <w:t>.” The Company expressly acknowledges and agrees that the Placement Agent’s obligations hereunder are on a reasonable best efforts basis only and that the execution of this Agreement does not constitute a commitment by the Placement Agent to purchase the Securities and does not ensure the successful placement of the Securities or any portion thereof or the success of the Placement Agent with respect to securing any other financing on behalf of the Company. With the prior written consent of the Company, the Placement Agent may retain other brokers or dealers to act as sub-agents or selected-dealers on its behalf in connection with the Placement. Capitalized terms that are not otherwise defined herein have the meanings given to such terms in the Purchase Agreement. Prior to the signing of any Purchase Agreement, executive officers of the Company will be available upon reasonable notice and during normal business hours to answer inquiries from prospective Purchasers.</w:t>
      </w:r>
    </w:p>
    <w:p>
      <w:pPr>
        <w:spacing w:after="0" w:line="17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u w:val="single" w:color="auto"/>
          <w:color w:val="auto"/>
        </w:rPr>
        <w:t>SECTION 1. REPRESENTATIONS AND WARRANTIES OF THE COMPANY; COVENANTS OF THE COMPANY</w:t>
      </w:r>
      <w:r>
        <w:rPr>
          <w:rFonts w:ascii="Times New Roman" w:cs="Times New Roman" w:eastAsia="Times New Roman" w:hAnsi="Times New Roman"/>
          <w:sz w:val="16"/>
          <w:szCs w:val="16"/>
          <w:color w:val="auto"/>
        </w:rPr>
        <w:t>.</w:t>
      </w:r>
    </w:p>
    <w:p>
      <w:pPr>
        <w:spacing w:after="0" w:line="384" w:lineRule="exact"/>
        <w:rPr>
          <w:sz w:val="20"/>
          <w:szCs w:val="20"/>
          <w:color w:val="auto"/>
        </w:rPr>
      </w:pPr>
    </w:p>
    <w:p>
      <w:pPr>
        <w:jc w:val="both"/>
        <w:ind w:left="5" w:hanging="5"/>
        <w:spacing w:after="0" w:line="256" w:lineRule="auto"/>
        <w:tabs>
          <w:tab w:leader="none" w:pos="321"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of the Company</w:t>
      </w:r>
      <w:r>
        <w:rPr>
          <w:rFonts w:ascii="Times New Roman" w:cs="Times New Roman" w:eastAsia="Times New Roman" w:hAnsi="Times New Roman"/>
          <w:sz w:val="16"/>
          <w:szCs w:val="16"/>
          <w:color w:val="auto"/>
        </w:rPr>
        <w:t>. Each of the representations and warranties (together with any related disclosure schedules thereto) and covenants made by the Company to the Purchasers in the Purchase Agreement in connection with the Placement is hereby incorporated herein by reference into this Agreement (as though fully restated herein), and is, as of the date of this Agreement and as of the Closing Date, hereby made to, and in favor of, the Placement Agent. In addition to the foregoing, the Company represents and warrants that:</w:t>
      </w:r>
    </w:p>
    <w:p>
      <w:pPr>
        <w:spacing w:after="0" w:line="161" w:lineRule="exact"/>
        <w:rPr>
          <w:rFonts w:ascii="Times New Roman" w:cs="Times New Roman" w:eastAsia="Times New Roman" w:hAnsi="Times New Roman"/>
          <w:sz w:val="16"/>
          <w:szCs w:val="16"/>
          <w:color w:val="auto"/>
        </w:rPr>
      </w:pPr>
    </w:p>
    <w:p>
      <w:pPr>
        <w:jc w:val="both"/>
        <w:ind w:left="745" w:right="20" w:firstLine="5"/>
        <w:spacing w:after="0" w:line="261" w:lineRule="auto"/>
        <w:tabs>
          <w:tab w:leader="none" w:pos="908" w:val="left"/>
        </w:tabs>
        <w:numPr>
          <w:ilvl w:val="1"/>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Placement Agent’s Warrant (as defined below) has been duly authorized and, when issued in accordance with this Agreement, will be duly and validly issued and will constitute the binding obligation of the Company, enforceable against the Company in accordance with its terms, except as such enforceability may be limited by bankruptcy, insolvency, reorganization, moratorium and similar laws affecting the rights</w:t>
      </w:r>
    </w:p>
    <w:p>
      <w:pPr>
        <w:spacing w:after="0" w:line="362" w:lineRule="exact"/>
        <w:rPr>
          <w:sz w:val="20"/>
          <w:szCs w:val="20"/>
          <w:color w:val="auto"/>
        </w:rPr>
      </w:pPr>
    </w:p>
    <w:p>
      <w:pPr>
        <w:ind w:left="65" w:right="3700" w:hanging="35"/>
        <w:spacing w:after="0" w:line="299"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4908-1680-6838, v.17 DOCPROPERTY "CUS_DocIDChunk0" 76095593.1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386080</wp:posOffset>
            </wp:positionV>
            <wp:extent cx="7174865" cy="406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9" w:right="319" w:bottom="1440" w:gutter="0" w:footer="0" w:header="0"/>
        </w:sectPr>
      </w:pPr>
    </w:p>
    <w:bookmarkStart w:id="152" w:name="page153"/>
    <w:bookmarkEnd w:id="152"/>
    <w:p>
      <w:pPr>
        <w:spacing w:after="0" w:line="8" w:lineRule="exact"/>
        <w:rPr>
          <w:sz w:val="20"/>
          <w:szCs w:val="20"/>
          <w:color w:val="auto"/>
        </w:rPr>
      </w:pPr>
    </w:p>
    <w:p>
      <w:pPr>
        <w:jc w:val="both"/>
        <w:ind w:left="745"/>
        <w:spacing w:after="0" w:line="265" w:lineRule="auto"/>
        <w:rPr>
          <w:sz w:val="20"/>
          <w:szCs w:val="20"/>
          <w:color w:val="auto"/>
        </w:rPr>
      </w:pPr>
      <w:r>
        <w:rPr>
          <w:rFonts w:ascii="Times New Roman" w:cs="Times New Roman" w:eastAsia="Times New Roman" w:hAnsi="Times New Roman"/>
          <w:sz w:val="15"/>
          <w:szCs w:val="15"/>
          <w:color w:val="auto"/>
        </w:rPr>
        <w:t>of creditors generally and subject to general principles of equity. The Placement Agent’s Warrant Shares (as defined below), when issued in accordance with the terms of the Placement Agent’s Warrant, will be validly issued, fully paid and nonassessable, free and clear of all Liens imposed by the Company. As of the Closing Date, the Company will have reserved from its duly authorized capital stock the maximum number of shares of Common Stock issuable pursuant to the Placement Agent’s Warrant. The execution, delivery and performance by the Company of the Placement Agent’s Warrant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w:t>
      </w:r>
    </w:p>
    <w:p>
      <w:pPr>
        <w:spacing w:after="0" w:line="6" w:lineRule="exact"/>
        <w:rPr>
          <w:sz w:val="20"/>
          <w:szCs w:val="20"/>
          <w:color w:val="auto"/>
        </w:rPr>
      </w:pPr>
    </w:p>
    <w:p>
      <w:pPr>
        <w:jc w:val="both"/>
        <w:ind w:left="745" w:right="20" w:firstLine="5"/>
        <w:spacing w:after="0" w:line="249" w:lineRule="auto"/>
        <w:tabs>
          <w:tab w:leader="none" w:pos="1025" w:val="left"/>
        </w:tabs>
        <w:numPr>
          <w:ilvl w:val="1"/>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would not have or reasonably be expected to result in a Material Adverse Effect.</w:t>
      </w:r>
    </w:p>
    <w:p>
      <w:pPr>
        <w:spacing w:after="0" w:line="354" w:lineRule="exact"/>
        <w:rPr>
          <w:rFonts w:ascii="Times New Roman" w:cs="Times New Roman" w:eastAsia="Times New Roman" w:hAnsi="Times New Roman"/>
          <w:sz w:val="16"/>
          <w:szCs w:val="16"/>
          <w:color w:val="auto"/>
        </w:rPr>
      </w:pPr>
    </w:p>
    <w:p>
      <w:pPr>
        <w:jc w:val="both"/>
        <w:ind w:left="5" w:hanging="5"/>
        <w:spacing w:after="0" w:line="249" w:lineRule="auto"/>
        <w:tabs>
          <w:tab w:leader="none" w:pos="344"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Covenants of the Company</w:t>
      </w:r>
      <w:r>
        <w:rPr>
          <w:rFonts w:ascii="Times New Roman" w:cs="Times New Roman" w:eastAsia="Times New Roman" w:hAnsi="Times New Roman"/>
          <w:sz w:val="16"/>
          <w:szCs w:val="16"/>
          <w:color w:val="auto"/>
        </w:rPr>
        <w:t>. The Company covenants and agrees to continue to retain (i) a firm of Public Company Accounting Oversight Board independent registered public accountants for a period of at least two (2) years after the Closing Date and (ii) a reputable transfer agent with respect to the Shares for a period of two (2) years after the Closing Date, provided in each case that the Company is then subject to the reporting requirement of the Securities Exchange Act of 1934, as amended (the “</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Furthermore, except as set forth below, from the date hereof until 60 days after the Closing Date, without the prior written consent of the Placement Agent, neither the Company nor any subsidiary shall (i) issue, enter into any agreement to issue or announce the issuance or proposed issuance of any Shares or Common Stock Equivalents or (ii) file any registration statement or amendment or supplement thereto, other than filing the registration statement as contemplated by the Registration Rights Agreement, and a registration statement on Form S-8 in connection with any employee benefit plan. The Company shall not, prior to the Closing Date, and shall not, for so long as required to preserve the availability of the exemption from registration under the Securities Act relied upon for the offer and sale of the Securities, directly or indirectly sell, offer for sale or, solicit offers to buy, or otherwise negotiate in respect of any security (as defined in Section 2 of the Securities Act) that would be integrated with the offer or sale of the Securities for purposes of the Securities Act or the rules and regulations promulgated thereunder, including Regulation D. The Company shall file with the Commission a notice on Form D with respect to the offer and sale of the Securities as required under Regulation D promulgated under the Securities Act, within the time period required by such Regulation D, and shall provide a copy of such Form D to the Purchasers promptly upon filing. The Purchasers shall be third-party beneficiary of the covenants of the Company in the preceding three sentences.</w:t>
      </w:r>
    </w:p>
    <w:p>
      <w:pPr>
        <w:spacing w:after="0" w:line="16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REPRESENTATIONS OF THE PLACEMENT AGENT</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ind w:left="5"/>
        <w:spacing w:after="0" w:line="267" w:lineRule="auto"/>
        <w:rPr>
          <w:sz w:val="20"/>
          <w:szCs w:val="20"/>
          <w:color w:val="auto"/>
        </w:rPr>
      </w:pPr>
      <w:r>
        <w:rPr>
          <w:rFonts w:ascii="Times New Roman" w:cs="Times New Roman" w:eastAsia="Times New Roman" w:hAnsi="Times New Roman"/>
          <w:sz w:val="15"/>
          <w:szCs w:val="15"/>
          <w:color w:val="auto"/>
        </w:rPr>
        <w:t>Each entity comprising the Placement Agent represents and warrants that it (i) is a member in good standing of FINRA, (ii) is registered as a broker/dealer under the Exchange Act, (iii) is licensed as a broker/dealer under the laws of the States applicable to the offers and sales of the Securities by the Placement Agent, (iv) is and will be a corporate entity validly existing under the laws of its place of incorporation, (v) has full power and authority to enter into and perform its obligations under this Agreement, (vi) is an accredited investor as defined in Rule 501(a) of Regulation D promulgated under the Securities Act and (vii) has substantial experience in making investment decisions of this type and has such knowledge and experience in financial and business matters that the Placement Agent is capable of evaluating the merits and risks of an investment in the Company. The Placement Agent will immediately notify the Company in writing of any change in its status as such. The Placement Agent covenants that it will use its reasonable</w:t>
      </w:r>
    </w:p>
    <w:p>
      <w:pPr>
        <w:spacing w:after="0" w:line="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w:t>
      </w:r>
    </w:p>
    <w:p>
      <w:pPr>
        <w:spacing w:after="0" w:line="382" w:lineRule="exact"/>
        <w:rPr>
          <w:sz w:val="20"/>
          <w:szCs w:val="20"/>
          <w:color w:val="auto"/>
        </w:rPr>
      </w:pPr>
    </w:p>
    <w:p>
      <w:pPr>
        <w:ind w:left="65" w:right="3700" w:hanging="35"/>
        <w:spacing w:after="0" w:line="299"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4908-1680-6838, v.17 DOCPROPERTY "CUS_DocIDChunk0" 76095593.1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386080</wp:posOffset>
            </wp:positionV>
            <wp:extent cx="7174865" cy="406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440" w:right="319" w:bottom="1440" w:gutter="0" w:footer="0" w:header="0"/>
        </w:sectPr>
      </w:pPr>
    </w:p>
    <w:bookmarkStart w:id="153" w:name="page154"/>
    <w:bookmarkEnd w:id="153"/>
    <w:p>
      <w:pPr>
        <w:spacing w:after="0" w:line="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best efforts to conduct the Placement hereunder in compliance with the provisions of this Agreement and the requirements of applicable law.</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COMPENSATION</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5" w:right="20" w:hanging="5"/>
        <w:spacing w:after="0" w:line="276" w:lineRule="auto"/>
        <w:tabs>
          <w:tab w:leader="none" w:pos="321"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consideration of the services to be provided for hereunder, the Company shall pay to the Placement Agent or its designees, the following compensation with respect to the placement of the Securities:</w:t>
      </w:r>
    </w:p>
    <w:p>
      <w:pPr>
        <w:spacing w:after="0" w:line="142" w:lineRule="exact"/>
        <w:rPr>
          <w:rFonts w:ascii="Times New Roman" w:cs="Times New Roman" w:eastAsia="Times New Roman" w:hAnsi="Times New Roman"/>
          <w:sz w:val="16"/>
          <w:szCs w:val="16"/>
          <w:color w:val="auto"/>
        </w:rPr>
      </w:pPr>
    </w:p>
    <w:p>
      <w:pPr>
        <w:jc w:val="both"/>
        <w:ind w:left="745" w:right="20" w:firstLine="5"/>
        <w:spacing w:after="0" w:line="262" w:lineRule="auto"/>
        <w:tabs>
          <w:tab w:leader="none" w:pos="908"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cash fee (the “</w:t>
      </w:r>
      <w:r>
        <w:rPr>
          <w:rFonts w:ascii="Times New Roman" w:cs="Times New Roman" w:eastAsia="Times New Roman" w:hAnsi="Times New Roman"/>
          <w:sz w:val="16"/>
          <w:szCs w:val="16"/>
          <w:b w:val="1"/>
          <w:bCs w:val="1"/>
          <w:color w:val="auto"/>
        </w:rPr>
        <w:t>Cash Fee</w:t>
      </w:r>
      <w:r>
        <w:rPr>
          <w:rFonts w:ascii="Times New Roman" w:cs="Times New Roman" w:eastAsia="Times New Roman" w:hAnsi="Times New Roman"/>
          <w:sz w:val="16"/>
          <w:szCs w:val="16"/>
          <w:color w:val="auto"/>
        </w:rPr>
        <w:t>”) equal to nine percent (9.0%) of the aggregate purchase price paid by the Purchasers for the sale of Securities in the Placement to the Purchasers, a portion of which may be allocated to other registered broker-dealers. The Cash Fee shall be paid to the Placement Agent at the Closing of the Placement from the gross proceeds of the Securities sold in such Closing.</w:t>
      </w:r>
    </w:p>
    <w:p>
      <w:pPr>
        <w:spacing w:after="0" w:line="156" w:lineRule="exact"/>
        <w:rPr>
          <w:rFonts w:ascii="Times New Roman" w:cs="Times New Roman" w:eastAsia="Times New Roman" w:hAnsi="Times New Roman"/>
          <w:sz w:val="16"/>
          <w:szCs w:val="16"/>
          <w:color w:val="auto"/>
        </w:rPr>
      </w:pPr>
    </w:p>
    <w:p>
      <w:pPr>
        <w:jc w:val="both"/>
        <w:ind w:left="745" w:firstLine="5"/>
        <w:spacing w:after="0" w:line="256" w:lineRule="auto"/>
        <w:tabs>
          <w:tab w:leader="none" w:pos="908"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compliance with FINRA Rule 5110(g)(5), the Company also agrees to reimburse the Placement Agent for all reasonable and documented out-of-pocket expenses incurred by the Placement Agent in connection with the Placement, including the fees and disbursements of legal counsel, in an aggregate amount not to exceed $75,000; provided that such reimbursement shall be payable solely to the Placement Agent. The Company will reimburse the Placement Agent directly out of the Closing of the Placement.</w:t>
      </w:r>
    </w:p>
    <w:p>
      <w:pPr>
        <w:spacing w:after="0" w:line="161" w:lineRule="exact"/>
        <w:rPr>
          <w:rFonts w:ascii="Times New Roman" w:cs="Times New Roman" w:eastAsia="Times New Roman" w:hAnsi="Times New Roman"/>
          <w:sz w:val="16"/>
          <w:szCs w:val="16"/>
          <w:color w:val="auto"/>
        </w:rPr>
      </w:pPr>
    </w:p>
    <w:p>
      <w:pPr>
        <w:jc w:val="both"/>
        <w:ind w:left="745" w:firstLine="5"/>
        <w:spacing w:after="0" w:line="256" w:lineRule="auto"/>
        <w:tabs>
          <w:tab w:leader="none" w:pos="928"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compliance with FINRA Rule 5110(g)(3), the Company also agrees to reimburse the Placement Agent for all non-accountable fees and expenses including, but not limited to, background check expenses, tombstones and marketing-related expenses including roadshow expenses and travel, and any other non-accountable fee or expense incurred by the Placement Agent in connection with the Placement, in an aggregate amount not to exceed $25,000. The Company will reimburse the Placement Agent directly out of the Closing of the Placement.</w:t>
      </w:r>
    </w:p>
    <w:p>
      <w:pPr>
        <w:spacing w:after="0" w:line="159" w:lineRule="exact"/>
        <w:rPr>
          <w:rFonts w:ascii="Times New Roman" w:cs="Times New Roman" w:eastAsia="Times New Roman" w:hAnsi="Times New Roman"/>
          <w:sz w:val="16"/>
          <w:szCs w:val="16"/>
          <w:color w:val="auto"/>
        </w:rPr>
      </w:pPr>
    </w:p>
    <w:p>
      <w:pPr>
        <w:jc w:val="both"/>
        <w:ind w:left="745" w:firstLine="5"/>
        <w:spacing w:after="0" w:line="257" w:lineRule="auto"/>
        <w:tabs>
          <w:tab w:leader="none" w:pos="918"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Warrant (the “</w:t>
      </w:r>
      <w:r>
        <w:rPr>
          <w:rFonts w:ascii="Times New Roman" w:cs="Times New Roman" w:eastAsia="Times New Roman" w:hAnsi="Times New Roman"/>
          <w:sz w:val="16"/>
          <w:szCs w:val="16"/>
          <w:b w:val="1"/>
          <w:bCs w:val="1"/>
          <w:color w:val="auto"/>
        </w:rPr>
        <w:t>Placement Agent’s Warrant</w:t>
      </w:r>
      <w:r>
        <w:rPr>
          <w:rFonts w:ascii="Times New Roman" w:cs="Times New Roman" w:eastAsia="Times New Roman" w:hAnsi="Times New Roman"/>
          <w:sz w:val="16"/>
          <w:szCs w:val="16"/>
          <w:color w:val="auto"/>
        </w:rPr>
        <w:t>”) to the Placement Agent or its designated affiliates exercisable for a number of shares of Common Stock (the “</w:t>
      </w:r>
      <w:r>
        <w:rPr>
          <w:rFonts w:ascii="Times New Roman" w:cs="Times New Roman" w:eastAsia="Times New Roman" w:hAnsi="Times New Roman"/>
          <w:sz w:val="16"/>
          <w:szCs w:val="16"/>
          <w:b w:val="1"/>
          <w:bCs w:val="1"/>
          <w:color w:val="auto"/>
        </w:rPr>
        <w:t>Placement Agent’s Warrant Shares</w:t>
      </w:r>
      <w:r>
        <w:rPr>
          <w:rFonts w:ascii="Times New Roman" w:cs="Times New Roman" w:eastAsia="Times New Roman" w:hAnsi="Times New Roman"/>
          <w:sz w:val="16"/>
          <w:szCs w:val="16"/>
          <w:color w:val="auto"/>
        </w:rPr>
        <w:t>”) equal to six (6.0%) of the total number of Registered Securities being sold in the Placement. The Placement Agent’s Warrant will be exercisable on the date that is six months after the issuance date and will expire five years after the commencement of sales in the offering. The Placement Agent’s Warrant will be exercisable at a price equal to 125% of the per Share purchase price in the Placement.</w:t>
      </w:r>
    </w:p>
    <w:p>
      <w:pPr>
        <w:spacing w:after="0" w:line="160" w:lineRule="exact"/>
        <w:rPr>
          <w:rFonts w:ascii="Times New Roman" w:cs="Times New Roman" w:eastAsia="Times New Roman" w:hAnsi="Times New Roman"/>
          <w:sz w:val="16"/>
          <w:szCs w:val="16"/>
          <w:color w:val="auto"/>
        </w:rPr>
      </w:pPr>
    </w:p>
    <w:p>
      <w:pPr>
        <w:ind w:left="745" w:firstLine="5"/>
        <w:spacing w:after="0" w:line="276" w:lineRule="auto"/>
        <w:tabs>
          <w:tab w:leader="none" w:pos="905"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Placement Agent reserves the right to reduce any item of its compensation or adjust the terms thereof as specified herein in the event that a determination shall be made by FINRA to the effect that the Placement Agent’s aggregate compensation is in excess of FINRA Rules or that the terms thereof require adjustment.</w:t>
      </w:r>
    </w:p>
    <w:p>
      <w:pPr>
        <w:spacing w:after="0" w:line="168" w:lineRule="exact"/>
        <w:rPr>
          <w:sz w:val="20"/>
          <w:szCs w:val="20"/>
          <w:color w:val="auto"/>
        </w:rPr>
      </w:pPr>
    </w:p>
    <w:p>
      <w:pPr>
        <w:jc w:val="both"/>
        <w:ind w:left="5"/>
        <w:spacing w:after="0" w:line="251" w:lineRule="auto"/>
        <w:rPr>
          <w:sz w:val="20"/>
          <w:szCs w:val="20"/>
          <w:color w:val="auto"/>
        </w:rPr>
      </w:pPr>
      <w:r>
        <w:rPr>
          <w:rFonts w:ascii="Times New Roman" w:cs="Times New Roman" w:eastAsia="Times New Roman" w:hAnsi="Times New Roman"/>
          <w:sz w:val="16"/>
          <w:szCs w:val="16"/>
          <w:u w:val="single" w:color="auto"/>
          <w:color w:val="auto"/>
        </w:rPr>
        <w:t>SECTION 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TAIL FEE</w:t>
      </w:r>
      <w:r>
        <w:rPr>
          <w:rFonts w:ascii="Times New Roman" w:cs="Times New Roman" w:eastAsia="Times New Roman" w:hAnsi="Times New Roman"/>
          <w:sz w:val="16"/>
          <w:szCs w:val="16"/>
          <w:color w:val="auto"/>
        </w:rPr>
        <w:t>. Following the Termination Date (as defined below), the Placement Agent shall be entitled to compensation under Section 3, calculated in the manner set forth therein, with respect to any public or private offering or other financing or capital-raising transaction of any kind, but excluding the exercise of any Pre-Funded Warrants in the Placement (“</w:t>
      </w:r>
      <w:r>
        <w:rPr>
          <w:rFonts w:ascii="Times New Roman" w:cs="Times New Roman" w:eastAsia="Times New Roman" w:hAnsi="Times New Roman"/>
          <w:sz w:val="16"/>
          <w:szCs w:val="16"/>
          <w:b w:val="1"/>
          <w:bCs w:val="1"/>
          <w:color w:val="auto"/>
        </w:rPr>
        <w:t>Tail Financing</w:t>
      </w:r>
      <w:r>
        <w:rPr>
          <w:rFonts w:ascii="Times New Roman" w:cs="Times New Roman" w:eastAsia="Times New Roman" w:hAnsi="Times New Roman"/>
          <w:sz w:val="16"/>
          <w:szCs w:val="16"/>
          <w:color w:val="auto"/>
        </w:rPr>
        <w:t>”) to the extent that such financing is both (i) provided to the Company by investors placed in the Placement by the Placement Agent, taken over-the-wall by the Placement Agent, or that participated in in-depth meetings with the Company arranged by the Placement Agent and (ii) such Tail Financing is consummated at any time within the twelve (12) month period following the Term. Within five (5) days of the earlier of the Closing and the Termination Date, the Placement Agent will provide to the Company a list of investors whom the Placement Agent has contacted or introduced to the Company in connection with the Placement. Notwithstanding anything to the contrary herein, the compensation due hereunder shall expressly not include any share or equity of the Company issued to its officers, directors, employees, consultants, nor shall it include any securities issued to holders of the Company’s currently outstanding options or warrants upon exercise thereof.</w:t>
      </w:r>
    </w:p>
    <w:p>
      <w:pPr>
        <w:spacing w:after="0" w:line="162" w:lineRule="exact"/>
        <w:rPr>
          <w:sz w:val="20"/>
          <w:szCs w:val="20"/>
          <w:color w:val="auto"/>
        </w:rPr>
      </w:pPr>
    </w:p>
    <w:p>
      <w:pPr>
        <w:jc w:val="both"/>
        <w:ind w:left="5" w:right="20"/>
        <w:spacing w:after="0" w:line="259" w:lineRule="auto"/>
        <w:rPr>
          <w:sz w:val="20"/>
          <w:szCs w:val="20"/>
          <w:color w:val="auto"/>
        </w:rPr>
      </w:pP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 The Company agrees to the indemnification and other agreements set forth in the Indemnification Provisions (the “</w:t>
      </w:r>
      <w:r>
        <w:rPr>
          <w:rFonts w:ascii="Times New Roman" w:cs="Times New Roman" w:eastAsia="Times New Roman" w:hAnsi="Times New Roman"/>
          <w:sz w:val="16"/>
          <w:szCs w:val="16"/>
          <w:b w:val="1"/>
          <w:bCs w:val="1"/>
          <w:color w:val="auto"/>
        </w:rPr>
        <w:t>Indemnification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Provisions</w:t>
      </w:r>
      <w:r>
        <w:rPr>
          <w:rFonts w:ascii="Times New Roman" w:cs="Times New Roman" w:eastAsia="Times New Roman" w:hAnsi="Times New Roman"/>
          <w:sz w:val="16"/>
          <w:szCs w:val="16"/>
          <w:color w:val="auto"/>
        </w:rPr>
        <w:t>”) attached hereto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Addendum A</w:t>
      </w:r>
      <w:r>
        <w:rPr>
          <w:rFonts w:ascii="Times New Roman" w:cs="Times New Roman" w:eastAsia="Times New Roman" w:hAnsi="Times New Roman"/>
          <w:sz w:val="16"/>
          <w:szCs w:val="16"/>
          <w:color w:val="auto"/>
        </w:rPr>
        <w:t>, the provisions of which are incorporated herein by reference and shall survive the termination or expiration of this Agreement.</w:t>
      </w:r>
    </w:p>
    <w:p>
      <w:pPr>
        <w:spacing w:after="0" w:line="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3</w:t>
      </w:r>
    </w:p>
    <w:p>
      <w:pPr>
        <w:spacing w:after="0" w:line="382" w:lineRule="exact"/>
        <w:rPr>
          <w:sz w:val="20"/>
          <w:szCs w:val="20"/>
          <w:color w:val="auto"/>
        </w:rPr>
      </w:pPr>
    </w:p>
    <w:p>
      <w:pPr>
        <w:ind w:left="65" w:right="3700" w:hanging="35"/>
        <w:spacing w:after="0" w:line="299"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4908-1680-6838, v.17 DOCPROPERTY "CUS_DocIDChunk0" 76095593.1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386080</wp:posOffset>
            </wp:positionV>
            <wp:extent cx="7174865" cy="406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440" w:right="319" w:bottom="1440" w:gutter="0" w:footer="0" w:header="0"/>
        </w:sectPr>
      </w:pPr>
    </w:p>
    <w:bookmarkStart w:id="154" w:name="page155"/>
    <w:bookmarkEnd w:id="154"/>
    <w:p>
      <w:pPr>
        <w:spacing w:after="0" w:line="8" w:lineRule="exact"/>
        <w:rPr>
          <w:sz w:val="20"/>
          <w:szCs w:val="20"/>
          <w:color w:val="auto"/>
        </w:rPr>
      </w:pPr>
    </w:p>
    <w:p>
      <w:pPr>
        <w:jc w:val="both"/>
        <w:ind w:left="5"/>
        <w:spacing w:after="0" w:line="250" w:lineRule="auto"/>
        <w:rPr>
          <w:sz w:val="20"/>
          <w:szCs w:val="20"/>
          <w:color w:val="auto"/>
        </w:rPr>
      </w:pP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ENGAGEMENT TERM</w:t>
      </w:r>
      <w:r>
        <w:rPr>
          <w:rFonts w:ascii="Times New Roman" w:cs="Times New Roman" w:eastAsia="Times New Roman" w:hAnsi="Times New Roman"/>
          <w:sz w:val="16"/>
          <w:szCs w:val="16"/>
          <w:color w:val="auto"/>
        </w:rPr>
        <w:t>. The Placement Agent’s engagement hereunder shall be until the earlier of (i) the final closing date of the Placement and (ii) the date a party terminates the engagement according to the terms of the next sentence (such date, the “</w:t>
      </w:r>
      <w:r>
        <w:rPr>
          <w:rFonts w:ascii="Times New Roman" w:cs="Times New Roman" w:eastAsia="Times New Roman" w:hAnsi="Times New Roman"/>
          <w:sz w:val="16"/>
          <w:szCs w:val="16"/>
          <w:b w:val="1"/>
          <w:bCs w:val="1"/>
          <w:color w:val="auto"/>
        </w:rPr>
        <w:t>Termination Date</w:t>
      </w:r>
      <w:r>
        <w:rPr>
          <w:rFonts w:ascii="Times New Roman" w:cs="Times New Roman" w:eastAsia="Times New Roman" w:hAnsi="Times New Roman"/>
          <w:sz w:val="16"/>
          <w:szCs w:val="16"/>
          <w:color w:val="auto"/>
        </w:rPr>
        <w:t>” and the period of time during which this Agreement remains in effect is referred to herein as the “</w:t>
      </w:r>
      <w:r>
        <w:rPr>
          <w:rFonts w:ascii="Times New Roman" w:cs="Times New Roman" w:eastAsia="Times New Roman" w:hAnsi="Times New Roman"/>
          <w:sz w:val="16"/>
          <w:szCs w:val="16"/>
          <w:b w:val="1"/>
          <w:bCs w:val="1"/>
          <w:color w:val="auto"/>
        </w:rPr>
        <w:t>Term</w:t>
      </w:r>
      <w:r>
        <w:rPr>
          <w:rFonts w:ascii="Times New Roman" w:cs="Times New Roman" w:eastAsia="Times New Roman" w:hAnsi="Times New Roman"/>
          <w:sz w:val="16"/>
          <w:szCs w:val="16"/>
          <w:color w:val="auto"/>
        </w:rPr>
        <w:t>”). After an initial period of three (3) business days from the date hereof, the engagement may be terminated at any time by either party upon five (5) days written notice to the other party, effective upon receipt of written notice to that effect by the other party. Notwithstanding anything to the contrary contained herein, the provisions concerning the Company’s obligation to pay any fees actually earned pursuant to Section 3 hereof and the provisions concerning confidentiality, indemnification and contribution contained herein and the Company’s obligations contained in the Indemnification Provisions will survive any expiration or termination of this Agreement. If this Agreement is terminated prior to the completion of the Placement, all fees due to the Placement Agent shall be paid by the Company to the Placement Agent on or before the Termination Date (in the event such fees are earned or owed as of the Termination Date). The Placement Agent agrees not to use any confidential information concerning the Company provided to the Placement Agent by the Company for any purposes other than those contemplated under this Agreement.</w:t>
      </w:r>
    </w:p>
    <w:p>
      <w:pPr>
        <w:spacing w:after="0" w:line="167" w:lineRule="exact"/>
        <w:rPr>
          <w:sz w:val="20"/>
          <w:szCs w:val="20"/>
          <w:color w:val="auto"/>
        </w:rPr>
      </w:pPr>
    </w:p>
    <w:p>
      <w:pPr>
        <w:jc w:val="both"/>
        <w:ind w:left="5" w:right="20"/>
        <w:spacing w:after="0" w:line="261" w:lineRule="auto"/>
        <w:rPr>
          <w:sz w:val="20"/>
          <w:szCs w:val="20"/>
          <w:color w:val="auto"/>
        </w:rPr>
      </w:pP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PLACEMENT AGENT INFORMATION</w:t>
      </w:r>
      <w:r>
        <w:rPr>
          <w:rFonts w:ascii="Times New Roman" w:cs="Times New Roman" w:eastAsia="Times New Roman" w:hAnsi="Times New Roman"/>
          <w:sz w:val="16"/>
          <w:szCs w:val="16"/>
          <w:color w:val="auto"/>
        </w:rPr>
        <w:t>. The Company agrees that any information or advice rendered by the Placement Agent in connection with this engagement is for the confidential use of the Company only in their evaluation of the Placement and, except as otherwise required by law, the Company will not disclose or otherwise refer to the advice or information in any manner without the Placement Agent’s prior written consent.</w:t>
      </w:r>
    </w:p>
    <w:p>
      <w:pPr>
        <w:spacing w:after="0" w:line="157" w:lineRule="exact"/>
        <w:rPr>
          <w:sz w:val="20"/>
          <w:szCs w:val="20"/>
          <w:color w:val="auto"/>
        </w:rPr>
      </w:pPr>
    </w:p>
    <w:p>
      <w:pPr>
        <w:jc w:val="both"/>
        <w:ind w:left="5" w:right="20"/>
        <w:spacing w:after="0" w:line="256" w:lineRule="auto"/>
        <w:rPr>
          <w:sz w:val="20"/>
          <w:szCs w:val="20"/>
          <w:color w:val="auto"/>
        </w:rPr>
      </w:pP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NO FIDUCIARY RELATIONSHIP</w:t>
      </w:r>
      <w:r>
        <w:rPr>
          <w:rFonts w:ascii="Times New Roman" w:cs="Times New Roman" w:eastAsia="Times New Roman" w:hAnsi="Times New Roman"/>
          <w:sz w:val="16"/>
          <w:szCs w:val="16"/>
          <w:color w:val="auto"/>
        </w:rPr>
        <w:t>. This Agreement does not create, and shall not be construed as creating rights enforceable by any person or entity not a party hereto, except those entitled hereto by virtue of the Indemnification Provisions hereof. The Company acknowledges and agrees that the Placement Agent is not and shall not be construed as a fiduciary of the Company and shall have no duties or liabilities to the equity holders or the creditors of the Company or any other person by virtue of this Agreement or the retention of the Placement Agent hereunder, all of which are hereby expressly waived.</w:t>
      </w:r>
    </w:p>
    <w:p>
      <w:pPr>
        <w:spacing w:after="0" w:line="161" w:lineRule="exact"/>
        <w:rPr>
          <w:sz w:val="20"/>
          <w:szCs w:val="20"/>
          <w:color w:val="auto"/>
        </w:rPr>
      </w:pPr>
    </w:p>
    <w:p>
      <w:pPr>
        <w:jc w:val="both"/>
        <w:ind w:left="5"/>
        <w:spacing w:after="0" w:line="256" w:lineRule="auto"/>
        <w:rPr>
          <w:sz w:val="20"/>
          <w:szCs w:val="20"/>
          <w:color w:val="auto"/>
        </w:rPr>
      </w:pP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The obligations of the Placement Agent, and the closing of the sale of the Securities hereunder are subject to the accuracy, when made and on the Closing Date, of the representations and warranties on the part of the Company contained herein and in the Purchase Agreement, to the accuracy of the statements of the Company made in any certificates pursuant to the provisions hereof, to the performance by the Company of their obligations hereunder, and to each of the following additional terms and conditions, except as otherwise disclosed to and acknowledged and waived by the Placement Agent by the Company:</w:t>
      </w:r>
    </w:p>
    <w:p>
      <w:pPr>
        <w:spacing w:after="0" w:line="185" w:lineRule="exact"/>
        <w:rPr>
          <w:sz w:val="20"/>
          <w:szCs w:val="20"/>
          <w:color w:val="auto"/>
        </w:rPr>
      </w:pPr>
    </w:p>
    <w:p>
      <w:pPr>
        <w:jc w:val="both"/>
        <w:ind w:left="5" w:hanging="5"/>
        <w:spacing w:after="0" w:line="256" w:lineRule="auto"/>
        <w:tabs>
          <w:tab w:leader="none" w:pos="321"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stop order suspending the effectiveness of the Registration Statement shall have been issued and no proceedings for that purpose shall have been initiated or, to the Company’s knowledge, threatened by the Commission, and any request for additional information on the part of the Commission (to be included in the Registration Statement, the Base Prospectus, the Prospectus Supplement or otherwise) shall have been complied with to the reasonable satisfaction of the Placement Agent. Any filings required to be made by the Company in connection with the Placement shall have been timely filed with the Commission.</w:t>
      </w:r>
    </w:p>
    <w:p>
      <w:pPr>
        <w:spacing w:after="0" w:line="161" w:lineRule="exact"/>
        <w:rPr>
          <w:rFonts w:ascii="Times New Roman" w:cs="Times New Roman" w:eastAsia="Times New Roman" w:hAnsi="Times New Roman"/>
          <w:sz w:val="16"/>
          <w:szCs w:val="16"/>
          <w:color w:val="auto"/>
        </w:rPr>
      </w:pPr>
    </w:p>
    <w:p>
      <w:pPr>
        <w:jc w:val="both"/>
        <w:ind w:left="5" w:right="20" w:hanging="5"/>
        <w:spacing w:after="0" w:line="261" w:lineRule="auto"/>
        <w:tabs>
          <w:tab w:leader="none" w:pos="321"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Placement Agent shall not have discovered and disclosed to the Company on or prior to the Closing Date that the Registration Statement, the Base Prospectus, the Prospectus Supplement or any amendment or supplement thereto contains an untrue statement of a fact which is material or omits to state any fact which is material and is required to be stated therein or is necessary to make the statements therein, in the light of the circumstances under which they were made, not misleading.</w:t>
      </w:r>
    </w:p>
    <w:p>
      <w:pPr>
        <w:spacing w:after="0" w:line="156" w:lineRule="exact"/>
        <w:rPr>
          <w:rFonts w:ascii="Times New Roman" w:cs="Times New Roman" w:eastAsia="Times New Roman" w:hAnsi="Times New Roman"/>
          <w:sz w:val="16"/>
          <w:szCs w:val="16"/>
          <w:color w:val="auto"/>
        </w:rPr>
      </w:pPr>
    </w:p>
    <w:p>
      <w:pPr>
        <w:jc w:val="both"/>
        <w:ind w:left="5" w:hanging="5"/>
        <w:spacing w:after="0" w:line="252" w:lineRule="auto"/>
        <w:tabs>
          <w:tab w:leader="none" w:pos="321"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corporate proceedings and other legal matters incident to the authorization, form, execution, delivery and validity of each of this Agreement, the Securities, the Registration Statement, the Base Prospectus and the Prospectus Supplement and all other legal matters relating to this Agreement and the transactions contemplated hereby shall be reasonably satisfactory in all material respects to counsel for the Placement Agent, and the Company shall have furnished to such counsel all documents and information that they may reasonably request to enable them to pass upon such matters.</w:t>
      </w:r>
    </w:p>
    <w:p>
      <w:pPr>
        <w:spacing w:after="0" w:line="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4</w:t>
      </w:r>
    </w:p>
    <w:p>
      <w:pPr>
        <w:spacing w:after="0" w:line="382" w:lineRule="exact"/>
        <w:rPr>
          <w:sz w:val="20"/>
          <w:szCs w:val="20"/>
          <w:color w:val="auto"/>
        </w:rPr>
      </w:pPr>
    </w:p>
    <w:p>
      <w:pPr>
        <w:ind w:left="65" w:right="3700" w:hanging="35"/>
        <w:spacing w:after="0" w:line="299"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4908-1680-6838, v.17 DOCPROPERTY "CUS_DocIDChunk0" 76095593.1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386080</wp:posOffset>
            </wp:positionV>
            <wp:extent cx="7174865" cy="406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440" w:right="319" w:bottom="1440" w:gutter="0" w:footer="0" w:header="0"/>
        </w:sectPr>
      </w:pPr>
    </w:p>
    <w:bookmarkStart w:id="155" w:name="page156"/>
    <w:bookmarkEnd w:id="155"/>
    <w:p>
      <w:pPr>
        <w:spacing w:after="0" w:line="8" w:lineRule="exact"/>
        <w:rPr>
          <w:sz w:val="20"/>
          <w:szCs w:val="20"/>
          <w:color w:val="auto"/>
        </w:rPr>
      </w:pPr>
    </w:p>
    <w:p>
      <w:pPr>
        <w:ind w:left="5" w:right="60" w:hanging="5"/>
        <w:spacing w:after="0" w:line="276" w:lineRule="auto"/>
        <w:tabs>
          <w:tab w:leader="none" w:pos="321"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Placement Agent shall have received (i) from Honigman LLP, outside counsel to the Company, such counsel’s written opinion, which shall be addressed to the Placement Agent and the Purchasers and dated as of the Closing Date, in form and substance reasonably satisfactory to the Placement Agent.</w:t>
      </w:r>
    </w:p>
    <w:p>
      <w:pPr>
        <w:spacing w:after="0" w:line="144" w:lineRule="exact"/>
        <w:rPr>
          <w:rFonts w:ascii="Times New Roman" w:cs="Times New Roman" w:eastAsia="Times New Roman" w:hAnsi="Times New Roman"/>
          <w:sz w:val="16"/>
          <w:szCs w:val="16"/>
          <w:color w:val="auto"/>
        </w:rPr>
      </w:pPr>
    </w:p>
    <w:p>
      <w:pPr>
        <w:ind w:left="5" w:right="40" w:hanging="5"/>
        <w:spacing w:after="0" w:line="276" w:lineRule="auto"/>
        <w:tabs>
          <w:tab w:leader="none" w:pos="368"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hereof and on the Closing Date, the Placement Agent shall have received a certificate of the Chief Financial Officer of the Company, in his capacity as such, dated, as applicable, as of the date of such Closing, certifying to certain financial matters, in form and substance reasonably satisfactory to the Placement Agent.</w:t>
      </w:r>
    </w:p>
    <w:p>
      <w:pPr>
        <w:spacing w:after="0" w:line="144" w:lineRule="exact"/>
        <w:rPr>
          <w:rFonts w:ascii="Times New Roman" w:cs="Times New Roman" w:eastAsia="Times New Roman" w:hAnsi="Times New Roman"/>
          <w:sz w:val="16"/>
          <w:szCs w:val="16"/>
          <w:color w:val="auto"/>
        </w:rPr>
      </w:pPr>
    </w:p>
    <w:p>
      <w:pPr>
        <w:jc w:val="both"/>
        <w:ind w:left="5" w:hanging="5"/>
        <w:spacing w:after="0" w:line="254" w:lineRule="auto"/>
        <w:tabs>
          <w:tab w:leader="none" w:pos="321"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Closing Date, the Placement Agent shall have received a certificate of the Chief Executive Officer of the Company, in his capacity as such, dated as of the date of such Closing, to the effect that, as of the date of this Agreement and as of the applicable date, the representations and warranties of the Company contained herein and in the Purchase Agreement were and are accurate in all material respects, except for such changes as are contemplated by this Agreement and except as to representations and warranties that were expressly limited to a state of facts existing at a time prior to the applicable Closing Date, and that, as of the applicable date, the obligations to be performed by the Company hereunder on or prior thereto have been fully performed in all material respects.</w:t>
      </w:r>
    </w:p>
    <w:p>
      <w:pPr>
        <w:spacing w:after="0" w:line="161" w:lineRule="exact"/>
        <w:rPr>
          <w:rFonts w:ascii="Times New Roman" w:cs="Times New Roman" w:eastAsia="Times New Roman" w:hAnsi="Times New Roman"/>
          <w:sz w:val="16"/>
          <w:szCs w:val="16"/>
          <w:color w:val="auto"/>
        </w:rPr>
      </w:pPr>
    </w:p>
    <w:p>
      <w:pPr>
        <w:jc w:val="both"/>
        <w:ind w:left="5" w:right="20" w:hanging="5"/>
        <w:spacing w:after="0" w:line="261" w:lineRule="auto"/>
        <w:tabs>
          <w:tab w:leader="none" w:pos="321"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Closing Date, the Placement Agent shall have received a certificate of the Secretary of the Company, in his capacity as such, dated as of the date of such Closing, certifying to the organizational documents, good standing in the state of incorporation of the Company and board resolutions relating to the Placement of the Securities from the Company.</w:t>
      </w:r>
    </w:p>
    <w:p>
      <w:pPr>
        <w:spacing w:after="0" w:line="156" w:lineRule="exact"/>
        <w:rPr>
          <w:rFonts w:ascii="Times New Roman" w:cs="Times New Roman" w:eastAsia="Times New Roman" w:hAnsi="Times New Roman"/>
          <w:sz w:val="16"/>
          <w:szCs w:val="16"/>
          <w:color w:val="auto"/>
        </w:rPr>
      </w:pPr>
    </w:p>
    <w:p>
      <w:pPr>
        <w:ind w:left="305" w:hanging="305"/>
        <w:spacing w:after="0"/>
        <w:tabs>
          <w:tab w:leader="none" w:pos="305"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Closing Date, the Placement Agent shall have received the executed Placement Agent’s Warrant.</w:t>
      </w:r>
    </w:p>
    <w:p>
      <w:pPr>
        <w:spacing w:after="0" w:line="194" w:lineRule="exact"/>
        <w:rPr>
          <w:rFonts w:ascii="Times New Roman" w:cs="Times New Roman" w:eastAsia="Times New Roman" w:hAnsi="Times New Roman"/>
          <w:sz w:val="16"/>
          <w:szCs w:val="16"/>
          <w:color w:val="auto"/>
        </w:rPr>
      </w:pPr>
    </w:p>
    <w:p>
      <w:pPr>
        <w:jc w:val="both"/>
        <w:ind w:left="5" w:hanging="5"/>
        <w:spacing w:after="0" w:line="250" w:lineRule="auto"/>
        <w:tabs>
          <w:tab w:leader="none" w:pos="321"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 shall not have sustained since the date of the latest audited financial statements included or incorporated by reference in the Registration Statement, the Base Prospectus and the Prospectus Supplement, any loss or interference with its business from fire, explosion, flood, terrorist act or other calamity, whether or not covered by insurance, or from any labor dispute or court or governmental action, order or decree, otherwise than as set forth in or contemplated by the Registration Statement, the Base Prospectus and the Prospectus Supplement, and (ii) since the date of the latest audited financial statements included or incorporated by reference in the Registration Statement, the Base Prospectus and the Prospectus Supplement there shall not have been any change in the capital stock or long-term debt of the Company or any change, or any development involving a prospective change, in or affecting the business, general affairs, management, financial position, stockholders’ equity, results of operations or prospects of the Company, otherwise than as set forth in or contemplated by the Registration Statement, the Base Prospectus and the Prospectus Supplement, the effect of which, in any such case described in clause (i) or (ii), is, in the judgment of the Placement Agent, so material and adverse as to make it impracticable or inadvisable to proceed with the sale or delivery of the Securities on the terms and in the manner contemplated by the Base Prospectus, Prospectus Supplement and the Purchase Agreement.</w:t>
      </w:r>
    </w:p>
    <w:p>
      <w:pPr>
        <w:spacing w:after="0" w:line="167" w:lineRule="exact"/>
        <w:rPr>
          <w:rFonts w:ascii="Times New Roman" w:cs="Times New Roman" w:eastAsia="Times New Roman" w:hAnsi="Times New Roman"/>
          <w:sz w:val="16"/>
          <w:szCs w:val="16"/>
          <w:color w:val="auto"/>
        </w:rPr>
      </w:pPr>
    </w:p>
    <w:p>
      <w:pPr>
        <w:jc w:val="both"/>
        <w:ind w:left="5" w:hanging="5"/>
        <w:spacing w:after="0" w:line="254" w:lineRule="auto"/>
        <w:tabs>
          <w:tab w:leader="none" w:pos="321"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Common Stock is registered under the Exchange Act and, as of the Closing Date, the Common Stock shall be listed for trading on the Trading Market or other applicable U.S. national exchange and reasonable evidence of such action, if available, shall have been provided to the Placement Agent upon its request. The Company shall have taken no action designed to, or likely to have the effect of terminating the registration of the Common Stock under the Exchange Act or delisting or suspending from trading the Common Stock from the Trading Market or other applicable U.S. national exchange, nor has the Company received any information suggesting that the Commission or the Trading Market or other U.S. applicable national exchange is contemplating terminating such registration or listing.</w:t>
      </w:r>
    </w:p>
    <w:p>
      <w:pPr>
        <w:spacing w:after="0" w:line="161" w:lineRule="exact"/>
        <w:rPr>
          <w:rFonts w:ascii="Times New Roman" w:cs="Times New Roman" w:eastAsia="Times New Roman" w:hAnsi="Times New Roman"/>
          <w:sz w:val="16"/>
          <w:szCs w:val="16"/>
          <w:color w:val="auto"/>
        </w:rPr>
      </w:pPr>
    </w:p>
    <w:p>
      <w:pPr>
        <w:jc w:val="both"/>
        <w:ind w:left="5" w:hanging="5"/>
        <w:spacing w:after="0" w:line="252" w:lineRule="auto"/>
        <w:tabs>
          <w:tab w:leader="none" w:pos="321"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action shall have been taken and no statute, rule, regulation or order shall have been enacted, adopted or issued by any governmental agency or body which would, as of the Closing Date, prevent the issuance or sale of the Securities or materially and adversely affect or potentially and adversely affect the business or operations of the Company; and no injunction, restraining order or order of any other nature by any federal or state court of competent jurisdiction shall have been issued as of the Closing Date which would prevent the issuance or sale of the Securities or materially and adversely affect or potentially and adversely affect the business or operations of the Company.</w:t>
      </w:r>
    </w:p>
    <w:p>
      <w:pPr>
        <w:spacing w:after="0" w:line="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5</w:t>
      </w:r>
    </w:p>
    <w:p>
      <w:pPr>
        <w:spacing w:after="0" w:line="382" w:lineRule="exact"/>
        <w:rPr>
          <w:sz w:val="20"/>
          <w:szCs w:val="20"/>
          <w:color w:val="auto"/>
        </w:rPr>
      </w:pPr>
    </w:p>
    <w:p>
      <w:pPr>
        <w:ind w:left="65" w:right="3700" w:hanging="35"/>
        <w:spacing w:after="0" w:line="299"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4908-1680-6838, v.17 DOCPROPERTY "CUS_DocIDChunk0" 76095593.1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386080</wp:posOffset>
            </wp:positionV>
            <wp:extent cx="7174865" cy="406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440" w:right="319" w:bottom="1440" w:gutter="0" w:footer="0" w:header="0"/>
        </w:sectPr>
      </w:pPr>
    </w:p>
    <w:bookmarkStart w:id="156" w:name="page157"/>
    <w:bookmarkEnd w:id="156"/>
    <w:p>
      <w:pPr>
        <w:spacing w:after="0" w:line="8" w:lineRule="exact"/>
        <w:rPr>
          <w:sz w:val="20"/>
          <w:szCs w:val="20"/>
          <w:color w:val="auto"/>
        </w:rPr>
      </w:pPr>
    </w:p>
    <w:p>
      <w:pPr>
        <w:ind w:left="5" w:right="60" w:hanging="5"/>
        <w:spacing w:after="0" w:line="276" w:lineRule="auto"/>
        <w:tabs>
          <w:tab w:leader="none" w:pos="321"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prepared for filing with the Commission a Current Report on Form 8-K with respect to the Placement, including as an exhibit thereto this Agreement.</w:t>
      </w:r>
    </w:p>
    <w:p>
      <w:pPr>
        <w:spacing w:after="0" w:line="144" w:lineRule="exact"/>
        <w:rPr>
          <w:rFonts w:ascii="Times New Roman" w:cs="Times New Roman" w:eastAsia="Times New Roman" w:hAnsi="Times New Roman"/>
          <w:sz w:val="16"/>
          <w:szCs w:val="16"/>
          <w:color w:val="auto"/>
        </w:rPr>
      </w:pPr>
    </w:p>
    <w:p>
      <w:pPr>
        <w:ind w:left="5" w:right="20" w:hanging="5"/>
        <w:spacing w:after="0" w:line="276" w:lineRule="auto"/>
        <w:tabs>
          <w:tab w:leader="none" w:pos="321"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purchase agreement entered into by the Company with a Purchaser shall be in full force and effect and shall contain representations, warranties and covenants of the Company as agreed between the Company and the Purchaser.</w:t>
      </w:r>
    </w:p>
    <w:p>
      <w:pPr>
        <w:spacing w:after="0" w:line="144" w:lineRule="exact"/>
        <w:rPr>
          <w:rFonts w:ascii="Times New Roman" w:cs="Times New Roman" w:eastAsia="Times New Roman" w:hAnsi="Times New Roman"/>
          <w:sz w:val="16"/>
          <w:szCs w:val="16"/>
          <w:color w:val="auto"/>
        </w:rPr>
      </w:pPr>
    </w:p>
    <w:p>
      <w:pPr>
        <w:jc w:val="both"/>
        <w:ind w:left="5" w:right="20" w:hanging="5"/>
        <w:spacing w:after="0" w:line="261" w:lineRule="auto"/>
        <w:tabs>
          <w:tab w:leader="none" w:pos="321"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FINRA shall have raised no objection to the fairness and reasonableness of the terms and arrangements of this Agreement. In addition, the Company shall, if requested by the Placement Agent, make or authorize Placement Agent’s counsel to make on the Company’s behalf, any filing with the FINRA Corporate Financing Department pursuant to FINRA Rule 5110 with respect to the Placement and pay all filing fees required in connection therewith.</w:t>
      </w:r>
    </w:p>
    <w:p>
      <w:pPr>
        <w:spacing w:after="0" w:line="156" w:lineRule="exact"/>
        <w:rPr>
          <w:rFonts w:ascii="Times New Roman" w:cs="Times New Roman" w:eastAsia="Times New Roman" w:hAnsi="Times New Roman"/>
          <w:sz w:val="16"/>
          <w:szCs w:val="16"/>
          <w:color w:val="auto"/>
        </w:rPr>
      </w:pPr>
    </w:p>
    <w:p>
      <w:pPr>
        <w:jc w:val="both"/>
        <w:ind w:left="5" w:right="20" w:hanging="5"/>
        <w:spacing w:after="0" w:line="254" w:lineRule="auto"/>
        <w:tabs>
          <w:tab w:leader="none" w:pos="321"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Closing Date, the Company shall have furnished to the Placement Agent such further information, certificates and documents as the Placement Agent may reasonably request. If any of the conditions specified in this Section 8 shall not have been fulfilled when and as required by this Agreement, or if any of the certificates, opinions, written statements or letters furnished to the Placement Agent pursuant to this Section 8 shall not be reasonably satisfactory in form and substance to the Placement Agent, all obligations of the Placement Agent hereunder may be cancelled by the Placement Agent at, or at any time prior to, the consummation of the Closing. Notice of such cancellation shall be given to the Company in writing or orally. Any such oral notice shall be confirmed promptly thereafter in writing.</w:t>
      </w:r>
    </w:p>
    <w:p>
      <w:pPr>
        <w:spacing w:after="0" w:line="162" w:lineRule="exact"/>
        <w:rPr>
          <w:sz w:val="20"/>
          <w:szCs w:val="20"/>
          <w:color w:val="auto"/>
        </w:rPr>
      </w:pPr>
    </w:p>
    <w:p>
      <w:pPr>
        <w:jc w:val="both"/>
        <w:ind w:left="5"/>
        <w:spacing w:after="0" w:line="250" w:lineRule="auto"/>
        <w:rPr>
          <w:sz w:val="20"/>
          <w:szCs w:val="20"/>
          <w:color w:val="auto"/>
        </w:rPr>
      </w:pPr>
      <w:r>
        <w:rPr>
          <w:rFonts w:ascii="Times New Roman" w:cs="Times New Roman" w:eastAsia="Times New Roman" w:hAnsi="Times New Roman"/>
          <w:sz w:val="16"/>
          <w:szCs w:val="16"/>
          <w:u w:val="single" w:color="auto"/>
          <w:color w:val="auto"/>
        </w:rPr>
        <w:t>SECTION 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WARRANT INDUCEMENT COMPENSATION</w:t>
      </w:r>
      <w:r>
        <w:rPr>
          <w:rFonts w:ascii="Times New Roman" w:cs="Times New Roman" w:eastAsia="Times New Roman" w:hAnsi="Times New Roman"/>
          <w:sz w:val="16"/>
          <w:szCs w:val="16"/>
          <w:color w:val="auto"/>
        </w:rPr>
        <w:t>. With respect to any transaction with the holders of Warrants issued in the Placement that is structured as an inducement to exercise such Warrants (including any amendment, repricing, exchange, reset, or issuance of additional warrants or other securities in connection therewith) (an “</w:t>
      </w:r>
      <w:r>
        <w:rPr>
          <w:rFonts w:ascii="Times New Roman" w:cs="Times New Roman" w:eastAsia="Times New Roman" w:hAnsi="Times New Roman"/>
          <w:sz w:val="16"/>
          <w:szCs w:val="16"/>
          <w:b w:val="1"/>
          <w:bCs w:val="1"/>
          <w:color w:val="auto"/>
        </w:rPr>
        <w:t>Inducement Transaction</w:t>
      </w:r>
      <w:r>
        <w:rPr>
          <w:rFonts w:ascii="Times New Roman" w:cs="Times New Roman" w:eastAsia="Times New Roman" w:hAnsi="Times New Roman"/>
          <w:sz w:val="16"/>
          <w:szCs w:val="16"/>
          <w:color w:val="auto"/>
        </w:rPr>
        <w:t>”) that is consummated at any time within the twelve (12) month period following the Termination Date, the Placement Agent shall be entitled to (i) a cash fee equal to nine percent (9.0%) of the gross proceeds from such Inducement Transaction received by the Company from the exercise of such warrants pursuant to such Inducement Transaction by those certain investors (and their affiliates) who were, during the Term, contacted by the Placement Agent or directly or indirectly introduced by the Placement Agent, a portion of which may be allocated to other registered broker-dealers; and (ii) expenses calculated in the manner set forth in Sections 3.A.2 and 3.A.3 hereof substituting the words “Inducement Transaction” for “Placement” and “$50,000” for “$75,000”. Notwithstanding anything to the contrary herein, no compensation shall be due hereunder with respect to (i) any stock or equity of the Company issued to its officers, directors, employees or consultants, (ii) any securities issued to holders of the Company’s currently outstanding options, (iii) Warrants upon exercise thereof nor any individual exercise of the Warrants issued in the Placement or (iv) and adjustment of the Warrants under Section 3 thereof.</w:t>
      </w:r>
    </w:p>
    <w:p>
      <w:pPr>
        <w:spacing w:after="0" w:line="165" w:lineRule="exact"/>
        <w:rPr>
          <w:sz w:val="20"/>
          <w:szCs w:val="20"/>
          <w:color w:val="auto"/>
        </w:rPr>
      </w:pPr>
    </w:p>
    <w:p>
      <w:pPr>
        <w:jc w:val="both"/>
        <w:ind w:left="5"/>
        <w:spacing w:after="0" w:line="250" w:lineRule="auto"/>
        <w:rPr>
          <w:sz w:val="20"/>
          <w:szCs w:val="20"/>
          <w:color w:val="auto"/>
        </w:rPr>
      </w:pPr>
      <w:r>
        <w:rPr>
          <w:rFonts w:ascii="Times New Roman" w:cs="Times New Roman" w:eastAsia="Times New Roman" w:hAnsi="Times New Roman"/>
          <w:sz w:val="16"/>
          <w:szCs w:val="16"/>
          <w:u w:val="single" w:color="auto"/>
          <w:color w:val="auto"/>
        </w:rPr>
        <w:t>SECTION 10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will be governed by, and construed in accordance with, the laws of the State of New York applicable to agreements made and to be performed entirely in such State without regard to the conflicts of laws principles thereof. This Agreement may not be assigned by either party without the prior written consent of the other party. This Agreement shall be binding upon and inure to the benefit of the parties hereto, and their respective successors and permitted assigns. Any right to trial by jury with respect to any dispute arising under this Agreement or any transaction or conduct in connection herewith is waived. Any dispute arising under this Agreement may be brought into the courts of the State of New York or into the Federal Court located in New York, New York and, by execution and delivery of this Agreement, the Company hereby accepts for itself and in respect of its property, generally and unconditionally, the jurisdiction of aforesaid courts. Each party hereto hereby irrevocably waives personal service of process and consents to process being served in any such suit, action or proceeding by delivering a copy thereof via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67" w:lineRule="exact"/>
        <w:rPr>
          <w:sz w:val="20"/>
          <w:szCs w:val="20"/>
          <w:color w:val="auto"/>
        </w:rPr>
      </w:pPr>
    </w:p>
    <w:p>
      <w:pPr>
        <w:jc w:val="both"/>
        <w:ind w:left="5" w:right="20"/>
        <w:spacing w:after="0" w:line="258" w:lineRule="auto"/>
        <w:rPr>
          <w:sz w:val="20"/>
          <w:szCs w:val="20"/>
          <w:color w:val="auto"/>
        </w:rPr>
      </w:pP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ENTIRE AGREEMENT/MISC</w:t>
      </w:r>
      <w:r>
        <w:rPr>
          <w:rFonts w:ascii="Times New Roman" w:cs="Times New Roman" w:eastAsia="Times New Roman" w:hAnsi="Times New Roman"/>
          <w:sz w:val="16"/>
          <w:szCs w:val="16"/>
          <w:color w:val="auto"/>
        </w:rPr>
        <w:t>. This Agreement (including the attached Indemnification Provisions) embodies the entire agreement and understanding between the parties hereto, and supersedes all prior agreements and</w:t>
      </w:r>
    </w:p>
    <w:p>
      <w:pPr>
        <w:jc w:val="center"/>
        <w:ind w:right="-4"/>
        <w:spacing w:after="0"/>
        <w:rPr>
          <w:sz w:val="20"/>
          <w:szCs w:val="20"/>
          <w:color w:val="auto"/>
        </w:rPr>
      </w:pPr>
      <w:r>
        <w:rPr>
          <w:rFonts w:ascii="Times New Roman" w:cs="Times New Roman" w:eastAsia="Times New Roman" w:hAnsi="Times New Roman"/>
          <w:sz w:val="16"/>
          <w:szCs w:val="16"/>
          <w:color w:val="auto"/>
        </w:rPr>
        <w:t>6</w:t>
      </w:r>
    </w:p>
    <w:p>
      <w:pPr>
        <w:spacing w:after="0" w:line="382" w:lineRule="exact"/>
        <w:rPr>
          <w:sz w:val="20"/>
          <w:szCs w:val="20"/>
          <w:color w:val="auto"/>
        </w:rPr>
      </w:pPr>
    </w:p>
    <w:p>
      <w:pPr>
        <w:ind w:left="65" w:right="3700" w:hanging="35"/>
        <w:spacing w:after="0" w:line="299"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4908-1680-6838, v.17 DOCPROPERTY "CUS_DocIDChunk0" 76095593.1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386080</wp:posOffset>
            </wp:positionV>
            <wp:extent cx="7174865" cy="406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440" w:right="319" w:bottom="1440" w:gutter="0" w:footer="0" w:header="0"/>
        </w:sectPr>
      </w:pPr>
    </w:p>
    <w:bookmarkStart w:id="157" w:name="page158"/>
    <w:bookmarkEnd w:id="157"/>
    <w:p>
      <w:pPr>
        <w:spacing w:after="0" w:line="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understandings, relating to the subject matter hereof, including, the Engagement Letter dated as of June 9, 2026 between the parties hereto (the “</w:t>
      </w:r>
      <w:r>
        <w:rPr>
          <w:rFonts w:ascii="Times New Roman" w:cs="Times New Roman" w:eastAsia="Times New Roman" w:hAnsi="Times New Roman"/>
          <w:sz w:val="16"/>
          <w:szCs w:val="16"/>
          <w:b w:val="1"/>
          <w:bCs w:val="1"/>
          <w:color w:val="auto"/>
        </w:rPr>
        <w:t>Engagement Letter</w:t>
      </w:r>
      <w:r>
        <w:rPr>
          <w:rFonts w:ascii="Times New Roman" w:cs="Times New Roman" w:eastAsia="Times New Roman" w:hAnsi="Times New Roman"/>
          <w:sz w:val="16"/>
          <w:szCs w:val="16"/>
          <w:color w:val="auto"/>
        </w:rPr>
        <w:t>”), which is terminated upon the entrance into this Agreement and such engagement letter shall be of no further force and effect; provided however, that the paragraph 8 of the Engagement Letter shall survive and be in full force and effect. If any provision of this Agreement is determined to be invalid or unenforceable in any respect, such determination will not affect such provision in any other respect or any other provision of this Agreement, which will remain in full force and effect. This Agreement may not be amended or otherwise modified or waived except by an instrument in writing signed by the Placement Agent and the Company.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a .pdf format file, such signature shall create a valid and binding obligation of the party executing (or on whose behalf such signature is executed) with the same force and effect as if such .pdf signature page were an original thereof.</w:t>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u w:val="single" w:color="auto"/>
          <w:color w:val="auto"/>
        </w:rPr>
        <w:t>SECTION 12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CONFIDENTIALITY</w:t>
      </w:r>
      <w:r>
        <w:rPr>
          <w:rFonts w:ascii="Times New Roman" w:cs="Times New Roman" w:eastAsia="Times New Roman" w:hAnsi="Times New Roman"/>
          <w:sz w:val="15"/>
          <w:szCs w:val="15"/>
          <w:color w:val="auto"/>
        </w:rPr>
        <w:t>. The Placement Agent (i) will not (except as required by applicable law, regulation or legal process (“</w:t>
      </w:r>
      <w:r>
        <w:rPr>
          <w:rFonts w:ascii="Times New Roman" w:cs="Times New Roman" w:eastAsia="Times New Roman" w:hAnsi="Times New Roman"/>
          <w:sz w:val="15"/>
          <w:szCs w:val="15"/>
          <w:b w:val="1"/>
          <w:bCs w:val="1"/>
          <w:color w:val="auto"/>
        </w:rPr>
        <w:t>Legal Requirement</w:t>
      </w:r>
      <w:r>
        <w:rPr>
          <w:rFonts w:ascii="Times New Roman" w:cs="Times New Roman" w:eastAsia="Times New Roman" w:hAnsi="Times New Roman"/>
          <w:sz w:val="15"/>
          <w:szCs w:val="15"/>
          <w:color w:val="auto"/>
        </w:rPr>
        <w:t>”)), without the Company’s prior written consent, disclose to any person any Confidential Information (as defined below), and (ii) will not use any Confidential Information other than in connection with advising the Company regarding the Placement. The Placement Agent further agrees to disclose the Confidential Information only to its Representatives (as such term is defined below) who need to know the Confidential Information for the purpose of the Placement, and who are informed by the Placement Agent of the confidential nature of the Confidential Information. The Placement Agent shall be responsible for any breach of the confidentiality obligations herein by its Representatives. The term “</w:t>
      </w:r>
      <w:r>
        <w:rPr>
          <w:rFonts w:ascii="Times New Roman" w:cs="Times New Roman" w:eastAsia="Times New Roman" w:hAnsi="Times New Roman"/>
          <w:sz w:val="15"/>
          <w:szCs w:val="15"/>
          <w:b w:val="1"/>
          <w:bCs w:val="1"/>
          <w:color w:val="auto"/>
        </w:rPr>
        <w:t>Confidential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Information</w:t>
      </w:r>
      <w:r>
        <w:rPr>
          <w:rFonts w:ascii="Times New Roman" w:cs="Times New Roman" w:eastAsia="Times New Roman" w:hAnsi="Times New Roman"/>
          <w:sz w:val="15"/>
          <w:szCs w:val="15"/>
          <w:color w:val="auto"/>
        </w:rPr>
        <w:t>” shall mean, all proprietary information (whether written, oral or electronic communications) furnished by the Company to a Placement Agent or its Representatives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connection with the Placement Agent’s evaluation of the Placement. The term “</w:t>
      </w:r>
      <w:r>
        <w:rPr>
          <w:rFonts w:ascii="Times New Roman" w:cs="Times New Roman" w:eastAsia="Times New Roman" w:hAnsi="Times New Roman"/>
          <w:sz w:val="15"/>
          <w:szCs w:val="15"/>
          <w:b w:val="1"/>
          <w:bCs w:val="1"/>
          <w:color w:val="auto"/>
        </w:rPr>
        <w:t>Confidential Information</w:t>
      </w:r>
      <w:r>
        <w:rPr>
          <w:rFonts w:ascii="Times New Roman" w:cs="Times New Roman" w:eastAsia="Times New Roman" w:hAnsi="Times New Roman"/>
          <w:sz w:val="15"/>
          <w:szCs w:val="15"/>
          <w:color w:val="auto"/>
        </w:rPr>
        <w:t>” will not, however, include information which (i) is or becomes publicly available other than as a result of a disclosure by a Placement Agent or its Representatives in violation of this Agreement, (ii) is or becomes available to a Placement Agent or any of its Representatives on a non-confidential basis from a third-party, (iii) is known to a Placement Agent or any of its Representatives prior to disclosure by the Company or any of its Representatives, or (iv) is or has been independently developed by a Placement Agent and/or the Representatives without use of or access to any Confidential Information furnished to it by the Company. The term “</w:t>
      </w:r>
      <w:r>
        <w:rPr>
          <w:rFonts w:ascii="Times New Roman" w:cs="Times New Roman" w:eastAsia="Times New Roman" w:hAnsi="Times New Roman"/>
          <w:sz w:val="15"/>
          <w:szCs w:val="15"/>
          <w:b w:val="1"/>
          <w:bCs w:val="1"/>
          <w:color w:val="auto"/>
        </w:rPr>
        <w:t>Representatives</w:t>
      </w:r>
      <w:r>
        <w:rPr>
          <w:rFonts w:ascii="Times New Roman" w:cs="Times New Roman" w:eastAsia="Times New Roman" w:hAnsi="Times New Roman"/>
          <w:sz w:val="15"/>
          <w:szCs w:val="15"/>
          <w:color w:val="auto"/>
        </w:rPr>
        <w:t>” shall mean the Placement Agent’s directors, board committees, officers, employees, financial advisors, attorneys and accountants. This provision shall be in full force until two years from the date hereof. Notwithstanding any of the foregoing, in the event that the Placement Agent or any of its Representatives are required by Legal Requirement to disclose any of the Confidential Information, the Placement Agent and its Representatives will furnish only that portion of the Confidential Information which the Placement Agent or its Representative, as applicable, is required to disclose by Legal Requirement as advised by counsel, and will use reasonable efforts to obtain reliable assurance that confidential treatment will be accorded the Confidential Information so disclosed.</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u w:val="single" w:color="auto"/>
          <w:color w:val="auto"/>
        </w:rPr>
        <w:t>SECTION 13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and all notices or other communications or deliveries required or permitted to be provided hereunder shall be in writing and shall be deemed given and effective on the earliest of (a) the date of transmission, if such notice or communication is sent to the email address specified on the signature pages attached hereto prior to 6:30 p.m. (New York City time) on a business day, (b) the next business day after the date of transmission, if such notice or communication is sent to the email address on the signature pages attached hereto on a day that is not a business day or later than 6:30 p.m. (New York City time) on any business day, (c) the third business day following the date of mailing, if sent by U.S. internationally recognized air courier service, or (d) upon actual receipt by the party to whom such notice is required to be given. The address for such notices and communications shall be as set forth on the signature pages hereto.</w:t>
      </w:r>
    </w:p>
    <w:p>
      <w:pPr>
        <w:spacing w:after="0" w:line="16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u w:val="single" w:color="auto"/>
          <w:color w:val="auto"/>
        </w:rPr>
        <w:t>SECTION 14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PRESS ANNOUNCEMENTS</w:t>
      </w:r>
      <w:r>
        <w:rPr>
          <w:rFonts w:ascii="Times New Roman" w:cs="Times New Roman" w:eastAsia="Times New Roman" w:hAnsi="Times New Roman"/>
          <w:sz w:val="16"/>
          <w:szCs w:val="16"/>
          <w:color w:val="auto"/>
        </w:rPr>
        <w:t>. The Company agrees that the Placement Agent shall, from and after any Closing, have the right to reference the Placement and the Placement Agent’s role in connection therewith in the Placement Agent’s marketing materials and on its website and to place advertisements in financial and other newspapers and journals, in each case at its own expense.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382" w:lineRule="exact"/>
        <w:rPr>
          <w:sz w:val="20"/>
          <w:szCs w:val="20"/>
          <w:color w:val="auto"/>
        </w:rPr>
      </w:pPr>
    </w:p>
    <w:p>
      <w:pPr>
        <w:ind w:left="60" w:right="3700" w:hanging="35"/>
        <w:spacing w:after="0" w:line="299"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4908-1680-6838, v.17 DOCPROPERTY "CUS_DocIDChunk0" 76095593.1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386080</wp:posOffset>
            </wp:positionV>
            <wp:extent cx="7174865" cy="406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58" w:name="page159"/>
    <w:bookmarkEnd w:id="158"/>
    <w:p>
      <w:pPr>
        <w:spacing w:after="0" w:line="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The remainder of this page has been intentionally left blank.</w:t>
      </w:r>
      <w:r>
        <w:rPr>
          <w:rFonts w:ascii="Times New Roman" w:cs="Times New Roman" w:eastAsia="Times New Roman" w:hAnsi="Times New Roman"/>
          <w:sz w:val="15"/>
          <w:szCs w:val="15"/>
          <w:color w:val="auto"/>
        </w:rPr>
        <w:t>]</w:t>
      </w:r>
    </w:p>
    <w:p>
      <w:pPr>
        <w:spacing w:after="0" w:line="20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8</w:t>
      </w:r>
    </w:p>
    <w:p>
      <w:pPr>
        <w:spacing w:after="0" w:line="400" w:lineRule="exact"/>
        <w:rPr>
          <w:sz w:val="20"/>
          <w:szCs w:val="20"/>
          <w:color w:val="auto"/>
        </w:rPr>
      </w:pPr>
    </w:p>
    <w:p>
      <w:pPr>
        <w:ind w:right="2579" w:hanging="35"/>
        <w:spacing w:after="0" w:line="299"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4908-1680-6838, v.17 DOCPROPERTY "CUS_DocIDChunk0" 76095593.1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386080</wp:posOffset>
            </wp:positionV>
            <wp:extent cx="7174865" cy="406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5"/>
          <w:szCs w:val="15"/>
          <w:color w:val="auto"/>
        </w:rPr>
        <w:t>Please confirm that the foregoing correctly sets forth our agreement by signing and returning to Curvature the enclosed copy of this Agreement.</w:t>
      </w:r>
    </w:p>
    <w:p>
      <w:pPr>
        <w:spacing w:after="0" w:line="206"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16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6"/>
          <w:szCs w:val="16"/>
          <w:b w:val="1"/>
          <w:bCs w:val="1"/>
          <w:color w:val="auto"/>
        </w:rPr>
        <w:t>CURVATURE SECURITIES, LLC</w:t>
      </w:r>
    </w:p>
    <w:p>
      <w:pPr>
        <w:spacing w:after="0" w:line="327" w:lineRule="exact"/>
        <w:rPr>
          <w:sz w:val="20"/>
          <w:szCs w:val="20"/>
          <w:color w:val="auto"/>
        </w:rPr>
      </w:pPr>
    </w:p>
    <w:p>
      <w:pPr>
        <w:ind w:left="6420"/>
        <w:spacing w:after="0"/>
        <w:tabs>
          <w:tab w:leader="none" w:pos="6840" w:val="left"/>
        </w:tabs>
        <w:rPr>
          <w:sz w:val="20"/>
          <w:szCs w:val="20"/>
          <w:color w:val="auto"/>
        </w:rPr>
      </w:pPr>
      <w:r>
        <w:rPr>
          <w:rFonts w:ascii="Times New Roman" w:cs="Times New Roman" w:eastAsia="Times New Roman" w:hAnsi="Times New Roman"/>
          <w:sz w:val="16"/>
          <w:szCs w:val="16"/>
          <w:color w:val="auto"/>
        </w:rPr>
        <w:t>By:</w:t>
        <w:tab/>
        <w:t>/s/ Michael Bodner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4352290</wp:posOffset>
            </wp:positionH>
            <wp:positionV relativeFrom="paragraph">
              <wp:posOffset>13970</wp:posOffset>
            </wp:positionV>
            <wp:extent cx="2793365"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793365" cy="7620"/>
                    </a:xfrm>
                    <a:prstGeom prst="rect">
                      <a:avLst/>
                    </a:prstGeom>
                    <a:noFill/>
                  </pic:spPr>
                </pic:pic>
              </a:graphicData>
            </a:graphic>
          </wp:anchor>
        </w:drawing>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Name: Michael Bodner</w:t>
      </w:r>
    </w:p>
    <w:p>
      <w:pPr>
        <w:spacing w:after="0" w:line="2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Title: President</w:t>
      </w:r>
    </w:p>
    <w:p>
      <w:pPr>
        <w:spacing w:after="0" w:line="154"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6"/>
          <w:szCs w:val="16"/>
          <w:u w:val="single" w:color="auto"/>
          <w:color w:val="auto"/>
        </w:rPr>
        <w:t>Address for notice:</w:t>
      </w:r>
    </w:p>
    <w:p>
      <w:pPr>
        <w:spacing w:after="0" w:line="22"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6"/>
          <w:szCs w:val="16"/>
          <w:color w:val="auto"/>
        </w:rPr>
        <w:t>39 Main Street, Chatham NJ 07928</w:t>
      </w:r>
    </w:p>
    <w:p>
      <w:pPr>
        <w:spacing w:after="0" w:line="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6"/>
          <w:szCs w:val="16"/>
          <w:color w:val="auto"/>
        </w:rPr>
        <w:t>Attention: Michael Bodner, President</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6"/>
          <w:szCs w:val="16"/>
          <w:color w:val="auto"/>
        </w:rPr>
        <w:t>Email: [*]</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Accepted and Agreed to as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date first written above: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DECOY THERAPEUTICS INC.</w:t>
      </w:r>
    </w:p>
    <w:p>
      <w:pPr>
        <w:spacing w:after="0" w:line="20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6"/>
          <w:szCs w:val="16"/>
          <w:color w:val="auto"/>
        </w:rPr>
        <w:t>By:</w:t>
        <w:tab/>
        <w:t>/s/ Frederick E. Pierce,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13970</wp:posOffset>
            </wp:positionV>
            <wp:extent cx="285369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853690" cy="7620"/>
                    </a:xfrm>
                    <a:prstGeom prst="rect">
                      <a:avLst/>
                    </a:prstGeom>
                    <a:noFill/>
                  </pic:spPr>
                </pic:pic>
              </a:graphicData>
            </a:graphic>
          </wp:anchor>
        </w:drawing>
      </w:r>
    </w:p>
    <w:p>
      <w:pPr>
        <w:spacing w:after="0" w:line="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Name: Frederick E. Pierce, II</w:t>
      </w:r>
    </w:p>
    <w:p>
      <w:pPr>
        <w:spacing w:after="0" w:line="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Title: Chief Executive Officer and Director</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Address for notice</w:t>
      </w:r>
      <w:r>
        <w:rPr>
          <w:rFonts w:ascii="Times New Roman" w:cs="Times New Roman" w:eastAsia="Times New Roman" w:hAnsi="Times New Roman"/>
          <w:sz w:val="16"/>
          <w:szCs w:val="16"/>
          <w:color w:val="auto"/>
        </w:rPr>
        <w: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Decoy Therapeutics,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2450 Holcombe Boulevard, Suite X</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Houston, Texas 77021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Frederick E. Pierce, II, Chief Executive Officer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Placement Agency Agreement</w:t>
      </w:r>
      <w:r>
        <w:rPr>
          <w:rFonts w:ascii="Times New Roman" w:cs="Times New Roman" w:eastAsia="Times New Roman" w:hAnsi="Times New Roman"/>
          <w:sz w:val="16"/>
          <w:szCs w:val="16"/>
          <w:color w:val="auto"/>
        </w:rPr>
        <w:t>]</w:t>
      </w:r>
    </w:p>
    <w:p>
      <w:pPr>
        <w:spacing w:after="0" w:line="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9</w:t>
      </w:r>
    </w:p>
    <w:p>
      <w:pPr>
        <w:spacing w:after="0" w:line="382" w:lineRule="exact"/>
        <w:rPr>
          <w:sz w:val="20"/>
          <w:szCs w:val="20"/>
          <w:color w:val="auto"/>
        </w:rPr>
      </w:pPr>
    </w:p>
    <w:p>
      <w:pPr>
        <w:ind w:left="60" w:right="2579" w:hanging="35"/>
        <w:spacing w:after="0" w:line="299"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4908-1680-6838, v.17 DOCPROPERTY "CUS_DocIDChunk0" 76095593.1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386080</wp:posOffset>
            </wp:positionV>
            <wp:extent cx="7174865" cy="406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1258" w:right="1440" w:bottom="1440" w:gutter="0" w:footer="0" w:header="0"/>
        </w:sectPr>
      </w:pPr>
    </w:p>
    <w:bookmarkStart w:id="160" w:name="page161"/>
    <w:bookmarkEnd w:id="160"/>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ADDENDUM A</w:t>
      </w:r>
    </w:p>
    <w:p>
      <w:pPr>
        <w:spacing w:after="0" w:line="24"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u w:val="single" w:color="auto"/>
          <w:color w:val="auto"/>
        </w:rPr>
        <w:t>INDEMNIFICATION PROVISIONS</w:t>
      </w:r>
    </w:p>
    <w:p>
      <w:pPr>
        <w:spacing w:after="0" w:line="175" w:lineRule="exact"/>
        <w:rPr>
          <w:sz w:val="20"/>
          <w:szCs w:val="20"/>
          <w:color w:val="auto"/>
        </w:rPr>
      </w:pPr>
    </w:p>
    <w:p>
      <w:pPr>
        <w:jc w:val="both"/>
        <w:ind w:left="5" w:firstLine="751"/>
        <w:spacing w:after="0" w:line="262" w:lineRule="auto"/>
        <w:rPr>
          <w:sz w:val="20"/>
          <w:szCs w:val="20"/>
          <w:color w:val="auto"/>
        </w:rPr>
      </w:pPr>
      <w:r>
        <w:rPr>
          <w:rFonts w:ascii="Times New Roman" w:cs="Times New Roman" w:eastAsia="Times New Roman" w:hAnsi="Times New Roman"/>
          <w:sz w:val="16"/>
          <w:szCs w:val="16"/>
          <w:color w:val="auto"/>
        </w:rPr>
        <w:t>In connection with the engagement of Curvature Securities, LLC (the “</w:t>
      </w:r>
      <w:r>
        <w:rPr>
          <w:rFonts w:ascii="Times New Roman" w:cs="Times New Roman" w:eastAsia="Times New Roman" w:hAnsi="Times New Roman"/>
          <w:sz w:val="16"/>
          <w:szCs w:val="16"/>
          <w:b w:val="1"/>
          <w:bCs w:val="1"/>
          <w:color w:val="auto"/>
        </w:rPr>
        <w:t>Placement Agent</w:t>
      </w:r>
      <w:r>
        <w:rPr>
          <w:rFonts w:ascii="Times New Roman" w:cs="Times New Roman" w:eastAsia="Times New Roman" w:hAnsi="Times New Roman"/>
          <w:sz w:val="16"/>
          <w:szCs w:val="16"/>
          <w:color w:val="auto"/>
        </w:rPr>
        <w:t>”) by Decoy Therapeutics Inc.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pursuant to a placement agency agreement dated as of the date hereof, between the Company and the Placement Agent, as it may be amended from time to time in writing (the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the Company and the Placement Agent hereby agrees as follows:</w:t>
      </w:r>
    </w:p>
    <w:p>
      <w:pPr>
        <w:spacing w:after="0" w:line="156" w:lineRule="exact"/>
        <w:rPr>
          <w:sz w:val="20"/>
          <w:szCs w:val="20"/>
          <w:color w:val="auto"/>
        </w:rPr>
      </w:pPr>
    </w:p>
    <w:p>
      <w:pPr>
        <w:jc w:val="both"/>
        <w:ind w:left="5" w:hanging="5"/>
        <w:spacing w:after="0" w:line="252" w:lineRule="auto"/>
        <w:tabs>
          <w:tab w:leader="none" w:pos="321"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permitted by law, the Company will indemnify the Placement Agent and its affiliates, directors, officers, employees and controlling persons (within the meaning of Section 15 of the Securities Act of 1933, as amended, or Section 20 of the Securities Exchange Act of 1934, as amended) against all losses, claims, damages, reasonable and documented out-of-pocket expenses and liabilities, as the same are incurred (including the reasonable and documented out-of-pocket fees and expenses of counsel), relating to or arising out of its activities hereunder or pursuant to the Agreement, except to the extent that any losses, claims, damages, expenses or liabilities (or actions in respect thereof) are found in a final judgment (not subject to appeal) by a court of law to have resulted from the willful misconduct, bad faith or gross negligence in performing the services described herein.</w:t>
      </w:r>
    </w:p>
    <w:p>
      <w:pPr>
        <w:spacing w:after="0" w:line="165" w:lineRule="exact"/>
        <w:rPr>
          <w:rFonts w:ascii="Times New Roman" w:cs="Times New Roman" w:eastAsia="Times New Roman" w:hAnsi="Times New Roman"/>
          <w:sz w:val="16"/>
          <w:szCs w:val="16"/>
          <w:color w:val="auto"/>
        </w:rPr>
      </w:pPr>
    </w:p>
    <w:p>
      <w:pPr>
        <w:jc w:val="both"/>
        <w:ind w:left="5" w:hanging="5"/>
        <w:spacing w:after="0" w:line="250" w:lineRule="auto"/>
        <w:tabs>
          <w:tab w:leader="none" w:pos="321"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after receipt by the Placement Agent of notice of any claim or the commencement of any action or proceeding with respect to which the Placement Agent is entitled to indemnity hereunder, the Placement Agent will notify the Company in writing of such claim or of the commencement of such action or proceeding, and the Company will assume the defense of such action or proceeding and will employ counsel reasonably satisfactory to the Placement Agent and will pay the reasonable fees and expenses of such counsel. Notwithstanding the preceding sentence, the Placement Agent will be entitled to employ counsel separate from counsel for the Company and from any other party in such action if counsel for the Placement Agent reasonably determines that it would be inappropriate under the applicable rules of professional responsibility for the same counsel to represent both the Company and the Placement Agent. In such event, the reasonable and documented out-of-pocket fees and disbursements of no more than one such separate counsel will be paid by the Company. The Company will have the exclusive right to settle the claim or proceeding provided that the Company will not settle any such claim, action or proceeding without the prior written consent of the Placement Agent, which will not be unreasonably withheld, unless such settlement includes an unconditional release of the Placement Agent from all liability arising out of such claim, action or proceeding.</w:t>
      </w:r>
    </w:p>
    <w:p>
      <w:pPr>
        <w:spacing w:after="0" w:line="167" w:lineRule="exact"/>
        <w:rPr>
          <w:rFonts w:ascii="Times New Roman" w:cs="Times New Roman" w:eastAsia="Times New Roman" w:hAnsi="Times New Roman"/>
          <w:sz w:val="16"/>
          <w:szCs w:val="16"/>
          <w:color w:val="auto"/>
        </w:rPr>
      </w:pPr>
    </w:p>
    <w:p>
      <w:pPr>
        <w:ind w:left="5" w:right="20" w:hanging="5"/>
        <w:spacing w:after="0" w:line="276" w:lineRule="auto"/>
        <w:tabs>
          <w:tab w:leader="none" w:pos="321"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agrees to notify the Placement Agent promptly of the assertion against it or any other person of any claim or the commencement of any action or proceeding relating to a transaction contemplated by the Agreement.</w:t>
      </w:r>
    </w:p>
    <w:p>
      <w:pPr>
        <w:spacing w:after="0" w:line="144" w:lineRule="exact"/>
        <w:rPr>
          <w:rFonts w:ascii="Times New Roman" w:cs="Times New Roman" w:eastAsia="Times New Roman" w:hAnsi="Times New Roman"/>
          <w:sz w:val="16"/>
          <w:szCs w:val="16"/>
          <w:color w:val="auto"/>
        </w:rPr>
      </w:pPr>
    </w:p>
    <w:p>
      <w:pPr>
        <w:jc w:val="both"/>
        <w:ind w:left="5" w:hanging="5"/>
        <w:spacing w:after="0" w:line="251" w:lineRule="auto"/>
        <w:tabs>
          <w:tab w:leader="none" w:pos="321"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for any reason the foregoing indemnity is unavailable to the Placement Agent or insufficient to hold the Placement Agent harmless, then the Company shall contribute to the amount paid or payable by the Placement Agent, as the case may be, as a result of such losses, claims, damages or liabilities in such proportion as is appropriate to reflect not only the relative benefits received by the Company on the one hand, and the Placement Agent on the other, but also the relative fault of the Company on the one hand and the Placement Agent on the other that resulted in such losses, claims, damages or liabilities, as well as any relevant equitable considerations. The amounts paid or payable by a party in respect of losses, claims, damages and liabilities referred to above shall be deemed to include any legal or other fees and expenses incurred in defending any litigation, proceeding or other action or claim. Notwithstanding the provisions hereof, the Placement Agent’s share of the liability hereunder shall not be in excess of the amount of fees actually received, or to be received, by the Placement Agent under the Agreement (excluding any amounts received as reimbursement of expenses incurred by the Placement Agent).</w:t>
      </w:r>
    </w:p>
    <w:p>
      <w:pPr>
        <w:spacing w:after="0" w:line="187" w:lineRule="exact"/>
        <w:rPr>
          <w:rFonts w:ascii="Times New Roman" w:cs="Times New Roman" w:eastAsia="Times New Roman" w:hAnsi="Times New Roman"/>
          <w:sz w:val="16"/>
          <w:szCs w:val="16"/>
          <w:color w:val="auto"/>
        </w:rPr>
      </w:pPr>
    </w:p>
    <w:p>
      <w:pPr>
        <w:ind w:left="5" w:right="40" w:hanging="5"/>
        <w:spacing w:after="0" w:line="276" w:lineRule="auto"/>
        <w:tabs>
          <w:tab w:leader="none" w:pos="321"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Indemnification Provisions shall remain in full force and effect whether or not the transaction contemplated by the Agreement is completed and shall survive the termination of the Agreement, and shall be in addition to any liability that the Company might otherwise have to any indemnified party under the Agreement or otherwise.</w:t>
      </w:r>
    </w:p>
    <w:p>
      <w:pPr>
        <w:spacing w:after="0" w:line="144" w:lineRule="exact"/>
        <w:rPr>
          <w:rFonts w:ascii="Times New Roman" w:cs="Times New Roman" w:eastAsia="Times New Roman" w:hAnsi="Times New Roman"/>
          <w:sz w:val="16"/>
          <w:szCs w:val="16"/>
          <w:color w:val="auto"/>
        </w:rPr>
      </w:pPr>
    </w:p>
    <w:p>
      <w:pPr>
        <w:ind w:left="305" w:hanging="305"/>
        <w:spacing w:after="0"/>
        <w:tabs>
          <w:tab w:leader="none" w:pos="305"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the “Placement Agent” shall be deemed to include each entity comprising the Placement Agent, and each such entity shall be indemnified on a several basis.</w:t>
      </w:r>
    </w:p>
    <w:p>
      <w:pPr>
        <w:spacing w:after="0" w:line="22" w:lineRule="exact"/>
        <w:rPr>
          <w:rFonts w:ascii="Times New Roman" w:cs="Times New Roman" w:eastAsia="Times New Roman" w:hAnsi="Times New Roman"/>
          <w:sz w:val="16"/>
          <w:szCs w:val="16"/>
          <w:color w:val="auto"/>
        </w:rPr>
      </w:pPr>
    </w:p>
    <w:p>
      <w:pPr>
        <w:ind w:left="554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w:t>
      </w:r>
    </w:p>
    <w:p>
      <w:pPr>
        <w:spacing w:after="0" w:line="382" w:lineRule="exact"/>
        <w:rPr>
          <w:sz w:val="20"/>
          <w:szCs w:val="20"/>
          <w:color w:val="auto"/>
        </w:rPr>
      </w:pPr>
    </w:p>
    <w:p>
      <w:pPr>
        <w:ind w:left="65" w:right="3700" w:hanging="35"/>
        <w:spacing w:after="0" w:line="299"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4908-1680-6838, v.17 DOCPROPERTY "CUS_DocIDChunk0" 76095593.1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386080</wp:posOffset>
            </wp:positionV>
            <wp:extent cx="7174865" cy="40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7" w:right="319" w:bottom="1440" w:gutter="0" w:footer="0" w:header="0"/>
        </w:sectPr>
      </w:pPr>
    </w:p>
    <w:bookmarkStart w:id="161" w:name="page162"/>
    <w:bookmarkEnd w:id="1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809625</wp:posOffset>
            </wp:positionV>
            <wp:extent cx="2200275" cy="5708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2200275" cy="57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Decoy Therapeutics, Inc. Announces Up to $21 Million Private Placement Financing</w:t>
      </w:r>
    </w:p>
    <w:p>
      <w:pPr>
        <w:spacing w:after="0" w:line="207"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9"/>
          <w:szCs w:val="19"/>
          <w:color w:val="auto"/>
        </w:rPr>
        <w:t xml:space="preserve">Houston, TX, June 26, 2026 – </w:t>
      </w:r>
      <w:r>
        <w:rPr>
          <w:rFonts w:ascii="Times New Roman" w:cs="Times New Roman" w:eastAsia="Times New Roman" w:hAnsi="Times New Roman"/>
          <w:sz w:val="19"/>
          <w:szCs w:val="19"/>
          <w:b w:val="1"/>
          <w:bCs w:val="1"/>
          <w:color w:val="auto"/>
        </w:rPr>
        <w:t>Decoy Therapeutics, Inc. (NASDAQ: DCOY)</w:t>
      </w:r>
      <w:r>
        <w:rPr>
          <w:rFonts w:ascii="Times New Roman" w:cs="Times New Roman" w:eastAsia="Times New Roman" w:hAnsi="Times New Roman"/>
          <w:sz w:val="19"/>
          <w:szCs w:val="19"/>
          <w:color w:val="auto"/>
        </w:rPr>
        <w:t xml:space="preserve"> (the “Company” or “Decoy”), a biotechnology company pioneering Designable Multi-Antivirals (D-MAVs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a new category of antivirals engineered to target shared viral mechanisms conserved across virus families, today announced that it has entered into a securities purchase agreement with a single healthcare focused institutional investor for a private investment in public equity financing (the “PIPE”), which is expected to provide approximately $3.5 million in gross proceeds at closing, before deducting placement agent’s fees and other financing expenses payable by the Company. The Company intends to use the net proceeds to advance its lead asset into clinical trials.</w:t>
      </w:r>
    </w:p>
    <w:p>
      <w:pPr>
        <w:spacing w:after="0" w:line="18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The PIPE consists of (i) $3.5 million of upfront gross proceeds at a purchase price of $5.91 per share from the sale of common stock (or pre-funded warrants in lieu thereof), (ii) a milestone-based Series A warrant with potential additional aggregate gross proceeds of approximately $3.5 million if fully exercised following both shareholder approval and the date of filing by the Company of a Clinical Trial Application with the applicable competent regulatory authority in the European Economic Area to commence a Phase 1 clinical trial, (iii) a milestone-based Series B warrant with potential additional aggregate gross proceeds of approximately $7.0 million if fully exercised following both shareholder approval and the Company’s receipt of formal written approval from the Medicines and Healthcare products Regulatory Agency to conduct a Phase 2a human challenge trial in the United Kingdom, and (iv) a milestone-based Series C warrant with potential additional aggregate gross proceeds of approximately $7.0 million if fully exercised following both shareholder approval and the Company’s public announcement of data from the Company’s positive Phase 2a human challenge trial conducted in the United Kingdom. The PIPE was priced “at-the-market” under the rules and regulations of The Nasdaq Stock Market LLC, with each warrant having an exercise price equal to the deal price. The securities to be issued in the PIPE will be subject to applicable restrictions on transfer. The terms of the PIPE were determined through negotiations between the Company and the investors, based on the closing share price on the determination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closing of the offering is expected to occur on or about June 29, 2026, subject to the satisfaction of customary closing conditions.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Curvature Securities LLC is acting as the sole placement agent in connection with the PIPE.</w:t>
      </w:r>
    </w:p>
    <w:p>
      <w:pPr>
        <w:spacing w:after="0" w:line="20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offer and sale of the foregoing securities is being made in reliance on an exemption from the registration requirement under Section 4(a)(2) of the Securities Act of 1933, as amended (the “Securities Act”), and/or Regulation D promulgated thereunder, and applicable state securities laws, and the securities have not been and will not initially be registered under the Securities Act, or applicable state securities laws. Accordingly, the securities may not be offered or sold in the</w:t>
      </w:r>
    </w:p>
    <w:p>
      <w:pPr>
        <w:spacing w:after="0" w:line="1" w:lineRule="exact"/>
        <w:rPr>
          <w:sz w:val="20"/>
          <w:szCs w:val="20"/>
          <w:color w:val="auto"/>
        </w:rPr>
      </w:pPr>
    </w:p>
    <w:p>
      <w:pPr>
        <w:ind w:left="60" w:right="3760" w:hanging="35"/>
        <w:spacing w:after="0" w:line="469"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4929-0666-7447, v.6 DOCPROPERTY "CUS_DocIDChunk0" 76092786.3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389255</wp:posOffset>
            </wp:positionV>
            <wp:extent cx="7174865" cy="406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62" w:name="page163"/>
    <w:bookmarkEnd w:id="162"/>
    <w:p>
      <w:pPr>
        <w:jc w:val="both"/>
        <w:ind w:right="20"/>
        <w:spacing w:after="0" w:line="239" w:lineRule="auto"/>
        <w:rPr>
          <w:sz w:val="20"/>
          <w:szCs w:val="20"/>
          <w:color w:val="auto"/>
        </w:rPr>
      </w:pPr>
      <w:r>
        <w:rPr>
          <w:rFonts w:ascii="Times New Roman" w:cs="Times New Roman" w:eastAsia="Times New Roman" w:hAnsi="Times New Roman"/>
          <w:sz w:val="19"/>
          <w:szCs w:val="19"/>
          <w:color w:val="auto"/>
        </w:rPr>
        <w:t>United States except pursuant to an effective registration statement or an applicable exemption from the registration requirements of the Securities Act and such applicable state securities laws. Pursuant to the terms of a registration rights agreement entered into with the investor, the Company agreed to file a registration statement with the U.S. Securities and Exchange Commission (the “SEC”) covering the resale of the shares of common stock issued or underlying pre-funded or common warrants issued to the institutional investor no later than 15 calendar days after the closing of the offering and to use commercially reasonable efforts to have the registration statement declared effective within 90 days following the closing of the offering in the event of a “full review” by the SEC.</w:t>
      </w:r>
    </w:p>
    <w:p>
      <w:pPr>
        <w:spacing w:after="0" w:line="185"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9"/>
          <w:szCs w:val="19"/>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About Decoy Therapeutics</w:t>
      </w:r>
    </w:p>
    <w:p>
      <w:pPr>
        <w:spacing w:after="0" w:line="21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9"/>
          <w:szCs w:val="19"/>
          <w:color w:val="auto"/>
        </w:rPr>
        <w:t>Decoy Therapeutics is a biotechnology company pioneering Designable Multi-Antivirals (D-MAVs), a new category of antivirals engineered to target shared viral mechanisms, enabling a single, adaptable drug to work across multiple viruses. Built on the proprietary IMP(3)ACT</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platform, which combines AI-assisted design and rapid synthesis, Decoy develops peptide antivirals designed to move faster into the clinic and expand what is possible in viral prevention and treatment. The Company’s lead candidates target multiple respiratory viruses, addressing the health and societal burden of viral disease.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Forward-Looking Statements</w:t>
      </w:r>
    </w:p>
    <w:p>
      <w:pPr>
        <w:spacing w:after="0" w:line="21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This press release contains “forward-looking statements” within the meaning of the Private Securities Litigation Reform Act of 1995 regarding Decoy, including expected achievement of milestones for its lead asset and future prospects of Decoy. These statements may discuss goals, intentions and expectations as to future plans, trends, events, results of operations or financial condition, or otherwise, based on current beliefs of the management of Decoy, as well as assumptions made by, and information currently available to, management. Forward-looking statements generally include statements that are predictive in nature and depend upon or refer to future events or conditions, and include words such as “may,” “will,” “can,” “should,” “would,” “expect,” “anticipate,” “plan,” “likely,” “believe,” “estimate,” “project,” “intend,” and other similar expressions.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the risk that the Company will not obtain sufficient financing to execute on its business plans and risks related to Decoy’s products and development plans, including unanticipated issues with any IND application process and the potential of the IMP(3)ACT platform. Readers are urged to carefully review and consider the various disclosures made by the Company in its reports filed with the SEC, including its Annual Report on Form</w:t>
      </w:r>
    </w:p>
    <w:p>
      <w:pPr>
        <w:spacing w:after="0" w:line="3" w:lineRule="exact"/>
        <w:rPr>
          <w:sz w:val="20"/>
          <w:szCs w:val="20"/>
          <w:color w:val="auto"/>
        </w:rPr>
      </w:pPr>
    </w:p>
    <w:p>
      <w:pPr>
        <w:ind w:left="60" w:right="3760" w:hanging="35"/>
        <w:spacing w:after="0" w:line="469"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4929-0666-7447, v.6 DOCPROPERTY "CUS_DocIDChunk0" 76092786.3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389255</wp:posOffset>
            </wp:positionV>
            <wp:extent cx="7174865" cy="406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63" w:name="page164"/>
    <w:bookmarkEnd w:id="163"/>
    <w:p>
      <w:pPr>
        <w:jc w:val="both"/>
        <w:spacing w:after="0" w:line="243" w:lineRule="auto"/>
        <w:rPr>
          <w:sz w:val="20"/>
          <w:szCs w:val="20"/>
          <w:color w:val="auto"/>
        </w:rPr>
      </w:pPr>
      <w:r>
        <w:rPr>
          <w:rFonts w:ascii="Times New Roman" w:cs="Times New Roman" w:eastAsia="Times New Roman" w:hAnsi="Times New Roman"/>
          <w:sz w:val="19"/>
          <w:szCs w:val="19"/>
          <w:color w:val="auto"/>
        </w:rPr>
        <w:t>10-K for the fiscal year ended December 31, 2025, as revised or supplemented by its Quarterly Reports on Form 10-Q and other documents filed with the SEC. If one or more of these risks or uncertainties materialize, or if the underlying assumptions prove incorrect, Decoy’s actual results may vary materially from those expected or projected.</w:t>
      </w:r>
    </w:p>
    <w:p>
      <w:pPr>
        <w:spacing w:after="0" w:line="2" w:lineRule="exact"/>
        <w:rPr>
          <w:sz w:val="20"/>
          <w:szCs w:val="20"/>
          <w:color w:val="auto"/>
        </w:rPr>
      </w:pPr>
    </w:p>
    <w:p>
      <w:pPr>
        <w:ind w:left="60" w:right="3740" w:hanging="35"/>
        <w:spacing w:after="0" w:line="469" w:lineRule="auto"/>
        <w:rPr>
          <w:sz w:val="20"/>
          <w:szCs w:val="20"/>
          <w:color w:val="auto"/>
        </w:rPr>
      </w:pPr>
      <w:r>
        <w:rPr>
          <w:rFonts w:ascii="Times New Roman" w:cs="Times New Roman" w:eastAsia="Times New Roman" w:hAnsi="Times New Roman"/>
          <w:sz w:val="14"/>
          <w:szCs w:val="14"/>
          <w:color w:val="auto"/>
        </w:rPr>
        <w:t>DOCPROPERTY DOCXDOCID DMS=NetDocuments Format=&lt;&lt;ID&gt;&gt;, v.&lt;&lt;VER&gt;&gt; \* MERGEFORMAT 4929-0666-7447, v.6 DOCPROPERTY "CUS_DocIDChunk0" 76092786.3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389255</wp:posOffset>
            </wp:positionV>
            <wp:extent cx="7174865" cy="406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2" w:right="339" w:bottom="1440" w:gutter="0" w:footer="0" w:header="0"/>
        </w:sectPr>
      </w:pPr>
    </w:p>
    <w:bookmarkStart w:id="164" w:name="page165"/>
    <w:bookmarkEnd w:id="164"/>
    <w:p>
      <w:pPr>
        <w:ind w:left="926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4604385</wp:posOffset>
            </wp:positionV>
            <wp:extent cx="7174865" cy="406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133985</wp:posOffset>
            </wp:positionV>
            <wp:extent cx="7204075" cy="40551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0" w:num="1">
            <w:col w:w="10140"/>
          </w:cols>
          <w:pgMar w:left="1440" w:top="691" w:right="319" w:bottom="1440" w:gutter="0" w:footer="0" w:header="0"/>
        </w:sectPr>
      </w:pPr>
    </w:p>
    <w:bookmarkStart w:id="165" w:name="page166"/>
    <w:bookmarkEnd w:id="1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5047615</wp:posOffset>
            </wp:positionV>
            <wp:extent cx="7174865" cy="406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569595</wp:posOffset>
            </wp:positionV>
            <wp:extent cx="7204075" cy="40551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5078095</wp:posOffset>
            </wp:positionV>
            <wp:extent cx="7174865" cy="406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569595</wp:posOffset>
            </wp:positionV>
            <wp:extent cx="7204075" cy="40551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5039995</wp:posOffset>
            </wp:positionV>
            <wp:extent cx="7174865" cy="406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569595</wp:posOffset>
            </wp:positionV>
            <wp:extent cx="7204075" cy="40551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5078095</wp:posOffset>
            </wp:positionV>
            <wp:extent cx="7174865" cy="406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569595</wp:posOffset>
            </wp:positionV>
            <wp:extent cx="7204075" cy="40551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5039995</wp:posOffset>
            </wp:positionV>
            <wp:extent cx="7174865" cy="406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569595</wp:posOffset>
            </wp:positionV>
            <wp:extent cx="7204075" cy="40551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5040630</wp:posOffset>
            </wp:positionV>
            <wp:extent cx="7174865" cy="406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569595</wp:posOffset>
            </wp:positionV>
            <wp:extent cx="7204075" cy="40551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5039995</wp:posOffset>
            </wp:positionV>
            <wp:extent cx="7174865" cy="406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569595</wp:posOffset>
            </wp:positionV>
            <wp:extent cx="7204075" cy="40551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5100320</wp:posOffset>
            </wp:positionV>
            <wp:extent cx="7174865" cy="406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569595</wp:posOffset>
            </wp:positionV>
            <wp:extent cx="7204075" cy="40551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5100320</wp:posOffset>
            </wp:positionV>
            <wp:extent cx="7174865" cy="406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569595</wp:posOffset>
            </wp:positionV>
            <wp:extent cx="7204075" cy="40551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5078095</wp:posOffset>
            </wp:positionV>
            <wp:extent cx="7174865" cy="406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569595</wp:posOffset>
            </wp:positionV>
            <wp:extent cx="7204075" cy="40551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5039995</wp:posOffset>
            </wp:positionV>
            <wp:extent cx="7174865" cy="406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569595</wp:posOffset>
            </wp:positionV>
            <wp:extent cx="7204075" cy="40551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5078095</wp:posOffset>
            </wp:positionV>
            <wp:extent cx="7174865" cy="406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569595</wp:posOffset>
            </wp:positionV>
            <wp:extent cx="7204075" cy="40551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5040630</wp:posOffset>
            </wp:positionV>
            <wp:extent cx="7174865" cy="406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569595</wp:posOffset>
            </wp:positionV>
            <wp:extent cx="7204075" cy="40551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5040630</wp:posOffset>
            </wp:positionV>
            <wp:extent cx="7174865" cy="406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569595</wp:posOffset>
            </wp:positionV>
            <wp:extent cx="7204075" cy="40551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5078095</wp:posOffset>
            </wp:positionV>
            <wp:extent cx="7174865" cy="406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569595</wp:posOffset>
            </wp:positionV>
            <wp:extent cx="7204075" cy="40551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5040630</wp:posOffset>
            </wp:positionV>
            <wp:extent cx="7174865" cy="406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569595</wp:posOffset>
            </wp:positionV>
            <wp:extent cx="7204075" cy="40551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5040630</wp:posOffset>
            </wp:positionV>
            <wp:extent cx="7174865" cy="406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569595</wp:posOffset>
            </wp:positionV>
            <wp:extent cx="7204075" cy="40551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55A5F5"/>
    <w:multiLevelType w:val="hybridMultilevel"/>
    <w:lvl w:ilvl="0">
      <w:lvlJc w:val="left"/>
      <w:lvlText w:val="☐"/>
      <w:numFmt w:val="bullet"/>
      <w:start w:val="1"/>
    </w:lvl>
  </w:abstractNum>
  <w:abstractNum w:abstractNumId="1">
    <w:nsid w:val="5FB8370B"/>
    <w:multiLevelType w:val="hybridMultilevel"/>
    <w:lvl w:ilvl="0">
      <w:lvlJc w:val="left"/>
      <w:lvlText w:val="%1)"/>
      <w:numFmt w:val="lowerLetter"/>
      <w:start w:val="1"/>
    </w:lvl>
  </w:abstractNum>
  <w:abstractNum w:abstractNumId="2">
    <w:nsid w:val="50801EE1"/>
    <w:multiLevelType w:val="hybridMultilevel"/>
    <w:lvl w:ilvl="0">
      <w:lvlJc w:val="left"/>
      <w:lvlText w:val="%1)"/>
      <w:numFmt w:val="lowerLetter"/>
      <w:start w:val="4"/>
    </w:lvl>
  </w:abstractNum>
  <w:abstractNum w:abstractNumId="3">
    <w:nsid w:val="488AC1A"/>
    <w:multiLevelType w:val="hybridMultilevel"/>
    <w:lvl w:ilvl="0">
      <w:lvlJc w:val="left"/>
      <w:lvlText w:val="%1."/>
      <w:numFmt w:val="lowerRoman"/>
      <w:start w:val="2"/>
    </w:lvl>
  </w:abstractNum>
  <w:abstractNum w:abstractNumId="4">
    <w:nsid w:val="5FB8011C"/>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5"/>
    </w:lvl>
  </w:abstractNum>
  <w:abstractNum w:abstractNumId="5">
    <w:nsid w:val="6AA78F7F"/>
    <w:multiLevelType w:val="hybridMultilevel"/>
    <w:lvl w:ilvl="0">
      <w:lvlJc w:val="left"/>
      <w:lvlText w:val="%1)"/>
      <w:numFmt w:val="lowerLetter"/>
      <w:start w:val="5"/>
    </w:lvl>
    <w:lvl w:ilvl="1">
      <w:lvlJc w:val="left"/>
      <w:lvlText w:val="%2"/>
      <w:numFmt w:val="upperLetter"/>
      <w:start w:val="1"/>
    </w:lvl>
    <w:lvl w:ilvl="2">
      <w:lvlJc w:val="left"/>
      <w:lvlText w:val="%3"/>
      <w:numFmt w:val="lowerRoman"/>
      <w:start w:val="1"/>
    </w:lvl>
  </w:abstractNum>
  <w:abstractNum w:abstractNumId="6">
    <w:nsid w:val="7672BD23"/>
    <w:multiLevelType w:val="hybridMultilevel"/>
    <w:lvl w:ilvl="0">
      <w:lvlJc w:val="left"/>
      <w:lvlText w:val="%1"/>
      <w:numFmt w:val="lowerRoman"/>
      <w:start w:val="1"/>
    </w:lvl>
    <w:lvl w:ilvl="1">
      <w:lvlJc w:val="left"/>
      <w:lvlText w:val="%2)"/>
      <w:numFmt w:val="lowerLetter"/>
      <w:start w:val="1"/>
    </w:lvl>
  </w:abstractNum>
  <w:abstractNum w:abstractNumId="7">
    <w:nsid w:val="6FC75AF8"/>
    <w:multiLevelType w:val="hybridMultilevel"/>
    <w:lvl w:ilvl="0">
      <w:lvlJc w:val="left"/>
      <w:lvlText w:val="(%1)"/>
      <w:numFmt w:val="lowerRoman"/>
      <w:start w:val="3"/>
    </w:lvl>
    <w:lvl w:ilvl="1">
      <w:lvlJc w:val="left"/>
      <w:lvlText w:val="%2)"/>
      <w:numFmt w:val="lowerLetter"/>
      <w:start w:val="2"/>
    </w:lvl>
  </w:abstractNum>
  <w:abstractNum w:abstractNumId="8">
    <w:nsid w:val="6A5F7029"/>
    <w:multiLevelType w:val="hybridMultilevel"/>
    <w:lvl w:ilvl="0">
      <w:lvlJc w:val="left"/>
      <w:lvlText w:val="%1"/>
      <w:numFmt w:val="lowerLetter"/>
      <w:start w:val="1"/>
    </w:lvl>
    <w:lvl w:ilvl="1">
      <w:lvlJc w:val="left"/>
      <w:lvlText w:val="%2)"/>
      <w:numFmt w:val="lowerLetter"/>
      <w:start w:val="3"/>
    </w:lvl>
  </w:abstractNum>
  <w:abstractNum w:abstractNumId="9">
    <w:nsid w:val="7D5E18F8"/>
    <w:multiLevelType w:val="hybridMultilevel"/>
    <w:lvl w:ilvl="0">
      <w:lvlJc w:val="left"/>
      <w:lvlText w:val="%1)"/>
      <w:numFmt w:val="lowerLetter"/>
      <w:start w:val="4"/>
    </w:lvl>
    <w:lvl w:ilvl="1">
      <w:lvlJc w:val="left"/>
      <w:lvlText w:val="%2"/>
      <w:numFmt w:val="lowerLetter"/>
      <w:start w:val="1"/>
    </w:lvl>
  </w:abstractNum>
  <w:abstractNum w:abstractNumId="10">
    <w:nsid w:val="5F3534A4"/>
    <w:multiLevelType w:val="hybridMultilevel"/>
    <w:lvl w:ilvl="0">
      <w:lvlJc w:val="left"/>
      <w:lvlText w:val="%1"/>
      <w:numFmt w:val="lowerLetter"/>
      <w:start w:val="1"/>
    </w:lvl>
    <w:lvl w:ilvl="1">
      <w:lvlJc w:val="left"/>
      <w:lvlText w:val="%2)"/>
      <w:numFmt w:val="lowerLetter"/>
      <w:start w:val="5"/>
    </w:lvl>
  </w:abstractNum>
  <w:abstractNum w:abstractNumId="11">
    <w:nsid w:val="73A1821B"/>
    <w:multiLevelType w:val="hybridMultilevel"/>
    <w:lvl w:ilvl="0">
      <w:lvlJc w:val="left"/>
      <w:lvlText w:val="%1)"/>
      <w:numFmt w:val="lowerLetter"/>
      <w:start w:val="6"/>
    </w:lvl>
    <w:lvl w:ilvl="1">
      <w:lvlJc w:val="left"/>
      <w:lvlText w:val="%2"/>
      <w:numFmt w:val="lowerLetter"/>
      <w:start w:val="1"/>
    </w:lvl>
  </w:abstractNum>
  <w:abstractNum w:abstractNumId="12">
    <w:nsid w:val="7DE67713"/>
    <w:multiLevelType w:val="hybridMultilevel"/>
    <w:lvl w:ilvl="0">
      <w:lvlJc w:val="left"/>
      <w:lvlText w:val="%1."/>
      <w:numFmt w:val="lowerRoman"/>
      <w:start w:val="2"/>
    </w:lvl>
  </w:abstractNum>
  <w:abstractNum w:abstractNumId="13">
    <w:nsid w:val="555C55B5"/>
    <w:multiLevelType w:val="hybridMultilevel"/>
    <w:lvl w:ilvl="0">
      <w:lvlJc w:val="left"/>
      <w:lvlText w:val="%1)"/>
      <w:numFmt w:val="lowerLetter"/>
      <w:start w:val="1"/>
    </w:lvl>
  </w:abstractNum>
  <w:abstractNum w:abstractNumId="14">
    <w:nsid w:val="3FA62ACA"/>
    <w:multiLevelType w:val="hybridMultilevel"/>
    <w:lvl w:ilvl="0">
      <w:lvlJc w:val="left"/>
      <w:lvlText w:val="%1)"/>
      <w:numFmt w:val="lowerLetter"/>
      <w:start w:val="2"/>
    </w:lvl>
  </w:abstractNum>
  <w:abstractNum w:abstractNumId="15">
    <w:nsid w:val="14FCE74E"/>
    <w:multiLevelType w:val="hybridMultilevel"/>
    <w:lvl w:ilvl="0">
      <w:lvlJc w:val="left"/>
      <w:lvlText w:val="%1)"/>
      <w:numFmt w:val="lowerLetter"/>
      <w:start w:val="1"/>
    </w:lvl>
  </w:abstractNum>
  <w:abstractNum w:abstractNumId="16">
    <w:nsid w:val="6A3DD3E8"/>
    <w:multiLevelType w:val="hybridMultilevel"/>
    <w:lvl w:ilvl="0">
      <w:lvlJc w:val="left"/>
      <w:lvlText w:val="%1)"/>
      <w:numFmt w:val="lowerLetter"/>
      <w:start w:val="5"/>
    </w:lvl>
  </w:abstractNum>
  <w:abstractNum w:abstractNumId="17">
    <w:nsid w:val="71C91298"/>
    <w:multiLevelType w:val="hybridMultilevel"/>
    <w:lvl w:ilvl="0">
      <w:lvlJc w:val="left"/>
      <w:lvlText w:val="%1)"/>
      <w:numFmt w:val="lowerLetter"/>
      <w:start w:val="11"/>
    </w:lvl>
  </w:abstractNum>
  <w:abstractNum w:abstractNumId="18">
    <w:nsid w:val="9DAF632"/>
    <w:multiLevelType w:val="hybridMultilevel"/>
    <w:lvl w:ilvl="0">
      <w:lvlJc w:val="left"/>
      <w:lvlText w:val="(%1)"/>
      <w:numFmt w:val="decimal"/>
      <w:start w:val="1"/>
    </w:lvl>
  </w:abstractNum>
  <w:abstractNum w:abstractNumId="19">
    <w:nsid w:val="53299938"/>
    <w:multiLevelType w:val="hybridMultilevel"/>
    <w:lvl w:ilvl="0">
      <w:lvlJc w:val="left"/>
      <w:lvlText w:val="(%1)"/>
      <w:numFmt w:val="decimal"/>
      <w:start w:val="2"/>
    </w:lvl>
    <w:lvl w:ilvl="1">
      <w:lvlJc w:val="left"/>
      <w:lvlText w:val="["/>
      <w:numFmt w:val="bullet"/>
      <w:start w:val="1"/>
    </w:lvl>
  </w:abstractNum>
  <w:abstractNum w:abstractNumId="20">
    <w:nsid w:val="1FBFE8E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
    <w:nsid w:val="5092CA79"/>
    <w:multiLevelType w:val="hybridMultilevel"/>
    <w:lvl w:ilvl="0">
      <w:lvlJc w:val="left"/>
      <w:lvlText w:val="(%1)"/>
      <w:numFmt w:val="lowerRoman"/>
      <w:start w:val="3"/>
    </w:lvl>
  </w:abstractNum>
  <w:abstractNum w:abstractNumId="22">
    <w:nsid w:val="1D545C4D"/>
    <w:multiLevelType w:val="hybridMultilevel"/>
    <w:lvl w:ilvl="0">
      <w:lvlJc w:val="left"/>
      <w:lvlText w:val="(%1)"/>
      <w:numFmt w:val="lowerRoman"/>
      <w:start w:val="4"/>
    </w:lvl>
  </w:abstractNum>
  <w:abstractNum w:abstractNumId="23">
    <w:nsid w:val="59ADEA3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24">
    <w:nsid w:val="288F1A34"/>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5">
    <w:nsid w:val="2A155DB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26">
    <w:nsid w:val="1D9F6E5F"/>
    <w:multiLevelType w:val="hybridMultilevel"/>
    <w:lvl w:ilvl="0">
      <w:lvlJc w:val="left"/>
      <w:lvlText w:val="(%1)"/>
      <w:numFmt w:val="lowerRoman"/>
      <w:start w:val="1"/>
    </w:lvl>
  </w:abstractNum>
  <w:abstractNum w:abstractNumId="27">
    <w:nsid w:val="97E1B4E"/>
    <w:multiLevelType w:val="hybridMultilevel"/>
    <w:lvl w:ilvl="0">
      <w:lvlJc w:val="left"/>
      <w:lvlText w:val="(%1)"/>
      <w:numFmt w:val="lowerRoman"/>
      <w:start w:val="3"/>
    </w:lvl>
  </w:abstractNum>
  <w:abstractNum w:abstractNumId="28">
    <w:nsid w:val="51088277"/>
    <w:multiLevelType w:val="hybridMultilevel"/>
    <w:lvl w:ilvl="0">
      <w:lvlJc w:val="left"/>
      <w:lvlText w:val="(%1)"/>
      <w:numFmt w:val="lowerRoman"/>
      <w:start w:val="4"/>
    </w:lvl>
  </w:abstractNum>
  <w:abstractNum w:abstractNumId="29">
    <w:nsid w:val="1CA0C5FA"/>
    <w:multiLevelType w:val="hybridMultilevel"/>
    <w:lvl w:ilvl="0">
      <w:lvlJc w:val="left"/>
      <w:lvlText w:val="(%1)"/>
      <w:numFmt w:val="lowerLetter"/>
      <w:start w:val="2"/>
    </w:lvl>
  </w:abstractNum>
  <w:abstractNum w:abstractNumId="30">
    <w:nsid w:val="53584BCB"/>
    <w:multiLevelType w:val="hybridMultilevel"/>
    <w:lvl w:ilvl="0">
      <w:lvlJc w:val="left"/>
      <w:lvlText w:val="%1."/>
      <w:numFmt w:val="decimal"/>
      <w:start w:val="4"/>
    </w:lvl>
    <w:lvl w:ilvl="1">
      <w:lvlJc w:val="left"/>
      <w:lvlText w:val="(%2)"/>
      <w:numFmt w:val="lowerLetter"/>
      <w:start w:val="1"/>
    </w:lvl>
  </w:abstractNum>
  <w:abstractNum w:abstractNumId="31">
    <w:nsid w:val="415E286C"/>
    <w:multiLevelType w:val="hybridMultilevel"/>
    <w:lvl w:ilvl="0">
      <w:lvlJc w:val="left"/>
      <w:lvlText w:val="%1"/>
      <w:numFmt w:val="decimal"/>
      <w:start w:val="1"/>
    </w:lvl>
    <w:lvl w:ilvl="1">
      <w:lvlJc w:val="left"/>
      <w:lvlText w:val="(%2)"/>
      <w:numFmt w:val="lowerLetter"/>
      <w:start w:val="2"/>
    </w:lvl>
  </w:abstractNum>
  <w:abstractNum w:abstractNumId="32">
    <w:nsid w:val="7C58FD05"/>
    <w:multiLevelType w:val="hybridMultilevel"/>
    <w:lvl w:ilvl="0">
      <w:lvlJc w:val="left"/>
      <w:lvlText w:val="%1."/>
      <w:numFmt w:val="decimal"/>
      <w:start w:val="5"/>
    </w:lvl>
    <w:lvl w:ilvl="1">
      <w:lvlJc w:val="left"/>
      <w:lvlText w:val="(%2)"/>
      <w:numFmt w:val="lowerLetter"/>
      <w:start w:val="1"/>
    </w:lvl>
  </w:abstractNum>
  <w:abstractNum w:abstractNumId="33">
    <w:nsid w:val="23D86AAC"/>
    <w:multiLevelType w:val="hybridMultilevel"/>
    <w:lvl w:ilvl="0">
      <w:lvlJc w:val="left"/>
      <w:lvlText w:val="%1"/>
      <w:numFmt w:val="decimal"/>
      <w:start w:val="1"/>
    </w:lvl>
    <w:lvl w:ilvl="1">
      <w:lvlJc w:val="left"/>
      <w:lvlText w:val="(%2)"/>
      <w:numFmt w:val="lowerLetter"/>
      <w:start w:val="2"/>
    </w:lvl>
  </w:abstractNum>
  <w:abstractNum w:abstractNumId="34">
    <w:nsid w:val="45E6D486"/>
    <w:multiLevelType w:val="hybridMultilevel"/>
    <w:lvl w:ilvl="0">
      <w:lvlJc w:val="left"/>
      <w:lvlText w:val="%1."/>
      <w:numFmt w:val="decimal"/>
      <w:start w:val="6"/>
    </w:lvl>
    <w:lvl w:ilvl="1">
      <w:lvlJc w:val="left"/>
      <w:lvlText w:val="%2"/>
      <w:numFmt w:val="lowerLetter"/>
      <w:start w:val="1"/>
    </w:lvl>
  </w:abstractNum>
  <w:abstractNum w:abstractNumId="35">
    <w:nsid w:val="5C10FE21"/>
    <w:multiLevelType w:val="hybridMultilevel"/>
    <w:lvl w:ilvl="0">
      <w:lvlJc w:val="left"/>
      <w:lvlText w:val="%1."/>
      <w:numFmt w:val="decimal"/>
      <w:start w:val="7"/>
    </w:lvl>
  </w:abstractNum>
  <w:abstractNum w:abstractNumId="36">
    <w:nsid w:val="E7FFA2B"/>
    <w:multiLevelType w:val="hybridMultilevel"/>
    <w:lvl w:ilvl="0">
      <w:lvlJc w:val="left"/>
      <w:lvlText w:val="%1."/>
      <w:numFmt w:val="decimal"/>
      <w:start w:val="8"/>
    </w:lvl>
  </w:abstractNum>
  <w:abstractNum w:abstractNumId="37">
    <w:nsid w:val="3C5991AA"/>
    <w:multiLevelType w:val="hybridMultilevel"/>
    <w:lvl w:ilvl="0">
      <w:lvlJc w:val="left"/>
      <w:lvlText w:val="%1."/>
      <w:numFmt w:val="decimal"/>
      <w:start w:val="9"/>
    </w:lvl>
  </w:abstractNum>
  <w:abstractNum w:abstractNumId="38">
    <w:nsid w:val="4BD8591A"/>
    <w:multiLevelType w:val="hybridMultilevel"/>
    <w:lvl w:ilvl="0">
      <w:lvlJc w:val="left"/>
      <w:lvlText w:val="%1."/>
      <w:numFmt w:val="decimal"/>
      <w:start w:val="10"/>
    </w:lvl>
  </w:abstractNum>
  <w:abstractNum w:abstractNumId="39">
    <w:nsid w:val="78DF6A55"/>
    <w:multiLevelType w:val="hybridMultilevel"/>
    <w:lvl w:ilvl="0">
      <w:lvlJc w:val="left"/>
      <w:lvlText w:val="%1."/>
      <w:numFmt w:val="decimal"/>
      <w:start w:val="11"/>
    </w:lvl>
  </w:abstractNum>
  <w:abstractNum w:abstractNumId="40">
    <w:nsid w:val="39B7AAA2"/>
    <w:multiLevelType w:val="hybridMultilevel"/>
    <w:lvl w:ilvl="0">
      <w:lvlJc w:val="left"/>
      <w:lvlText w:val="%1."/>
      <w:numFmt w:val="decimal"/>
      <w:start w:val="14"/>
    </w:lvl>
  </w:abstractNum>
  <w:abstractNum w:abstractNumId="41">
    <w:nsid w:val="2B0D8DBE"/>
    <w:multiLevelType w:val="hybridMultilevel"/>
    <w:lvl w:ilvl="0">
      <w:lvlJc w:val="left"/>
      <w:lvlText w:val="%1."/>
      <w:numFmt w:val="decimal"/>
      <w:start w:val="15"/>
    </w:lvl>
  </w:abstractNum>
  <w:abstractNum w:abstractNumId="42">
    <w:nsid w:val="6C80EC70"/>
    <w:multiLevelType w:val="hybridMultilevel"/>
    <w:lvl w:ilvl="0">
      <w:lvlJc w:val="left"/>
      <w:lvlText w:val="%1."/>
      <w:numFmt w:val="decimal"/>
      <w:start w:val="16"/>
    </w:lvl>
  </w:abstractNum>
  <w:abstractNum w:abstractNumId="43">
    <w:nsid w:val="379E21B5"/>
    <w:multiLevelType w:val="hybridMultilevel"/>
    <w:lvl w:ilvl="0">
      <w:lvlJc w:val="left"/>
      <w:lvlText w:val="%1."/>
      <w:numFmt w:val="decimal"/>
      <w:start w:val="17"/>
    </w:lvl>
  </w:abstractNum>
  <w:abstractNum w:abstractNumId="44">
    <w:nsid w:val="69E373"/>
    <w:multiLevelType w:val="hybridMultilevel"/>
    <w:lvl w:ilvl="0">
      <w:lvlJc w:val="left"/>
      <w:lvlText w:val="%1."/>
      <w:numFmt w:val="decimal"/>
      <w:start w:val="18"/>
    </w:lvl>
  </w:abstractNum>
  <w:abstractNum w:abstractNumId="45">
    <w:nsid w:val="2C27173B"/>
    <w:multiLevelType w:val="hybridMultilevel"/>
    <w:lvl w:ilvl="0">
      <w:lvlJc w:val="left"/>
      <w:lvlText w:val="%1."/>
      <w:numFmt w:val="decimal"/>
      <w:start w:val="19"/>
    </w:lvl>
  </w:abstractNum>
  <w:abstractNum w:abstractNumId="46">
    <w:nsid w:val="4C9B0904"/>
    <w:multiLevelType w:val="hybridMultilevel"/>
    <w:lvl w:ilvl="0">
      <w:lvlJc w:val="left"/>
      <w:lvlText w:val="(%1)"/>
      <w:numFmt w:val="decimal"/>
      <w:start w:val="1"/>
    </w:lvl>
  </w:abstractNum>
  <w:abstractNum w:abstractNumId="47">
    <w:nsid w:val="6AA7B7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8">
    <w:nsid w:val="1DF029D3"/>
    <w:multiLevelType w:val="hybridMultilevel"/>
    <w:lvl w:ilvl="0">
      <w:lvlJc w:val="left"/>
      <w:lvlText w:val="(%1)"/>
      <w:numFmt w:val="lowerRoman"/>
      <w:start w:val="3"/>
    </w:lvl>
  </w:abstractNum>
  <w:abstractNum w:abstractNumId="49">
    <w:nsid w:val="5675FF36"/>
    <w:multiLevelType w:val="hybridMultilevel"/>
    <w:lvl w:ilvl="0">
      <w:lvlJc w:val="left"/>
      <w:lvlText w:val="(%1)"/>
      <w:numFmt w:val="lowerRoman"/>
      <w:start w:val="4"/>
    </w:lvl>
  </w:abstractNum>
  <w:abstractNum w:abstractNumId="50">
    <w:nsid w:val="3DD1509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51">
    <w:nsid w:val="3DB012B3"/>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52">
    <w:nsid w:val="2708C9AF"/>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53">
    <w:nsid w:val="5B25ACE2"/>
    <w:multiLevelType w:val="hybridMultilevel"/>
    <w:lvl w:ilvl="0">
      <w:lvlJc w:val="left"/>
      <w:lvlText w:val="(%1)"/>
      <w:numFmt w:val="lowerRoman"/>
      <w:start w:val="1"/>
    </w:lvl>
  </w:abstractNum>
  <w:abstractNum w:abstractNumId="54">
    <w:nsid w:val="175DFCF0"/>
    <w:multiLevelType w:val="hybridMultilevel"/>
    <w:lvl w:ilvl="0">
      <w:lvlJc w:val="left"/>
      <w:lvlText w:val="(%1)"/>
      <w:numFmt w:val="lowerRoman"/>
      <w:start w:val="4"/>
    </w:lvl>
  </w:abstractNum>
  <w:abstractNum w:abstractNumId="55">
    <w:nsid w:val="4F97E3E4"/>
    <w:multiLevelType w:val="hybridMultilevel"/>
    <w:lvl w:ilvl="0">
      <w:lvlJc w:val="left"/>
      <w:lvlText w:val="(%1)"/>
      <w:numFmt w:val="lowerLetter"/>
      <w:start w:val="2"/>
    </w:lvl>
  </w:abstractNum>
  <w:abstractNum w:abstractNumId="56">
    <w:nsid w:val="53B0A9E"/>
    <w:multiLevelType w:val="hybridMultilevel"/>
    <w:lvl w:ilvl="0">
      <w:lvlJc w:val="left"/>
      <w:lvlText w:val="%1."/>
      <w:numFmt w:val="decimal"/>
      <w:start w:val="4"/>
    </w:lvl>
    <w:lvl w:ilvl="1">
      <w:lvlJc w:val="left"/>
      <w:lvlText w:val="(%2)"/>
      <w:numFmt w:val="lowerLetter"/>
      <w:start w:val="1"/>
    </w:lvl>
  </w:abstractNum>
  <w:abstractNum w:abstractNumId="57">
    <w:nsid w:val="34FD6B4F"/>
    <w:multiLevelType w:val="hybridMultilevel"/>
    <w:lvl w:ilvl="0">
      <w:lvlJc w:val="left"/>
      <w:lvlText w:val="%1"/>
      <w:numFmt w:val="decimal"/>
      <w:start w:val="1"/>
    </w:lvl>
    <w:lvl w:ilvl="1">
      <w:lvlJc w:val="left"/>
      <w:lvlText w:val="(%2)"/>
      <w:numFmt w:val="lowerLetter"/>
      <w:start w:val="2"/>
    </w:lvl>
  </w:abstractNum>
  <w:abstractNum w:abstractNumId="58">
    <w:nsid w:val="5915FF32"/>
    <w:multiLevelType w:val="hybridMultilevel"/>
    <w:lvl w:ilvl="0">
      <w:lvlJc w:val="left"/>
      <w:lvlText w:val="%1."/>
      <w:numFmt w:val="decimal"/>
      <w:start w:val="5"/>
    </w:lvl>
    <w:lvl w:ilvl="1">
      <w:lvlJc w:val="left"/>
      <w:lvlText w:val="(%2)"/>
      <w:numFmt w:val="lowerLetter"/>
      <w:start w:val="1"/>
    </w:lvl>
  </w:abstractNum>
  <w:abstractNum w:abstractNumId="59">
    <w:nsid w:val="56438D15"/>
    <w:multiLevelType w:val="hybridMultilevel"/>
    <w:lvl w:ilvl="0">
      <w:lvlJc w:val="left"/>
      <w:lvlText w:val="%1"/>
      <w:numFmt w:val="decimal"/>
      <w:start w:val="1"/>
    </w:lvl>
    <w:lvl w:ilvl="1">
      <w:lvlJc w:val="left"/>
      <w:lvlText w:val="(%2)"/>
      <w:numFmt w:val="lowerLetter"/>
      <w:start w:val="2"/>
    </w:lvl>
  </w:abstractNum>
  <w:abstractNum w:abstractNumId="60">
    <w:nsid w:val="519E3149"/>
    <w:multiLevelType w:val="hybridMultilevel"/>
    <w:lvl w:ilvl="0">
      <w:lvlJc w:val="left"/>
      <w:lvlText w:val="%1."/>
      <w:numFmt w:val="decimal"/>
      <w:start w:val="6"/>
    </w:lvl>
    <w:lvl w:ilvl="1">
      <w:lvlJc w:val="left"/>
      <w:lvlText w:val="%2"/>
      <w:numFmt w:val="lowerLetter"/>
      <w:start w:val="1"/>
    </w:lvl>
  </w:abstractNum>
  <w:abstractNum w:abstractNumId="61">
    <w:nsid w:val="2C6E4AFD"/>
    <w:multiLevelType w:val="hybridMultilevel"/>
    <w:lvl w:ilvl="0">
      <w:lvlJc w:val="left"/>
      <w:lvlText w:val="%1."/>
      <w:numFmt w:val="decimal"/>
      <w:start w:val="7"/>
    </w:lvl>
  </w:abstractNum>
  <w:abstractNum w:abstractNumId="62">
    <w:nsid w:val="17A1B582"/>
    <w:multiLevelType w:val="hybridMultilevel"/>
    <w:lvl w:ilvl="0">
      <w:lvlJc w:val="left"/>
      <w:lvlText w:val="%1."/>
      <w:numFmt w:val="decimal"/>
      <w:start w:val="8"/>
    </w:lvl>
  </w:abstractNum>
  <w:abstractNum w:abstractNumId="63">
    <w:nsid w:val="4DF72E4E"/>
    <w:multiLevelType w:val="hybridMultilevel"/>
    <w:lvl w:ilvl="0">
      <w:lvlJc w:val="left"/>
      <w:lvlText w:val="%1."/>
      <w:numFmt w:val="decimal"/>
      <w:start w:val="9"/>
    </w:lvl>
  </w:abstractNum>
  <w:abstractNum w:abstractNumId="64">
    <w:nsid w:val="5046B5A9"/>
    <w:multiLevelType w:val="hybridMultilevel"/>
    <w:lvl w:ilvl="0">
      <w:lvlJc w:val="left"/>
      <w:lvlText w:val="%1."/>
      <w:numFmt w:val="decimal"/>
      <w:start w:val="10"/>
    </w:lvl>
  </w:abstractNum>
  <w:abstractNum w:abstractNumId="65">
    <w:nsid w:val="5D888A08"/>
    <w:multiLevelType w:val="hybridMultilevel"/>
    <w:lvl w:ilvl="0">
      <w:lvlJc w:val="left"/>
      <w:lvlText w:val="%1."/>
      <w:numFmt w:val="decimal"/>
      <w:start w:val="12"/>
    </w:lvl>
  </w:abstractNum>
  <w:abstractNum w:abstractNumId="66">
    <w:nsid w:val="2A082C70"/>
    <w:multiLevelType w:val="hybridMultilevel"/>
    <w:lvl w:ilvl="0">
      <w:lvlJc w:val="left"/>
      <w:lvlText w:val="%1."/>
      <w:numFmt w:val="decimal"/>
      <w:start w:val="13"/>
    </w:lvl>
  </w:abstractNum>
  <w:abstractNum w:abstractNumId="67">
    <w:nsid w:val="5EC6AFD4"/>
    <w:multiLevelType w:val="hybridMultilevel"/>
    <w:lvl w:ilvl="0">
      <w:lvlJc w:val="left"/>
      <w:lvlText w:val="%1."/>
      <w:numFmt w:val="decimal"/>
      <w:start w:val="14"/>
    </w:lvl>
  </w:abstractNum>
  <w:abstractNum w:abstractNumId="68">
    <w:nsid w:val="19E21BB2"/>
    <w:multiLevelType w:val="hybridMultilevel"/>
    <w:lvl w:ilvl="0">
      <w:lvlJc w:val="left"/>
      <w:lvlText w:val="%1."/>
      <w:numFmt w:val="decimal"/>
      <w:start w:val="15"/>
    </w:lvl>
  </w:abstractNum>
  <w:abstractNum w:abstractNumId="69">
    <w:nsid w:val="75E0858A"/>
    <w:multiLevelType w:val="hybridMultilevel"/>
    <w:lvl w:ilvl="0">
      <w:lvlJc w:val="left"/>
      <w:lvlText w:val="%1."/>
      <w:numFmt w:val="decimal"/>
      <w:start w:val="16"/>
    </w:lvl>
  </w:abstractNum>
  <w:abstractNum w:abstractNumId="70">
    <w:nsid w:val="57A61A29"/>
    <w:multiLevelType w:val="hybridMultilevel"/>
    <w:lvl w:ilvl="0">
      <w:lvlJc w:val="left"/>
      <w:lvlText w:val="%1."/>
      <w:numFmt w:val="decimal"/>
      <w:start w:val="17"/>
    </w:lvl>
  </w:abstractNum>
  <w:abstractNum w:abstractNumId="71">
    <w:nsid w:val="5399C654"/>
    <w:multiLevelType w:val="hybridMultilevel"/>
    <w:lvl w:ilvl="0">
      <w:lvlJc w:val="left"/>
      <w:lvlText w:val="%1."/>
      <w:numFmt w:val="decimal"/>
      <w:start w:val="18"/>
    </w:lvl>
  </w:abstractNum>
  <w:abstractNum w:abstractNumId="72">
    <w:nsid w:val="20EE1348"/>
    <w:multiLevelType w:val="hybridMultilevel"/>
    <w:lvl w:ilvl="0">
      <w:lvlJc w:val="left"/>
      <w:lvlText w:val="%1."/>
      <w:numFmt w:val="decimal"/>
      <w:start w:val="19"/>
    </w:lvl>
  </w:abstractNum>
  <w:abstractNum w:abstractNumId="73">
    <w:nsid w:val="4427069A"/>
    <w:multiLevelType w:val="hybridMultilevel"/>
    <w:lvl w:ilvl="0">
      <w:lvlJc w:val="left"/>
      <w:lvlText w:val="%1."/>
      <w:numFmt w:val="decimal"/>
      <w:start w:val="20"/>
    </w:lvl>
  </w:abstractNum>
  <w:abstractNum w:abstractNumId="74">
    <w:nsid w:val="B37E80A"/>
    <w:multiLevelType w:val="hybridMultilevel"/>
    <w:lvl w:ilvl="0">
      <w:lvlJc w:val="left"/>
      <w:lvlText w:val="%1."/>
      <w:numFmt w:val="decimal"/>
      <w:start w:val="21"/>
    </w:lvl>
  </w:abstractNum>
  <w:abstractNum w:abstractNumId="75">
    <w:nsid w:val="2157F6BC"/>
    <w:multiLevelType w:val="hybridMultilevel"/>
    <w:lvl w:ilvl="0">
      <w:lvlJc w:val="left"/>
      <w:lvlText w:val="(%1)"/>
      <w:numFmt w:val="decimal"/>
      <w:start w:val="1"/>
    </w:lvl>
  </w:abstractNum>
  <w:abstractNum w:abstractNumId="76">
    <w:nsid w:val="704E1DD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7">
    <w:nsid w:val="57D2F10E"/>
    <w:multiLevelType w:val="hybridMultilevel"/>
    <w:lvl w:ilvl="0">
      <w:lvlJc w:val="left"/>
      <w:lvlText w:val="(%1)"/>
      <w:numFmt w:val="lowerRoman"/>
      <w:start w:val="3"/>
    </w:lvl>
  </w:abstractNum>
  <w:abstractNum w:abstractNumId="78">
    <w:nsid w:val="BFFAE18"/>
    <w:multiLevelType w:val="hybridMultilevel"/>
    <w:lvl w:ilvl="0">
      <w:lvlJc w:val="left"/>
      <w:lvlText w:val="%1"/>
      <w:numFmt w:val="lowerLetter"/>
      <w:start w:val="1"/>
    </w:lvl>
    <w:lvl w:ilvl="1">
      <w:lvlJc w:val="left"/>
      <w:lvlText w:val="(%2)"/>
      <w:numFmt w:val="lowerLetter"/>
      <w:start w:val="22"/>
    </w:lvl>
  </w:abstractNum>
  <w:abstractNum w:abstractNumId="79">
    <w:nsid w:val="E3E47A8"/>
    <w:multiLevelType w:val="hybridMultilevel"/>
    <w:lvl w:ilvl="0">
      <w:lvlJc w:val="left"/>
      <w:lvlText w:val="(%1)"/>
      <w:numFmt w:val="lowerLetter"/>
      <w:start w:val="3"/>
    </w:lvl>
    <w:lvl w:ilvl="1">
      <w:lvlJc w:val="left"/>
      <w:lvlText w:val="%2"/>
      <w:numFmt w:val="lowerLetter"/>
      <w:start w:val="1"/>
    </w:lvl>
  </w:abstractNum>
  <w:abstractNum w:abstractNumId="80">
    <w:nsid w:val="2E48F044"/>
    <w:multiLevelType w:val="hybridMultilevel"/>
    <w:lvl w:ilvl="0">
      <w:lvlJc w:val="left"/>
      <w:lvlText w:val="%1"/>
      <w:numFmt w:val="decimal"/>
      <w:start w:val="1"/>
    </w:lvl>
    <w:lvl w:ilvl="1">
      <w:lvlJc w:val="left"/>
      <w:lvlText w:val="(%2)"/>
      <w:numFmt w:val="lowerLetter"/>
      <w:start w:val="4"/>
    </w:lvl>
  </w:abstractNum>
  <w:abstractNum w:abstractNumId="81">
    <w:nsid w:val="49D0FEAC"/>
    <w:multiLevelType w:val="hybridMultilevel"/>
    <w:lvl w:ilvl="0">
      <w:lvlJc w:val="left"/>
      <w:lvlText w:val="%1."/>
      <w:numFmt w:val="decimal"/>
      <w:start w:val="2"/>
    </w:lvl>
    <w:lvl w:ilvl="1">
      <w:lvlJc w:val="left"/>
      <w:lvlText w:val="(%2)"/>
      <w:numFmt w:val="lowerLetter"/>
      <w:start w:val="1"/>
    </w:lvl>
  </w:abstractNum>
  <w:abstractNum w:abstractNumId="82">
    <w:nsid w:val="4BEE5A5B"/>
    <w:multiLevelType w:val="hybridMultilevel"/>
    <w:lvl w:ilvl="0">
      <w:lvlJc w:val="left"/>
      <w:lvlText w:val="(%1)"/>
      <w:numFmt w:val="lowerRoman"/>
      <w:start w:val="1"/>
    </w:lvl>
  </w:abstractNum>
  <w:abstractNum w:abstractNumId="83">
    <w:nsid w:val="5551B9F3"/>
    <w:multiLevelType w:val="hybridMultilevel"/>
    <w:lvl w:ilvl="0">
      <w:lvlJc w:val="left"/>
      <w:lvlText w:val="(%1)"/>
      <w:numFmt w:val="lowerRoman"/>
      <w:start w:val="3"/>
    </w:lvl>
  </w:abstractNum>
  <w:abstractNum w:abstractNumId="84">
    <w:nsid w:val="24F6AB8E"/>
    <w:multiLevelType w:val="hybridMultilevel"/>
    <w:lvl w:ilvl="0">
      <w:lvlJc w:val="left"/>
      <w:lvlText w:val="(%1)"/>
      <w:numFmt w:val="lowerLetter"/>
      <w:start w:val="2"/>
    </w:lvl>
  </w:abstractNum>
  <w:abstractNum w:abstractNumId="85">
    <w:nsid w:val="634C574C"/>
    <w:multiLevelType w:val="hybridMultilevel"/>
    <w:lvl w:ilvl="0">
      <w:lvlJc w:val="left"/>
      <w:lvlText w:val="%1"/>
      <w:numFmt w:val="decimal"/>
      <w:start w:val="1"/>
    </w:lvl>
    <w:lvl w:ilvl="1">
      <w:lvlJc w:val="left"/>
      <w:lvlText w:val="(%2)"/>
      <w:numFmt w:val="lowerLetter"/>
      <w:start w:val="3"/>
    </w:lvl>
  </w:abstractNum>
  <w:abstractNum w:abstractNumId="86">
    <w:nsid w:val="24E99DD7"/>
    <w:multiLevelType w:val="hybridMultilevel"/>
    <w:lvl w:ilvl="0">
      <w:lvlJc w:val="left"/>
      <w:lvlText w:val="%1."/>
      <w:numFmt w:val="decimal"/>
      <w:start w:val="4"/>
    </w:lvl>
    <w:lvl w:ilvl="1">
      <w:lvlJc w:val="left"/>
      <w:lvlText w:val="(%2)"/>
      <w:numFmt w:val="lowerLetter"/>
      <w:start w:val="1"/>
    </w:lvl>
  </w:abstractNum>
  <w:abstractNum w:abstractNumId="87">
    <w:nsid w:val="2A31B62D"/>
    <w:multiLevelType w:val="hybridMultilevel"/>
    <w:lvl w:ilvl="0">
      <w:lvlJc w:val="left"/>
      <w:lvlText w:val="%1"/>
      <w:numFmt w:val="decimal"/>
      <w:start w:val="1"/>
    </w:lvl>
    <w:lvl w:ilvl="1">
      <w:lvlJc w:val="left"/>
      <w:lvlText w:val="(%2)"/>
      <w:numFmt w:val="lowerLetter"/>
      <w:start w:val="2"/>
    </w:lvl>
  </w:abstractNum>
  <w:abstractNum w:abstractNumId="88">
    <w:nsid w:val="1849C29B"/>
    <w:multiLevelType w:val="hybridMultilevel"/>
    <w:lvl w:ilvl="0">
      <w:lvlJc w:val="left"/>
      <w:lvlText w:val="%1."/>
      <w:numFmt w:val="decimal"/>
      <w:start w:val="5"/>
    </w:lvl>
    <w:lvl w:ilvl="1">
      <w:lvlJc w:val="left"/>
      <w:lvlText w:val="(%2)"/>
      <w:numFmt w:val="lowerLetter"/>
      <w:start w:val="1"/>
    </w:lvl>
  </w:abstractNum>
  <w:abstractNum w:abstractNumId="89">
    <w:nsid w:val="7DFF9D09"/>
    <w:multiLevelType w:val="hybridMultilevel"/>
    <w:lvl w:ilvl="0">
      <w:lvlJc w:val="left"/>
      <w:lvlText w:val="%1"/>
      <w:numFmt w:val="decimal"/>
      <w:start w:val="1"/>
    </w:lvl>
    <w:lvl w:ilvl="1">
      <w:lvlJc w:val="left"/>
      <w:lvlText w:val="(%2)"/>
      <w:numFmt w:val="lowerLetter"/>
      <w:start w:val="2"/>
    </w:lvl>
  </w:abstractNum>
  <w:abstractNum w:abstractNumId="90">
    <w:nsid w:val="754342"/>
    <w:multiLevelType w:val="hybridMultilevel"/>
    <w:lvl w:ilvl="0">
      <w:lvlJc w:val="left"/>
      <w:lvlText w:val="%1."/>
      <w:numFmt w:val="decimal"/>
      <w:start w:val="6"/>
    </w:lvl>
    <w:lvl w:ilvl="1">
      <w:lvlJc w:val="left"/>
      <w:lvlText w:val="%2"/>
      <w:numFmt w:val="lowerLetter"/>
      <w:start w:val="1"/>
    </w:lvl>
  </w:abstractNum>
  <w:abstractNum w:abstractNumId="91">
    <w:nsid w:val="69E7F3E5"/>
    <w:multiLevelType w:val="hybridMultilevel"/>
    <w:lvl w:ilvl="0">
      <w:lvlJc w:val="left"/>
      <w:lvlText w:val="%1."/>
      <w:numFmt w:val="decimal"/>
      <w:start w:val="7"/>
    </w:lvl>
  </w:abstractNum>
  <w:abstractNum w:abstractNumId="92">
    <w:nsid w:val="2A6DE806"/>
    <w:multiLevelType w:val="hybridMultilevel"/>
    <w:lvl w:ilvl="0">
      <w:lvlJc w:val="left"/>
      <w:lvlText w:val="%1."/>
      <w:numFmt w:val="decimal"/>
      <w:start w:val="8"/>
    </w:lvl>
  </w:abstractNum>
  <w:abstractNum w:abstractNumId="93">
    <w:nsid w:val="1816F8C4"/>
    <w:multiLevelType w:val="hybridMultilevel"/>
    <w:lvl w:ilvl="0">
      <w:lvlJc w:val="left"/>
      <w:lvlText w:val="%1."/>
      <w:numFmt w:val="decimal"/>
      <w:start w:val="9"/>
    </w:lvl>
  </w:abstractNum>
  <w:abstractNum w:abstractNumId="94">
    <w:nsid w:val="37DF2233"/>
    <w:multiLevelType w:val="hybridMultilevel"/>
    <w:lvl w:ilvl="0">
      <w:lvlJc w:val="left"/>
      <w:lvlText w:val="%1."/>
      <w:numFmt w:val="decimal"/>
      <w:start w:val="10"/>
    </w:lvl>
  </w:abstractNum>
  <w:abstractNum w:abstractNumId="95">
    <w:nsid w:val="7AB49DAF"/>
    <w:multiLevelType w:val="hybridMultilevel"/>
    <w:lvl w:ilvl="0">
      <w:lvlJc w:val="left"/>
      <w:lvlText w:val="%1."/>
      <w:numFmt w:val="decimal"/>
      <w:start w:val="11"/>
    </w:lvl>
  </w:abstractNum>
  <w:abstractNum w:abstractNumId="96">
    <w:nsid w:val="759F82CD"/>
    <w:multiLevelType w:val="hybridMultilevel"/>
    <w:lvl w:ilvl="0">
      <w:lvlJc w:val="left"/>
      <w:lvlText w:val="%1."/>
      <w:numFmt w:val="decimal"/>
      <w:start w:val="12"/>
    </w:lvl>
  </w:abstractNum>
  <w:abstractNum w:abstractNumId="97">
    <w:nsid w:val="61E74EA3"/>
    <w:multiLevelType w:val="hybridMultilevel"/>
    <w:lvl w:ilvl="0">
      <w:lvlJc w:val="left"/>
      <w:lvlText w:val="%1."/>
      <w:numFmt w:val="decimal"/>
      <w:start w:val="13"/>
    </w:lvl>
  </w:abstractNum>
  <w:abstractNum w:abstractNumId="98">
    <w:nsid w:val="597B4D84"/>
    <w:multiLevelType w:val="hybridMultilevel"/>
    <w:lvl w:ilvl="0">
      <w:lvlJc w:val="left"/>
      <w:lvlText w:val="%1."/>
      <w:numFmt w:val="decimal"/>
      <w:start w:val="14"/>
    </w:lvl>
  </w:abstractNum>
  <w:abstractNum w:abstractNumId="99">
    <w:nsid w:val="F819E7F"/>
    <w:multiLevelType w:val="hybridMultilevel"/>
    <w:lvl w:ilvl="0">
      <w:lvlJc w:val="left"/>
      <w:lvlText w:val="%1."/>
      <w:numFmt w:val="decimal"/>
      <w:start w:val="15"/>
    </w:lvl>
  </w:abstractNum>
  <w:abstractNum w:abstractNumId="100">
    <w:nsid w:val="57C7D42D"/>
    <w:multiLevelType w:val="hybridMultilevel"/>
    <w:lvl w:ilvl="0">
      <w:lvlJc w:val="left"/>
      <w:lvlText w:val="%1."/>
      <w:numFmt w:val="decimal"/>
      <w:start w:val="16"/>
    </w:lvl>
  </w:abstractNum>
  <w:abstractNum w:abstractNumId="101">
    <w:nsid w:val="312167AD"/>
    <w:multiLevelType w:val="hybridMultilevel"/>
    <w:lvl w:ilvl="0">
      <w:lvlJc w:val="left"/>
      <w:lvlText w:val="%1."/>
      <w:numFmt w:val="decimal"/>
      <w:start w:val="17"/>
    </w:lvl>
  </w:abstractNum>
  <w:abstractNum w:abstractNumId="102">
    <w:nsid w:val="631B64D4"/>
    <w:multiLevelType w:val="hybridMultilevel"/>
    <w:lvl w:ilvl="0">
      <w:lvlJc w:val="left"/>
      <w:lvlText w:val="%1."/>
      <w:numFmt w:val="decimal"/>
      <w:start w:val="18"/>
    </w:lvl>
  </w:abstractNum>
  <w:abstractNum w:abstractNumId="103">
    <w:nsid w:val="78B5E776"/>
    <w:multiLevelType w:val="hybridMultilevel"/>
    <w:lvl w:ilvl="0">
      <w:lvlJc w:val="left"/>
      <w:lvlText w:val="%1."/>
      <w:numFmt w:val="decimal"/>
      <w:start w:val="19"/>
    </w:lvl>
  </w:abstractNum>
  <w:abstractNum w:abstractNumId="104">
    <w:nsid w:val="75486E47"/>
    <w:multiLevelType w:val="hybridMultilevel"/>
    <w:lvl w:ilvl="0">
      <w:lvlJc w:val="left"/>
      <w:lvlText w:val="%1."/>
      <w:numFmt w:val="decimal"/>
      <w:start w:val="20"/>
    </w:lvl>
  </w:abstractNum>
  <w:abstractNum w:abstractNumId="105">
    <w:nsid w:val="6E534CDE"/>
    <w:multiLevelType w:val="hybridMultilevel"/>
    <w:lvl w:ilvl="0">
      <w:lvlJc w:val="left"/>
      <w:lvlText w:val="%1."/>
      <w:numFmt w:val="decimal"/>
      <w:start w:val="21"/>
    </w:lvl>
  </w:abstractNum>
  <w:abstractNum w:abstractNumId="106">
    <w:nsid w:val="1A0DDE32"/>
    <w:multiLevelType w:val="hybridMultilevel"/>
    <w:lvl w:ilvl="0">
      <w:lvlJc w:val="left"/>
      <w:lvlText w:val="(%1)"/>
      <w:numFmt w:val="decimal"/>
      <w:start w:val="1"/>
    </w:lvl>
  </w:abstractNum>
  <w:abstractNum w:abstractNumId="107">
    <w:nsid w:val="65968C1C"/>
    <w:multiLevelType w:val="hybridMultilevel"/>
    <w:lvl w:ilvl="0">
      <w:lvlJc w:val="left"/>
      <w:lvlText w:val="[•]"/>
      <w:numFmt w:val="bullet"/>
      <w:start w:val="1"/>
    </w:lvl>
  </w:abstractNum>
  <w:abstractNum w:abstractNumId="108">
    <w:nsid w:val="46263DEC"/>
    <w:multiLevelType w:val="hybridMultilevel"/>
    <w:lvl w:ilvl="0">
      <w:lvlJc w:val="left"/>
      <w:lvlText w:val="%1)"/>
      <w:numFmt w:val="lowerLetter"/>
      <w:start w:val="1"/>
    </w:lvl>
  </w:abstractNum>
  <w:abstractNum w:abstractNumId="109">
    <w:nsid w:val="260D8C4A"/>
    <w:multiLevelType w:val="hybridMultilevel"/>
    <w:lvl w:ilvl="0">
      <w:lvlJc w:val="left"/>
      <w:lvlText w:val="%1)"/>
      <w:numFmt w:val="lowerLetter"/>
      <w:start w:val="2"/>
    </w:lvl>
    <w:lvl w:ilvl="1">
      <w:lvlJc w:val="left"/>
      <w:lvlText w:val="(%2)"/>
      <w:numFmt w:val="upperLetter"/>
      <w:start w:val="1"/>
    </w:lvl>
  </w:abstractNum>
  <w:abstractNum w:abstractNumId="110">
    <w:nsid w:val="73D4D3C4"/>
    <w:multiLevelType w:val="hybridMultilevel"/>
    <w:lvl w:ilvl="0">
      <w:lvlJc w:val="left"/>
      <w:lvlText w:val="1"/>
      <w:numFmt w:val="bullet"/>
      <w:start w:val="1"/>
    </w:lvl>
  </w:abstractNum>
  <w:abstractNum w:abstractNumId="111">
    <w:nsid w:val="746F2E30"/>
    <w:multiLevelType w:val="hybridMultilevel"/>
    <w:lvl w:ilvl="0">
      <w:lvlJc w:val="left"/>
      <w:lvlText w:val="(%1)"/>
      <w:numFmt w:val="upperLetter"/>
      <w:start w:val="2"/>
    </w:lvl>
    <w:lvl w:ilvl="1">
      <w:lvlJc w:val="left"/>
      <w:lvlText w:val="%2"/>
      <w:numFmt w:val="upperLetter"/>
      <w:start w:val="1"/>
    </w:lvl>
  </w:abstractNum>
  <w:abstractNum w:abstractNumId="112">
    <w:nsid w:val="6FDE8AF6"/>
    <w:multiLevelType w:val="hybridMultilevel"/>
    <w:lvl w:ilvl="0">
      <w:lvlJc w:val="left"/>
      <w:lvlText w:val="(%1)"/>
      <w:numFmt w:val="upperLetter"/>
      <w:start w:val="24"/>
    </w:lvl>
    <w:lvl w:ilvl="1">
      <w:lvlJc w:val="left"/>
      <w:lvlText w:val="%2"/>
      <w:numFmt w:val="upperLetter"/>
      <w:start w:val="1"/>
    </w:lvl>
  </w:abstractNum>
  <w:abstractNum w:abstractNumId="113">
    <w:nsid w:val="3FC32E20"/>
    <w:multiLevelType w:val="hybridMultilevel"/>
    <w:lvl w:ilvl="0">
      <w:lvlJc w:val="left"/>
      <w:lvlText w:val="%1"/>
      <w:numFmt w:val="lowerLetter"/>
      <w:start w:val="1"/>
    </w:lvl>
    <w:lvl w:ilvl="1">
      <w:lvlJc w:val="left"/>
      <w:lvlText w:val="(%2)"/>
      <w:numFmt w:val="decimal"/>
      <w:start w:val="9"/>
    </w:lvl>
    <w:lvl w:ilvl="2">
      <w:lvlJc w:val="left"/>
      <w:lvlText w:val="%3"/>
      <w:numFmt w:val="lowerRoman"/>
      <w:start w:val="1"/>
    </w:lvl>
  </w:abstractNum>
  <w:abstractNum w:abstractNumId="114">
    <w:nsid w:val="49C0E823"/>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115">
    <w:nsid w:val="14D53685"/>
    <w:multiLevelType w:val="hybridMultilevel"/>
    <w:lvl w:ilvl="0">
      <w:lvlJc w:val="left"/>
      <w:lvlText w:val="%1."/>
      <w:numFmt w:val="lowerRoman"/>
      <w:start w:val="2"/>
    </w:lvl>
  </w:abstractNum>
  <w:abstractNum w:abstractNumId="116">
    <w:nsid w:val="230F856C"/>
    <w:multiLevelType w:val="hybridMultilevel"/>
    <w:lvl w:ilvl="0">
      <w:lvlJc w:val="left"/>
      <w:lvlText w:val="%1."/>
      <w:numFmt w:val="lowerRoman"/>
      <w:start w:val="3"/>
    </w:lvl>
  </w:abstractNum>
  <w:abstractNum w:abstractNumId="117">
    <w:nsid w:val="6EAA85FB"/>
    <w:multiLevelType w:val="hybridMultilevel"/>
    <w:lvl w:ilvl="0">
      <w:lvlJc w:val="left"/>
      <w:lvlText w:val="%1."/>
      <w:numFmt w:val="lowerRoman"/>
      <w:start w:val="5"/>
    </w:lvl>
  </w:abstractNum>
  <w:abstractNum w:abstractNumId="118">
    <w:nsid w:val="3F06ECB2"/>
    <w:multiLevelType w:val="hybridMultilevel"/>
    <w:lvl w:ilvl="0">
      <w:lvlJc w:val="left"/>
      <w:lvlText w:val="%1."/>
      <w:numFmt w:val="lowerRoman"/>
      <w:start w:val="6"/>
    </w:lvl>
  </w:abstractNum>
  <w:abstractNum w:abstractNumId="119">
    <w:nsid w:val="3B594807"/>
    <w:multiLevelType w:val="hybridMultilevel"/>
    <w:lvl w:ilvl="0">
      <w:lvlJc w:val="left"/>
      <w:lvlText w:val="%1."/>
      <w:numFmt w:val="lowerRoman"/>
      <w:start w:val="7"/>
    </w:lvl>
  </w:abstractNum>
  <w:abstractNum w:abstractNumId="120">
    <w:nsid w:val="6CAA2304"/>
    <w:multiLevelType w:val="hybridMultilevel"/>
    <w:lvl w:ilvl="0">
      <w:lvlJc w:val="left"/>
      <w:lvlText w:val="%1)"/>
      <w:numFmt w:val="lowerLetter"/>
      <w:start w:val="5"/>
    </w:lvl>
  </w:abstractNum>
  <w:abstractNum w:abstractNumId="121">
    <w:nsid w:val="3F7C2FF4"/>
    <w:multiLevelType w:val="hybridMultilevel"/>
    <w:lvl w:ilvl="0">
      <w:lvlJc w:val="left"/>
      <w:lvlText w:val="%1)"/>
      <w:numFmt w:val="lowerLetter"/>
      <w:start w:val="1"/>
    </w:lvl>
  </w:abstractNum>
  <w:abstractNum w:abstractNumId="122">
    <w:nsid w:val="25413BEC"/>
    <w:multiLevelType w:val="hybridMultilevel"/>
    <w:lvl w:ilvl="0">
      <w:lvlJc w:val="left"/>
      <w:lvlText w:val="%1)"/>
      <w:numFmt w:val="lowerLetter"/>
      <w:start w:val="4"/>
    </w:lvl>
  </w:abstractNum>
  <w:abstractNum w:abstractNumId="123">
    <w:nsid w:val="17180B0B"/>
    <w:multiLevelType w:val="hybridMultilevel"/>
    <w:lvl w:ilvl="0">
      <w:lvlJc w:val="left"/>
      <w:lvlText w:val="%1)"/>
      <w:numFmt w:val="lowerLetter"/>
      <w:start w:val="6"/>
    </w:lvl>
  </w:abstractNum>
  <w:abstractNum w:abstractNumId="124">
    <w:nsid w:val="579328B9"/>
    <w:multiLevelType w:val="hybridMultilevel"/>
    <w:lvl w:ilvl="0">
      <w:lvlJc w:val="left"/>
      <w:lvlText w:val="%1)"/>
      <w:numFmt w:val="lowerLetter"/>
      <w:start w:val="7"/>
    </w:lvl>
  </w:abstractNum>
  <w:abstractNum w:abstractNumId="125">
    <w:nsid w:val="5D205E20"/>
    <w:multiLevelType w:val="hybridMultilevel"/>
    <w:lvl w:ilvl="0">
      <w:lvlJc w:val="left"/>
      <w:lvlText w:val="%1."/>
      <w:numFmt w:val="lowerRoman"/>
      <w:start w:val="1"/>
    </w:lvl>
  </w:abstractNum>
  <w:abstractNum w:abstractNumId="126">
    <w:nsid w:val="11CCA8BA"/>
    <w:multiLevelType w:val="hybridMultilevel"/>
    <w:lvl w:ilvl="0">
      <w:lvlJc w:val="left"/>
      <w:lvlText w:val="%1"/>
      <w:numFmt w:val="upperLetter"/>
      <w:start w:val="1"/>
    </w:lvl>
    <w:lvl w:ilvl="1">
      <w:lvlJc w:val="left"/>
      <w:lvlText w:val="%2."/>
      <w:numFmt w:val="lowerRoman"/>
      <w:start w:val="2"/>
    </w:lvl>
  </w:abstractNum>
  <w:abstractNum w:abstractNumId="127">
    <w:nsid w:val="4D32AB86"/>
    <w:multiLevelType w:val="hybridMultilevel"/>
    <w:lvl w:ilvl="0">
      <w:lvlJc w:val="left"/>
      <w:lvlText w:val="(%1)"/>
      <w:numFmt w:val="upperLetter"/>
      <w:start w:val="4"/>
    </w:lvl>
    <w:lvl w:ilvl="1">
      <w:lvlJc w:val="left"/>
      <w:lvlText w:val="%2"/>
      <w:numFmt w:val="lowerRoman"/>
      <w:start w:val="1"/>
    </w:lvl>
  </w:abstractNum>
  <w:abstractNum w:abstractNumId="128">
    <w:nsid w:val="3F07ACC3"/>
    <w:multiLevelType w:val="hybridMultilevel"/>
    <w:lvl w:ilvl="0">
      <w:lvlJc w:val="left"/>
      <w:lvlText w:val="%1)"/>
      <w:numFmt w:val="lowerLetter"/>
      <w:start w:val="8"/>
    </w:lvl>
  </w:abstractNum>
  <w:abstractNum w:abstractNumId="129">
    <w:nsid w:val="6B47F63E"/>
    <w:multiLevelType w:val="hybridMultilevel"/>
    <w:lvl w:ilvl="0">
      <w:lvlJc w:val="left"/>
      <w:lvlText w:val="%1)"/>
      <w:numFmt w:val="lowerLetter"/>
      <w:start w:val="1"/>
    </w:lvl>
  </w:abstractNum>
  <w:abstractNum w:abstractNumId="130">
    <w:nsid w:val="5CB44A05"/>
    <w:multiLevelType w:val="hybridMultilevel"/>
    <w:lvl w:ilvl="0">
      <w:lvlJc w:val="left"/>
      <w:lvlText w:val="%1)"/>
      <w:numFmt w:val="lowerLetter"/>
      <w:start w:val="4"/>
    </w:lvl>
  </w:abstractNum>
  <w:abstractNum w:abstractNumId="131">
    <w:nsid w:val="16CF80F1"/>
    <w:multiLevelType w:val="hybridMultilevel"/>
    <w:lvl w:ilvl="0">
      <w:lvlJc w:val="left"/>
      <w:lvlText w:val="%1)"/>
      <w:numFmt w:val="lowerLetter"/>
      <w:start w:val="1"/>
    </w:lvl>
  </w:abstractNum>
  <w:abstractNum w:abstractNumId="132">
    <w:nsid w:val="1C695DEC"/>
    <w:multiLevelType w:val="hybridMultilevel"/>
    <w:lvl w:ilvl="0">
      <w:lvlJc w:val="left"/>
      <w:lvlText w:val="%1)"/>
      <w:numFmt w:val="lowerLetter"/>
      <w:start w:val="3"/>
    </w:lvl>
  </w:abstractNum>
  <w:abstractNum w:abstractNumId="133">
    <w:nsid w:val="3FCFAED9"/>
    <w:multiLevelType w:val="hybridMultilevel"/>
    <w:lvl w:ilvl="0">
      <w:lvlJc w:val="left"/>
      <w:lvlText w:val="%1)"/>
      <w:numFmt w:val="lowerLetter"/>
      <w:start w:val="6"/>
    </w:lvl>
  </w:abstractNum>
  <w:abstractNum w:abstractNumId="134">
    <w:nsid w:val="F856867"/>
    <w:multiLevelType w:val="hybridMultilevel"/>
    <w:lvl w:ilvl="0">
      <w:lvlJc w:val="left"/>
      <w:lvlText w:val="%1)"/>
      <w:numFmt w:val="lowerLetter"/>
      <w:start w:val="8"/>
    </w:lvl>
  </w:abstractNum>
  <w:abstractNum w:abstractNumId="135">
    <w:nsid w:val="11B1CC33"/>
    <w:multiLevelType w:val="hybridMultilevel"/>
    <w:lvl w:ilvl="0">
      <w:lvlJc w:val="left"/>
      <w:lvlText w:val="%1)"/>
      <w:numFmt w:val="lowerLetter"/>
      <w:start w:val="12"/>
    </w:lvl>
  </w:abstractNum>
  <w:abstractNum w:abstractNumId="136">
    <w:nsid w:val="2E22FBB7"/>
    <w:multiLevelType w:val="hybridMultilevel"/>
    <w:lvl w:ilvl="0">
      <w:lvlJc w:val="left"/>
      <w:lvlText w:val="(%1)"/>
      <w:numFmt w:val="decimal"/>
      <w:start w:val="1"/>
    </w:lvl>
  </w:abstractNum>
  <w:abstractNum w:abstractNumId="137">
    <w:nsid w:val="29934699"/>
    <w:multiLevelType w:val="hybridMultilevel"/>
    <w:lvl w:ilvl="0">
      <w:lvlJc w:val="left"/>
      <w:lvlText w:val="(%1)"/>
      <w:numFmt w:val="decimal"/>
      <w:start w:val="2"/>
    </w:lvl>
    <w:lvl w:ilvl="1">
      <w:lvlJc w:val="left"/>
      <w:lvlText w:val="["/>
      <w:numFmt w:val="bullet"/>
      <w:start w:val="1"/>
    </w:lvl>
  </w:abstractNum>
  <w:abstractNum w:abstractNumId="138">
    <w:nsid w:val="77485850"/>
    <w:multiLevelType w:val="hybridMultilevel"/>
    <w:lvl w:ilvl="0">
      <w:lvlJc w:val="left"/>
      <w:lvlText w:val="%1)"/>
      <w:numFmt w:val="decimal"/>
      <w:start w:val="144"/>
    </w:lvl>
  </w:abstractNum>
  <w:abstractNum w:abstractNumId="139">
    <w:nsid w:val="744939A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40">
    <w:nsid w:val="4FA0D2E3"/>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141">
    <w:nsid w:val="6B1D2C14"/>
    <w:multiLevelType w:val="hybridMultilevel"/>
    <w:lvl w:ilvl="0">
      <w:lvlJc w:val="left"/>
      <w:lvlText w:val="%1"/>
      <w:numFmt w:val="lowerRoman"/>
      <w:start w:val="1"/>
    </w:lvl>
    <w:lvl w:ilvl="1">
      <w:lvlJc w:val="left"/>
      <w:lvlText w:val="(%2)"/>
      <w:numFmt w:val="lowerLetter"/>
      <w:start w:val="1"/>
    </w:lvl>
  </w:abstractNum>
  <w:abstractNum w:abstractNumId="142">
    <w:nsid w:val="68B867D3"/>
    <w:multiLevelType w:val="hybridMultilevel"/>
    <w:lvl w:ilvl="0">
      <w:lvlJc w:val="left"/>
      <w:lvlText w:val="(%1)"/>
      <w:numFmt w:val="lowerRoman"/>
      <w:start w:val="1"/>
    </w:lvl>
    <w:lvl w:ilvl="1">
      <w:lvlJc w:val="left"/>
      <w:lvlText w:val="(%2)"/>
      <w:numFmt w:val="lowerLetter"/>
      <w:start w:val="2"/>
    </w:lvl>
  </w:abstractNum>
  <w:abstractNum w:abstractNumId="143">
    <w:nsid w:val="3F7F5DD9"/>
    <w:multiLevelType w:val="hybridMultilevel"/>
    <w:lvl w:ilvl="0">
      <w:lvlJc w:val="left"/>
      <w:lvlText w:val="(%1)"/>
      <w:numFmt w:val="lowerRoman"/>
      <w:start w:val="1"/>
    </w:lvl>
  </w:abstractNum>
  <w:abstractNum w:abstractNumId="144">
    <w:nsid w:val="2AE05A34"/>
    <w:multiLevelType w:val="hybridMultilevel"/>
    <w:lvl w:ilvl="0">
      <w:lvlJc w:val="left"/>
      <w:lvlText w:val="(%1)"/>
      <w:numFmt w:val="lowerLetter"/>
      <w:start w:val="1"/>
    </w:lvl>
  </w:abstractNum>
  <w:abstractNum w:abstractNumId="145">
    <w:nsid w:val="32794FF7"/>
    <w:multiLevelType w:val="hybridMultilevel"/>
    <w:lvl w:ilvl="0">
      <w:lvlJc w:val="left"/>
      <w:lvlText w:val="(%1)"/>
      <w:numFmt w:val="upperLetter"/>
      <w:start w:val="1"/>
    </w:lvl>
    <w:lvl w:ilvl="1">
      <w:lvlJc w:val="left"/>
      <w:lvlText w:val="(%2)"/>
      <w:numFmt w:val="lowerLetter"/>
      <w:start w:val="2"/>
    </w:lvl>
  </w:abstractNum>
  <w:abstractNum w:abstractNumId="146">
    <w:nsid w:val="5454945E"/>
    <w:multiLevelType w:val="hybridMultilevel"/>
    <w:lvl w:ilvl="0">
      <w:lvlJc w:val="left"/>
      <w:lvlText w:val="(%1)"/>
      <w:numFmt w:val="lowerLetter"/>
      <w:start w:val="5"/>
    </w:lvl>
  </w:abstractNum>
  <w:abstractNum w:abstractNumId="147">
    <w:nsid w:val="4DEFDFA0"/>
    <w:multiLevelType w:val="hybridMultilevel"/>
    <w:lvl w:ilvl="0">
      <w:lvlJc w:val="left"/>
      <w:lvlText w:val="&amp;"/>
      <w:numFmt w:val="bullet"/>
      <w:start w:val="1"/>
    </w:lvl>
    <w:lvl w:ilvl="1">
      <w:lvlJc w:val="left"/>
      <w:lvlText w:val="(%2)"/>
      <w:numFmt w:val="lowerLetter"/>
      <w:start w:val="7"/>
    </w:lvl>
  </w:abstractNum>
  <w:abstractNum w:abstractNumId="148">
    <w:nsid w:val="2123D5F2"/>
    <w:multiLevelType w:val="hybridMultilevel"/>
    <w:lvl w:ilvl="0">
      <w:lvlJc w:val="left"/>
      <w:lvlText w:val="&amp;"/>
      <w:numFmt w:val="bullet"/>
      <w:start w:val="1"/>
    </w:lvl>
    <w:lvl w:ilvl="1">
      <w:lvlJc w:val="left"/>
      <w:lvlText w:val="(%2)"/>
      <w:numFmt w:val="lowerLetter"/>
      <w:start w:val="8"/>
    </w:lvl>
  </w:abstractNum>
  <w:abstractNum w:abstractNumId="149">
    <w:nsid w:val="135B8110"/>
    <w:multiLevelType w:val="hybridMultilevel"/>
    <w:lvl w:ilvl="0">
      <w:lvlJc w:val="left"/>
      <w:lvlText w:val="(%1)"/>
      <w:numFmt w:val="lowerLetter"/>
      <w:start w:val="9"/>
    </w:lvl>
  </w:abstractNum>
  <w:abstractNum w:abstractNumId="150">
    <w:nsid w:val="94927A8"/>
    <w:multiLevelType w:val="hybridMultilevel"/>
    <w:lvl w:ilvl="0">
      <w:lvlJc w:val="left"/>
      <w:lvlText w:val="(%1)"/>
      <w:numFmt w:val="lowerLetter"/>
      <w:start w:val="15"/>
    </w:lvl>
  </w:abstractNum>
  <w:abstractNum w:abstractNumId="151">
    <w:nsid w:val="DCDF8F6"/>
    <w:multiLevelType w:val="hybridMultilevel"/>
    <w:lvl w:ilvl="0">
      <w:lvlJc w:val="left"/>
      <w:lvlText w:val="(%1)"/>
      <w:numFmt w:val="lowerLetter"/>
      <w:start w:val="19"/>
    </w:lvl>
  </w:abstractNum>
  <w:abstractNum w:abstractNumId="152">
    <w:nsid w:val="52D7B105"/>
    <w:multiLevelType w:val="hybridMultilevel"/>
    <w:lvl w:ilvl="0">
      <w:lvlJc w:val="left"/>
      <w:lvlText w:val="(%1)"/>
      <w:numFmt w:val="lowerLetter"/>
      <w:start w:val="26"/>
    </w:lvl>
  </w:abstractNum>
  <w:abstractNum w:abstractNumId="153">
    <w:nsid w:val="2E8A6394"/>
    <w:multiLevelType w:val="hybridMultilevel"/>
    <w:lvl w:ilvl="0">
      <w:lvlJc w:val="left"/>
      <w:lvlText w:val="(%1)"/>
      <w:numFmt w:val="lowerLetter"/>
      <w:start w:val="27"/>
    </w:lvl>
  </w:abstractNum>
  <w:abstractNum w:abstractNumId="154">
    <w:nsid w:val="24E60401"/>
    <w:multiLevelType w:val="hybridMultilevel"/>
    <w:lvl w:ilvl="0">
      <w:lvlJc w:val="left"/>
      <w:lvlText w:val="(%1)"/>
      <w:numFmt w:val="lowerLetter"/>
      <w:start w:val="30"/>
    </w:lvl>
  </w:abstractNum>
  <w:abstractNum w:abstractNumId="155">
    <w:nsid w:val="2A6AD9BE"/>
    <w:multiLevelType w:val="hybridMultilevel"/>
    <w:lvl w:ilvl="0">
      <w:lvlJc w:val="left"/>
      <w:lvlText w:val="(%1)"/>
      <w:numFmt w:val="lowerLetter"/>
      <w:start w:val="36"/>
    </w:lvl>
  </w:abstractNum>
  <w:abstractNum w:abstractNumId="156">
    <w:nsid w:val="BAAC1B4"/>
    <w:multiLevelType w:val="hybridMultilevel"/>
    <w:lvl w:ilvl="0">
      <w:lvlJc w:val="left"/>
      <w:lvlText w:val="(%1)"/>
      <w:numFmt w:val="lowerLetter"/>
      <w:start w:val="40"/>
    </w:lvl>
  </w:abstractNum>
  <w:abstractNum w:abstractNumId="157">
    <w:nsid w:val="36B2ACBC"/>
    <w:multiLevelType w:val="hybridMultilevel"/>
    <w:lvl w:ilvl="0">
      <w:lvlJc w:val="left"/>
      <w:lvlText w:val="(%1)"/>
      <w:numFmt w:val="lowerLetter"/>
      <w:start w:val="43"/>
    </w:lvl>
  </w:abstractNum>
  <w:abstractNum w:abstractNumId="158">
    <w:nsid w:val="779D8544"/>
    <w:multiLevelType w:val="hybridMultilevel"/>
    <w:lvl w:ilvl="0">
      <w:lvlJc w:val="left"/>
      <w:lvlText w:val="(%1)"/>
      <w:numFmt w:val="lowerLetter"/>
      <w:start w:val="1"/>
    </w:lvl>
  </w:abstractNum>
  <w:abstractNum w:abstractNumId="159">
    <w:nsid w:val="4AB26E78"/>
    <w:multiLevelType w:val="hybridMultilevel"/>
    <w:lvl w:ilvl="0">
      <w:lvlJc w:val="left"/>
      <w:lvlText w:val="(%1)"/>
      <w:numFmt w:val="lowerLetter"/>
      <w:start w:val="2"/>
    </w:lvl>
  </w:abstractNum>
  <w:abstractNum w:abstractNumId="160">
    <w:nsid w:val="21FAA2FA"/>
    <w:multiLevelType w:val="hybridMultilevel"/>
    <w:lvl w:ilvl="0">
      <w:lvlJc w:val="left"/>
      <w:lvlText w:val="(%1)"/>
      <w:numFmt w:val="lowerLetter"/>
      <w:start w:val="8"/>
    </w:lvl>
  </w:abstractNum>
  <w:abstractNum w:abstractNumId="161">
    <w:nsid w:val="5451CF49"/>
    <w:multiLevelType w:val="hybridMultilevel"/>
    <w:lvl w:ilvl="0">
      <w:lvlJc w:val="left"/>
      <w:lvlText w:val="(%1)"/>
      <w:numFmt w:val="lowerLetter"/>
      <w:start w:val="1"/>
    </w:lvl>
  </w:abstractNum>
  <w:abstractNum w:abstractNumId="162">
    <w:nsid w:val="6181EF69"/>
    <w:multiLevelType w:val="hybridMultilevel"/>
    <w:lvl w:ilvl="0">
      <w:lvlJc w:val="left"/>
      <w:lvlText w:val="(%1)"/>
      <w:numFmt w:val="lowerLetter"/>
      <w:start w:val="3"/>
    </w:lvl>
  </w:abstractNum>
  <w:abstractNum w:abstractNumId="163">
    <w:nsid w:val="3E6400E6"/>
    <w:multiLevelType w:val="hybridMultilevel"/>
    <w:lvl w:ilvl="0">
      <w:lvlJc w:val="left"/>
      <w:lvlText w:val="(%1)"/>
      <w:numFmt w:val="lowerLetter"/>
      <w:start w:val="4"/>
    </w:lvl>
  </w:abstractNum>
  <w:abstractNum w:abstractNumId="164">
    <w:nsid w:val="14217E23"/>
    <w:multiLevelType w:val="hybridMultilevel"/>
    <w:lvl w:ilvl="0">
      <w:lvlJc w:val="left"/>
      <w:lvlText w:val="%1"/>
      <w:numFmt w:val="upperLetter"/>
      <w:start w:val="1"/>
    </w:lvl>
    <w:lvl w:ilvl="1">
      <w:lvlJc w:val="left"/>
      <w:lvlText w:val="(%2)"/>
      <w:numFmt w:val="lowerLetter"/>
      <w:start w:val="1"/>
    </w:lvl>
  </w:abstractNum>
  <w:abstractNum w:abstractNumId="165">
    <w:nsid w:val="710757D0"/>
    <w:multiLevelType w:val="hybridMultilevel"/>
    <w:lvl w:ilvl="0">
      <w:lvlJc w:val="left"/>
      <w:lvlText w:val="(%1)"/>
      <w:numFmt w:val="upperLetter"/>
      <w:start w:val="2"/>
    </w:lvl>
    <w:lvl w:ilvl="1">
      <w:lvlJc w:val="left"/>
      <w:lvlText w:val="(%2)"/>
      <w:numFmt w:val="lowerLetter"/>
      <w:start w:val="3"/>
    </w:lvl>
  </w:abstractNum>
  <w:abstractNum w:abstractNumId="166">
    <w:nsid w:val="5015CD1A"/>
    <w:multiLevelType w:val="hybridMultilevel"/>
    <w:lvl w:ilvl="0">
      <w:lvlJc w:val="left"/>
      <w:lvlText w:val="☐"/>
      <w:numFmt w:val="bullet"/>
      <w:start w:val="1"/>
    </w:lvl>
  </w:abstractNum>
  <w:abstractNum w:abstractNumId="167">
    <w:nsid w:val="424479DA"/>
    <w:multiLevelType w:val="hybridMultilevel"/>
    <w:lvl w:ilvl="0">
      <w:lvlJc w:val="left"/>
      <w:lvlText w:val="%1."/>
      <w:numFmt w:val="decimal"/>
      <w:start w:val="2"/>
    </w:lvl>
    <w:lvl w:ilvl="1">
      <w:lvlJc w:val="left"/>
      <w:lvlText w:val="%2."/>
      <w:numFmt w:val="decimal"/>
      <w:start w:val="423"/>
    </w:lvl>
    <w:lvl w:ilvl="2">
      <w:lvlJc w:val="left"/>
      <w:lvlText w:val="(%3)"/>
      <w:numFmt w:val="lowerLetter"/>
      <w:start w:val="1"/>
    </w:lvl>
  </w:abstractNum>
  <w:abstractNum w:abstractNumId="168">
    <w:nsid w:val="1A9A9E69"/>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69">
    <w:nsid w:val="475E256A"/>
    <w:multiLevelType w:val="hybridMultilevel"/>
    <w:lvl w:ilvl="0">
      <w:lvlJc w:val="left"/>
      <w:lvlText w:val="(%1)"/>
      <w:numFmt w:val="lowerLetter"/>
      <w:start w:val="3"/>
    </w:lvl>
    <w:lvl w:ilvl="1">
      <w:lvlJc w:val="left"/>
      <w:lvlText w:val="%2."/>
      <w:numFmt w:val="decimal"/>
      <w:start w:val="1"/>
    </w:lvl>
  </w:abstractNum>
  <w:abstractNum w:abstractNumId="170">
    <w:nsid w:val="368DB37E"/>
    <w:multiLevelType w:val="hybridMultilevel"/>
    <w:lvl w:ilvl="0">
      <w:lvlJc w:val="left"/>
      <w:lvlText w:val="(%1)"/>
      <w:numFmt w:val="lowerLetter"/>
      <w:start w:val="4"/>
    </w:lvl>
  </w:abstractNum>
  <w:abstractNum w:abstractNumId="171">
    <w:nsid w:val="6A3B714C"/>
    <w:multiLevelType w:val="hybridMultilevel"/>
    <w:lvl w:ilvl="0">
      <w:lvlJc w:val="left"/>
      <w:lvlText w:val="%1"/>
      <w:numFmt w:val="decimal"/>
      <w:start w:val="1"/>
    </w:lvl>
    <w:lvl w:ilvl="1">
      <w:lvlJc w:val="left"/>
      <w:lvlText w:val="(%2)"/>
      <w:numFmt w:val="lowerLetter"/>
      <w:start w:val="5"/>
    </w:lvl>
  </w:abstractNum>
  <w:abstractNum w:abstractNumId="172">
    <w:nsid w:val="327B517E"/>
    <w:multiLevelType w:val="hybridMultilevel"/>
    <w:lvl w:ilvl="0">
      <w:lvlJc w:val="left"/>
      <w:lvlText w:val="%1."/>
      <w:numFmt w:val="decimal"/>
      <w:start w:val="3"/>
    </w:lvl>
    <w:lvl w:ilvl="1">
      <w:lvlJc w:val="left"/>
      <w:lvlText w:val="%2"/>
      <w:numFmt w:val="lowerLetter"/>
      <w:start w:val="1"/>
    </w:lvl>
  </w:abstractNum>
  <w:abstractNum w:abstractNumId="173">
    <w:nsid w:val="1F461B51"/>
    <w:multiLevelType w:val="hybridMultilevel"/>
    <w:lvl w:ilvl="0">
      <w:lvlJc w:val="left"/>
      <w:lvlText w:val="(%1)"/>
      <w:numFmt w:val="lowerLetter"/>
      <w:start w:val="1"/>
    </w:lvl>
  </w:abstractNum>
  <w:abstractNum w:abstractNumId="174">
    <w:nsid w:val="29BACF25"/>
    <w:multiLevelType w:val="hybridMultilevel"/>
    <w:lvl w:ilvl="0">
      <w:lvlJc w:val="left"/>
      <w:lvlText w:val="(%1)"/>
      <w:numFmt w:val="lowerLetter"/>
      <w:start w:val="2"/>
    </w:lvl>
  </w:abstractNum>
  <w:abstractNum w:abstractNumId="175">
    <w:nsid w:val="5D5BABB3"/>
    <w:multiLevelType w:val="hybridMultilevel"/>
    <w:lvl w:ilvl="0">
      <w:lvlJc w:val="left"/>
      <w:lvlText w:val="(%1)"/>
      <w:numFmt w:val="lowerLetter"/>
      <w:start w:val="3"/>
    </w:lvl>
  </w:abstractNum>
  <w:abstractNum w:abstractNumId="176">
    <w:nsid w:val="51BF6B48"/>
    <w:multiLevelType w:val="hybridMultilevel"/>
    <w:lvl w:ilvl="0">
      <w:lvlJc w:val="left"/>
      <w:lvlText w:val="(%1)"/>
      <w:numFmt w:val="lowerLetter"/>
      <w:start w:val="6"/>
    </w:lvl>
  </w:abstractNum>
  <w:abstractNum w:abstractNumId="177">
    <w:nsid w:val="7E0F6384"/>
    <w:multiLevelType w:val="hybridMultilevel"/>
    <w:lvl w:ilvl="0">
      <w:lvlJc w:val="left"/>
      <w:lvlText w:val="%1"/>
      <w:numFmt w:val="decimal"/>
      <w:start w:val="1"/>
    </w:lvl>
    <w:lvl w:ilvl="1">
      <w:lvlJc w:val="left"/>
      <w:lvlText w:val="(%2)"/>
      <w:numFmt w:val="lowerLetter"/>
      <w:start w:val="12"/>
    </w:lvl>
  </w:abstractNum>
  <w:abstractNum w:abstractNumId="178">
    <w:nsid w:val="2B4B8B53"/>
    <w:multiLevelType w:val="hybridMultilevel"/>
    <w:lvl w:ilvl="0">
      <w:lvlJc w:val="left"/>
      <w:lvlText w:val="%1."/>
      <w:numFmt w:val="decimal"/>
      <w:start w:val="4"/>
    </w:lvl>
    <w:lvl w:ilvl="1">
      <w:lvlJc w:val="left"/>
      <w:lvlText w:val="(%2)"/>
      <w:numFmt w:val="lowerLetter"/>
      <w:start w:val="1"/>
    </w:lvl>
  </w:abstractNum>
  <w:abstractNum w:abstractNumId="179">
    <w:nsid w:val="72E3413A"/>
    <w:multiLevelType w:val="hybridMultilevel"/>
    <w:lvl w:ilvl="0">
      <w:lvlJc w:val="left"/>
      <w:lvlText w:val="(%1)"/>
      <w:numFmt w:val="lowerLetter"/>
      <w:start w:val="2"/>
    </w:lvl>
  </w:abstractNum>
  <w:abstractNum w:abstractNumId="180">
    <w:nsid w:val="116AE494"/>
    <w:multiLevelType w:val="hybridMultilevel"/>
    <w:lvl w:ilvl="0">
      <w:lvlJc w:val="left"/>
      <w:lvlText w:val="(%1)"/>
      <w:numFmt w:val="lowerLetter"/>
      <w:start w:val="4"/>
    </w:lvl>
  </w:abstractNum>
  <w:abstractNum w:abstractNumId="181">
    <w:nsid w:val="3494B2FB"/>
    <w:multiLevelType w:val="hybridMultilevel"/>
    <w:lvl w:ilvl="0">
      <w:lvlJc w:val="left"/>
      <w:lvlText w:val="%1."/>
      <w:numFmt w:val="decimal"/>
      <w:start w:val="6"/>
    </w:lvl>
    <w:lvl w:ilvl="1">
      <w:lvlJc w:val="left"/>
      <w:lvlText w:val="(%2)"/>
      <w:numFmt w:val="lowerLetter"/>
      <w:start w:val="1"/>
    </w:lvl>
  </w:abstractNum>
  <w:abstractNum w:abstractNumId="182">
    <w:nsid w:val="B13A31"/>
    <w:multiLevelType w:val="hybridMultilevel"/>
    <w:lvl w:ilvl="0">
      <w:lvlJc w:val="left"/>
      <w:lvlText w:val="(%1)"/>
      <w:numFmt w:val="lowerLetter"/>
      <w:start w:val="6"/>
    </w:lvl>
  </w:abstractNum>
  <w:abstractNum w:abstractNumId="183">
    <w:nsid w:val="64429599"/>
    <w:multiLevelType w:val="hybridMultilevel"/>
    <w:lvl w:ilvl="0">
      <w:lvlJc w:val="left"/>
      <w:lvlText w:val="%1."/>
      <w:numFmt w:val="upperLetter"/>
      <w:start w:val="1"/>
    </w:lvl>
    <w:lvl w:ilvl="1">
      <w:lvlJc w:val="left"/>
      <w:lvlText w:val="%2."/>
      <w:numFmt w:val="decimal"/>
      <w:start w:val="1"/>
    </w:lvl>
  </w:abstractNum>
  <w:abstractNum w:abstractNumId="184">
    <w:nsid w:val="631F1690"/>
    <w:multiLevelType w:val="hybridMultilevel"/>
    <w:lvl w:ilvl="0">
      <w:lvlJc w:val="left"/>
      <w:lvlText w:val="%1"/>
      <w:numFmt w:val="upperLetter"/>
      <w:start w:val="1"/>
    </w:lvl>
    <w:lvl w:ilvl="1">
      <w:lvlJc w:val="left"/>
      <w:lvlText w:val="(%2)"/>
      <w:numFmt w:val="lowerRoman"/>
      <w:start w:val="3"/>
    </w:lvl>
  </w:abstractNum>
  <w:abstractNum w:abstractNumId="185">
    <w:nsid w:val="25973E32"/>
    <w:multiLevelType w:val="hybridMultilevel"/>
    <w:lvl w:ilvl="0">
      <w:lvlJc w:val="left"/>
      <w:lvlText w:val="%1."/>
      <w:numFmt w:val="upperLetter"/>
      <w:start w:val="2"/>
    </w:lvl>
    <w:lvl w:ilvl="1">
      <w:lvlJc w:val="left"/>
      <w:lvlText w:val="%2"/>
      <w:numFmt w:val="lowerRoman"/>
      <w:start w:val="1"/>
    </w:lvl>
  </w:abstractNum>
  <w:abstractNum w:abstractNumId="186">
    <w:nsid w:val="EAD6F57"/>
    <w:multiLevelType w:val="hybridMultilevel"/>
    <w:lvl w:ilvl="0">
      <w:lvlJc w:val="left"/>
      <w:lvlText w:val="%1."/>
      <w:numFmt w:val="upperLetter"/>
      <w:start w:val="1"/>
    </w:lvl>
    <w:lvl w:ilvl="1">
      <w:lvlJc w:val="left"/>
      <w:lvlText w:val="%2."/>
      <w:numFmt w:val="decimal"/>
      <w:start w:val="1"/>
    </w:lvl>
  </w:abstractNum>
  <w:abstractNum w:abstractNumId="187">
    <w:nsid w:val="6EC9D844"/>
    <w:multiLevelType w:val="hybridMultilevel"/>
    <w:lvl w:ilvl="0">
      <w:lvlJc w:val="left"/>
      <w:lvlText w:val="%1."/>
      <w:numFmt w:val="upperLetter"/>
      <w:start w:val="1"/>
    </w:lvl>
  </w:abstractNum>
  <w:abstractNum w:abstractNumId="188">
    <w:nsid w:val="5C49EAEE"/>
    <w:multiLevelType w:val="hybridMultilevel"/>
    <w:lvl w:ilvl="0">
      <w:lvlJc w:val="left"/>
      <w:lvlText w:val="%1."/>
      <w:numFmt w:val="upperLetter"/>
      <w:start w:val="4"/>
    </w:lvl>
  </w:abstractNum>
  <w:abstractNum w:abstractNumId="189">
    <w:nsid w:val="64AF49B"/>
    <w:multiLevelType w:val="hybridMultilevel"/>
    <w:lvl w:ilvl="0">
      <w:lvlJc w:val="left"/>
      <w:lvlText w:val="%1."/>
      <w:numFmt w:val="upperLetter"/>
      <w:start w:val="12"/>
    </w:lvl>
  </w:abstractNum>
  <w:abstractNum w:abstractNumId="190">
    <w:nsid w:val="397C46B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2026-06-29T05:14:31Z</dcterms:created>
  <dcterms:modified xsi:type="dcterms:W3CDTF">2026-06-29T05:14:31Z</dcterms:modified>
</cp:coreProperties>
</file>