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49"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96"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6"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9" w:lineRule="exact"/>
        <w:rPr>
          <w:rFonts w:ascii="MS PGothic" w:cs="MS PGothic" w:eastAsia="MS PGothic" w:hAnsi="MS PGothic"/>
          <w:sz w:val="18"/>
          <w:szCs w:val="18"/>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26"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40"/>
          <w:szCs w:val="40"/>
          <w:b w:val="1"/>
          <w:bCs w:val="1"/>
          <w:color w:val="auto"/>
        </w:rPr>
        <w:t>Salarius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24765</wp:posOffset>
            </wp:positionV>
            <wp:extent cx="5803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06" w:lineRule="exact"/>
        <w:rPr>
          <w:sz w:val="24"/>
          <w:szCs w:val="24"/>
          <w:color w:val="auto"/>
        </w:rPr>
      </w:pPr>
    </w:p>
    <w:p>
      <w:pPr>
        <w:ind w:left="60"/>
        <w:spacing w:after="0" w:line="181" w:lineRule="exact"/>
        <w:rPr>
          <w:sz w:val="20"/>
          <w:szCs w:val="20"/>
          <w:color w:val="auto"/>
        </w:rPr>
      </w:pPr>
      <w:r>
        <w:rPr>
          <w:rFonts w:ascii="MS PGothic" w:cs="MS PGothic" w:eastAsia="MS PGothic" w:hAnsi="MS PGothic"/>
          <w:sz w:val="18"/>
          <w:szCs w:val="18"/>
          <w:color w:val="auto"/>
        </w:rPr>
        <w:t>☒</w:t>
      </w:r>
    </w:p>
    <w:p>
      <w:pPr>
        <w:spacing w:after="0" w:line="1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No fee required.</w:t>
      </w:r>
    </w:p>
    <w:p>
      <w:pPr>
        <w:spacing w:after="0" w:line="7"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006" w:right="1440" w:bottom="1440" w:gutter="0" w:footer="0" w:header="0"/>
        </w:sectPr>
      </w:pPr>
    </w:p>
    <w:bookmarkStart w:id="1" w:name="page2"/>
    <w:bookmarkEnd w:id="1"/>
    <w:p>
      <w:pPr>
        <w:spacing w:after="0" w:line="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SALARIUS PHARMACEUTICALS, INC.</w:t>
      </w:r>
    </w:p>
    <w:p>
      <w:pPr>
        <w:spacing w:after="0" w:line="1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2450 Holcombe Blvd.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info@SalariusPharma.com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July 8, 2025</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374"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8"/>
          <w:szCs w:val="18"/>
          <w:color w:val="auto"/>
        </w:rPr>
        <w:t xml:space="preserve">NOTICE IS HEREBY GIVEN that Salarius Pharmaceuticals, Inc. (the “Company”) will hold a Special Meeting of Stockholders (the “Special Meeting”) at 10:00 a.m., Central Time, on Tuesday, July 8, 2025. The Special Meeting will be held solely by means of live audio webcast online. You will receive a link by which to join the meeting upon registering to attend. </w:t>
      </w:r>
      <w:r>
        <w:rPr>
          <w:rFonts w:ascii="Times New Roman" w:cs="Times New Roman" w:eastAsia="Times New Roman" w:hAnsi="Times New Roman"/>
          <w:sz w:val="18"/>
          <w:szCs w:val="18"/>
          <w:b w:val="1"/>
          <w:bCs w:val="1"/>
          <w:color w:val="auto"/>
        </w:rPr>
        <w:t>You must register to attend using the following link https://web.viewproxy.com/slrx/2025SM.</w:t>
      </w:r>
    </w:p>
    <w:p>
      <w:pPr>
        <w:spacing w:after="0" w:line="2" w:lineRule="exact"/>
        <w:rPr>
          <w:sz w:val="20"/>
          <w:szCs w:val="20"/>
          <w:color w:val="auto"/>
        </w:rPr>
      </w:pPr>
    </w:p>
    <w:p>
      <w:pPr>
        <w:jc w:val="both"/>
        <w:ind w:right="20"/>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You will not be able to attend the Special Meeting in person. </w:t>
      </w:r>
      <w:r>
        <w:rPr>
          <w:rFonts w:ascii="Times New Roman" w:cs="Times New Roman" w:eastAsia="Times New Roman" w:hAnsi="Times New Roman"/>
          <w:sz w:val="18"/>
          <w:szCs w:val="18"/>
          <w:color w:val="auto"/>
        </w:rPr>
        <w:t>The items of business for the meeting are to consider and vote on the following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accompanying Proxy Statement:</w:t>
      </w:r>
    </w:p>
    <w:p>
      <w:pPr>
        <w:spacing w:after="0" w:line="158" w:lineRule="exact"/>
        <w:rPr>
          <w:sz w:val="20"/>
          <w:szCs w:val="20"/>
          <w:color w:val="auto"/>
        </w:rPr>
      </w:pPr>
    </w:p>
    <w:p>
      <w:pPr>
        <w:jc w:val="both"/>
        <w:ind w:left="660" w:hanging="328"/>
        <w:spacing w:after="0" w:line="401"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as amended, to effect a reverse stock split of the Company’s outstanding shares of common stock at a ratio in the range of 1:4 to 1:40, as determined by the Company’s Board of Directors (the “Board”), and with such reverse stock split to be effected at such time and date, if at all, as determined by the Board in its sole discretion (the “Reverse Stock Split Proposal”).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399" w:lineRule="auto"/>
        <w:tabs>
          <w:tab w:leader="none" w:pos="6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Rules 5635(a) and 5635(d), the issuance of shares of the Company's common stock pursuant to that certain securities purchase agreement, dated December 12, 2024 (the “Purchase Agreement”), by and between the Company and C/M Capital Master Fund, LP, without giving effect to the exchange cap in the Purchase Agreement (the “Nasdaq 20% Issuance Proposal”).</w:t>
      </w:r>
    </w:p>
    <w:p>
      <w:pPr>
        <w:spacing w:after="0" w:line="209" w:lineRule="exact"/>
        <w:rPr>
          <w:rFonts w:ascii="Times New Roman" w:cs="Times New Roman" w:eastAsia="Times New Roman" w:hAnsi="Times New Roman"/>
          <w:sz w:val="18"/>
          <w:szCs w:val="18"/>
          <w:color w:val="auto"/>
        </w:rPr>
      </w:pPr>
    </w:p>
    <w:p>
      <w:pPr>
        <w:ind w:left="660" w:hanging="328"/>
        <w:spacing w:after="0" w:line="423" w:lineRule="auto"/>
        <w:tabs>
          <w:tab w:leader="none" w:pos="7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if necessary, if a quorum is present, to solicit additional proxies if there are not sufficient votes to approve the Reverse Stock Split Proposal and/or the Nasdaq 20% Issuance Proposal (the “Adjournment Proposal”).</w:t>
      </w:r>
    </w:p>
    <w:p>
      <w:pPr>
        <w:sectPr>
          <w:pgSz w:w="11900" w:h="16838" w:orient="portrait"/>
          <w:cols w:equalWidth="0" w:num="1">
            <w:col w:w="11240"/>
          </w:cols>
          <w:pgMar w:left="320" w:top="1440" w:right="339" w:bottom="1440" w:gutter="0" w:footer="0" w:header="0"/>
        </w:sectPr>
      </w:pPr>
    </w:p>
    <w:bookmarkStart w:id="2" w:name="page3"/>
    <w:bookmarkEnd w:id="2"/>
    <w:p>
      <w:pPr>
        <w:ind w:right="300"/>
        <w:spacing w:after="0" w:line="302" w:lineRule="auto"/>
        <w:rPr>
          <w:sz w:val="20"/>
          <w:szCs w:val="20"/>
          <w:color w:val="auto"/>
        </w:rPr>
      </w:pPr>
      <w:r>
        <w:rPr>
          <w:rFonts w:ascii="Times New Roman" w:cs="Times New Roman" w:eastAsia="Times New Roman" w:hAnsi="Times New Roman"/>
          <w:sz w:val="18"/>
          <w:szCs w:val="18"/>
          <w:color w:val="auto"/>
        </w:rPr>
        <w:t xml:space="preserve">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each of the Reverse Stock Split Proposal, the Nasdaq 20% Issuance Proposal and the Adjournment Proposal.</w:t>
      </w:r>
    </w:p>
    <w:p>
      <w:pPr>
        <w:spacing w:after="0" w:line="212"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Special Meeting will be held virtually. In order to attend the meeting, you must register at https://web.viewproxy.com/slrx/2025SM by 11:59 PM CT on July 5, 2025. If you hold your shares in an account at a brokerage firm, bank, dealer or other similar organization, you will need to obtain a “legal proxy” from that entity and submit it when you register. On the day of the Special Meeting, if you have properly registered, you may enter the meeting by clicking on the link provided and entering the password you received via email in your registration confirmations. You will be able to attend and participate in the Special Meeting online, vote your shares electronically, and submit your questions prior to and during the meeting. To vote at the meeting, (a) if you hold your shares through a broker, bank or other nominee, you will need the control number you receive by email after registering, and (b) if you hold your shares in an account with our transfer agent, you will need the control number that is shown on your Notice of Internet Availability of Proxy Materials or on your proxy card if you elected to receive proxy materials by mail.</w:t>
      </w:r>
    </w:p>
    <w:p>
      <w:pPr>
        <w:spacing w:after="0" w:line="19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13, 2025 are entitled to notice of, and to vote while attending the Special Meeting on the Internet. For 10 days prior to the Special Meeting, a complete list of stockholders entitled to vote at the Special Meeting will be available at the Secretary’s office at 2450 Holcombe Blvd., Suite X, Houston, TX 77021.</w:t>
      </w:r>
    </w:p>
    <w:p>
      <w:pPr>
        <w:spacing w:after="0" w:line="175"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accompanying proxy statement includes further details with respect to the proposals to be considered at the Special Meeting. This Notice and the accompanying proxy statement contain important information and should be read in their entirety. If you are in doubt as to how you should vote at the Special Meeting, you should seek advice from your legal counsel, accountant or other professional adviser prior to voting.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17145</wp:posOffset>
            </wp:positionV>
            <wp:extent cx="2108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David J. Arthur</w:t>
      </w:r>
    </w:p>
    <w:p>
      <w:pPr>
        <w:spacing w:after="0" w:line="18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 and</w:t>
      </w:r>
    </w:p>
    <w:p>
      <w:pPr>
        <w:spacing w:after="0" w:line="18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 ], 2025</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July 8, 2025:</w:t>
      </w:r>
    </w:p>
    <w:p>
      <w:pPr>
        <w:sectPr>
          <w:pgSz w:w="11900" w:h="16838" w:orient="portrait"/>
          <w:cols w:equalWidth="0" w:num="1">
            <w:col w:w="11240"/>
          </w:cols>
          <w:pgMar w:left="320" w:top="1427" w:right="339" w:bottom="1440" w:gutter="0" w:footer="0" w:header="0"/>
        </w:sectPr>
      </w:pPr>
    </w:p>
    <w:bookmarkStart w:id="3" w:name="page4"/>
    <w:bookmarkEnd w:id="3"/>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Copies of our Proxy Materials, consisting of the Notice of Special Meeting of Stockholders, the Proxy Statement and Accompanying Form of Proxy Card are available at: https://web.viewproxy.com/slrx/2025SM</w:t>
      </w:r>
    </w:p>
    <w:p>
      <w:pPr>
        <w:sectPr>
          <w:pgSz w:w="11900" w:h="16838" w:orient="portrait"/>
          <w:cols w:equalWidth="0" w:num="1">
            <w:col w:w="10740"/>
          </w:cols>
          <w:pgMar w:left="580" w:top="1427" w:right="579" w:bottom="1440" w:gutter="0" w:footer="0" w:header="0"/>
        </w:sectPr>
      </w:pPr>
    </w:p>
    <w:bookmarkStart w:id="4" w:name="page5"/>
    <w:bookmarkEnd w:id="4"/>
    <w:p>
      <w:pPr>
        <w:spacing w:after="0" w:line="5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PAGE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VOTING AND SOLICITATION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 ABOUT THESE PROXY MATERIALS AND VOTING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REVERSE STOCK SPLIT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NASDAQ 20% ISSUANCE PROPOSAL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ADJOURNMENT PROPOSAL</w:t>
      </w:r>
    </w:p>
    <w:p>
      <w:pPr>
        <w:spacing w:after="0" w:line="23" w:lineRule="exact"/>
        <w:rPr>
          <w:sz w:val="20"/>
          <w:szCs w:val="20"/>
          <w:color w:val="auto"/>
        </w:rPr>
      </w:pPr>
    </w:p>
    <w:p>
      <w:pPr>
        <w:ind w:right="3200"/>
        <w:spacing w:after="0" w:line="266" w:lineRule="auto"/>
        <w:rPr>
          <w:sz w:val="20"/>
          <w:szCs w:val="20"/>
          <w:color w:val="auto"/>
        </w:rPr>
      </w:pPr>
      <w:r>
        <w:rPr>
          <w:rFonts w:ascii="Times New Roman" w:cs="Times New Roman" w:eastAsia="Times New Roman" w:hAnsi="Times New Roman"/>
          <w:sz w:val="18"/>
          <w:szCs w:val="18"/>
          <w:color w:val="auto"/>
        </w:rPr>
        <w:t>SECURITY OWNERSHIP OF CERTAIN BENEFICIAL OWNERS AND MANAGEMENT OTHER MATTERS</w:t>
      </w:r>
    </w:p>
    <w:p>
      <w:pPr>
        <w:ind w:right="40"/>
        <w:spacing w:after="0" w:line="234" w:lineRule="auto"/>
        <w:rPr>
          <w:sz w:val="20"/>
          <w:szCs w:val="20"/>
          <w:color w:val="auto"/>
        </w:rPr>
      </w:pPr>
      <w:r>
        <w:rPr>
          <w:rFonts w:ascii="Times New Roman" w:cs="Times New Roman" w:eastAsia="Times New Roman" w:hAnsi="Times New Roman"/>
          <w:sz w:val="18"/>
          <w:szCs w:val="18"/>
          <w:color w:val="auto"/>
        </w:rPr>
        <w:t>APPENDIX A: CERTIFICATE OF AMENDMENT TO THE CERTIFICATE OF INCORPORATION, AS AMENDED, OF SALARIUS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1</w:t>
      </w:r>
    </w:p>
    <w:p>
      <w:pPr>
        <w:sectPr>
          <w:pgSz w:w="11900" w:h="16838" w:orient="portrait"/>
          <w:cols w:equalWidth="0" w:num="2">
            <w:col w:w="9940" w:space="720"/>
            <w:col w:w="280"/>
          </w:cols>
          <w:pgMar w:left="340" w:top="1440" w:right="619" w:bottom="1440" w:gutter="0" w:footer="0" w:header="0"/>
        </w:sectPr>
      </w:pPr>
    </w:p>
    <w:bookmarkStart w:id="5" w:name="page6"/>
    <w:bookmarkEnd w:id="5"/>
    <w:p>
      <w:pPr>
        <w:spacing w:after="0" w:line="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SALARIUS PHARMACEUTICALS,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This Proxy Statement is being furnished to you in connection with the solicitation by the board of directors (the “Board”) of Salarius Pharmaceuticals, Inc., a Delaware corporation (“we,” “us,” “our,” “Salarius” and the “Company”), of your proxy to vote at our Special Meeting of Stockholders and any adjournments or postponements thereof (the “Special Meeting”). Our Special Meeting will be held at 10:00 a.m., Central Time, on Tuesday, July 8, 2025 via live webcast by first registering at https://web.viewproxy.com/slrx/2025SM. You will receive a link by which to join the meeting upon registering to attend.</w:t>
      </w:r>
    </w:p>
    <w:p>
      <w:pPr>
        <w:spacing w:after="0" w:line="187"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As used in this Proxy Statement, references to “we,” “us,” “our,” “Salarius” and the “Company” refer to Salarius Pharmaceuticals, Inc. and our consolidated subsidiaries.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these materials?</w:t>
      </w:r>
    </w:p>
    <w:p>
      <w:pPr>
        <w:spacing w:after="0" w:line="351" w:lineRule="exact"/>
        <w:rPr>
          <w:sz w:val="20"/>
          <w:szCs w:val="20"/>
          <w:color w:val="auto"/>
        </w:rPr>
      </w:pPr>
    </w:p>
    <w:p>
      <w:pPr>
        <w:jc w:val="both"/>
        <w:ind w:firstLine="8"/>
        <w:spacing w:after="0" w:line="407"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soliciting your proxy to vote at our Special Meeting, including at any adjournments or postponements of the meeting. You are invited to attend the Special Meeting via the webcast to vote on the proposals described in the Proxy Statement. However, you do not need to attend the meeting to vote your shares. Instead, you may follow the instructions below to submit your proxy by telephone or through the Internet.</w:t>
      </w:r>
    </w:p>
    <w:p>
      <w:pPr>
        <w:spacing w:after="0" w:line="175"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8"/>
          <w:szCs w:val="18"/>
          <w:color w:val="auto"/>
        </w:rPr>
        <w:t>We intend to mail the Notice of Internet Availability of Proxy Materials (the “Notice”) on or about May 27, 2025 to all stockholders of record entitled to vote at the Special Meeting.</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did I receive a notice regarding the availability of proxy materials on the Internet?</w:t>
      </w:r>
    </w:p>
    <w:p>
      <w:pPr>
        <w:spacing w:after="0" w:line="351" w:lineRule="exact"/>
        <w:rPr>
          <w:sz w:val="20"/>
          <w:szCs w:val="20"/>
          <w:color w:val="auto"/>
        </w:rPr>
      </w:pPr>
    </w:p>
    <w:p>
      <w:pPr>
        <w:jc w:val="both"/>
        <w:ind w:firstLine="8"/>
        <w:spacing w:after="0" w:line="399" w:lineRule="auto"/>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because the Board is soliciting your vote at the Special Meeting, including at any adjournments or postponements of the meeting. All stockholders will have the ability to access the proxy materials on the website referred to in the Notice and may request to receive a printed set of the proxy materials. Instructions on how to access the proxy materials over the Internet or to request a printed copy may be found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I receive any other proxy materials by mail?</w:t>
      </w:r>
    </w:p>
    <w:p>
      <w:pPr>
        <w:spacing w:after="0" w:line="378" w:lineRule="exact"/>
        <w:rPr>
          <w:sz w:val="20"/>
          <w:szCs w:val="20"/>
          <w:color w:val="auto"/>
        </w:rPr>
      </w:pPr>
    </w:p>
    <w:p>
      <w:pPr>
        <w:ind w:right="200" w:firstLine="8"/>
        <w:spacing w:after="0" w:line="423" w:lineRule="auto"/>
        <w:tabs>
          <w:tab w:leader="none" w:pos="3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send you a proxy card, along with a second Notice, on or after May 27, 2025. In addition, if you wish, we will send you paper copies of our proxy materials, including a proxy card. Instructions on how to request paper copies of the proxy materials can be found in the Notice.</w:t>
      </w:r>
    </w:p>
    <w:p>
      <w:pPr>
        <w:spacing w:after="0" w:line="184"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378" w:lineRule="exact"/>
        <w:rPr>
          <w:sz w:val="20"/>
          <w:szCs w:val="20"/>
          <w:color w:val="auto"/>
        </w:rPr>
      </w:pPr>
    </w:p>
    <w:p>
      <w:pPr>
        <w:jc w:val="both"/>
        <w:ind w:firstLine="8"/>
        <w:spacing w:after="0" w:line="396" w:lineRule="auto"/>
        <w:tabs>
          <w:tab w:leader="none" w:pos="3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a virtual meeting of stockholders, which will be conducted exclusively by live audio webcast. Participants will receive an Internet link to where the audio webcast will be held once they register for the Special Meeting. You are entitled to participate in the Special Meeting only if you were a stockholder of record of the Company as of the close of business on May 13, 2025 (the “Record Date”), or if you hold a valid proxy for the Special Meeting. No physical meeting will be held.</w:t>
      </w:r>
    </w:p>
    <w:p>
      <w:pPr>
        <w:spacing w:after="0" w:line="186"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The online meeting will begin promptly at 10:00 a.m., Central Time, on July 8, 2025. You may attend the Special Meeting, vote, and submit a question during the Special Meeting by webcast by first registering at https://web.viewproxy.com/slrx/2025SM by 11:59 PM CT on July 5, 2025. If you hold your shares in an account at a brokerage firm, bank, dealer or other similar organization, you will need to obtain a “legal proxy” from that entity and submit it when you register. On the day of the Special Meeting, if you have properly registered, you may enter the meeting by clicking on the link provided and entering the password you received via email in your registration confirmations. We encourage you to access the meeting prior to the start time leaving ample time for the check in. To vote at the meeting, (a) if you hold your shares through a broker, bank or other nominee, you will need the control number you receive by email after registering, and (b) if you hold your shares in an account with our transfer agent, you will need the control number that is shown on your Notice of Internet Availability of Proxy Materials or on your proxy card if you elected to receive proxy materials by mail.</w:t>
      </w:r>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can vote at the Special Meeting?</w:t>
      </w:r>
    </w:p>
    <w:p>
      <w:pPr>
        <w:spacing w:after="0" w:line="378" w:lineRule="exact"/>
        <w:rPr>
          <w:sz w:val="20"/>
          <w:szCs w:val="20"/>
          <w:color w:val="auto"/>
        </w:rPr>
      </w:pPr>
    </w:p>
    <w:p>
      <w:pPr>
        <w:ind w:firstLine="8"/>
        <w:spacing w:after="0" w:line="423" w:lineRule="auto"/>
        <w:tabs>
          <w:tab w:leader="none" w:pos="3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at the close of business on the Record Date, May 13, 2025, will be entitled to vote at the Special Meeting. On the Record Date, there were 2,127,286 shares of common stock outstanding and entitled to vote.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322"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on the close of business on the Record Date, your shares were registered directly in your name with our transfer agent, Equiniti Trust Company, LLC, then you are a stockholder of record. As a stockholder of record, you may vote online during the Special Meeting, via the Internet, by mail, or by telephone as described below. Giving a proxy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18"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not affect your right to vote during the Special Meeting. Whether or not you plan to attend the meeting, we urge you to vote promptly to ensure your vote is counted.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335"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If on the close of business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Special Meeting. As a beneficial owner, you have the right to direct that organization regarding how to vote the shares in your account. Stockholders holding shares through a broker, bank or other nominee should follow the instructions in the materials received from that organization. You are also invited to attend the Special Meeting. If you wish to attend the Special Meeting, you must register in advance following the instructions above.</w:t>
      </w:r>
    </w:p>
    <w:p>
      <w:pPr>
        <w:spacing w:after="0" w:line="2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37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three matters scheduled for a vote:</w:t>
      </w:r>
    </w:p>
    <w:p>
      <w:pPr>
        <w:spacing w:after="0" w:line="346" w:lineRule="exact"/>
        <w:rPr>
          <w:rFonts w:ascii="Times New Roman" w:cs="Times New Roman" w:eastAsia="Times New Roman" w:hAnsi="Times New Roman"/>
          <w:sz w:val="18"/>
          <w:szCs w:val="18"/>
          <w:color w:val="auto"/>
        </w:rPr>
      </w:pPr>
    </w:p>
    <w:p>
      <w:pPr>
        <w:jc w:val="both"/>
        <w:ind w:left="660" w:hanging="328"/>
        <w:spacing w:after="0" w:line="399" w:lineRule="auto"/>
        <w:tabs>
          <w:tab w:leader="none" w:pos="6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as amended, to effect a reverse stock split of the Company’s outstanding shares of common stock at a ratio in the range of 1:4 to 1:40, as determined by the Board, and with such reverse stock split to be effected at such time and date, if at all, as determined by the Board in its sole discretion (the “Reverse Stock Split Proposal”).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407" w:lineRule="auto"/>
        <w:tabs>
          <w:tab w:leader="none" w:pos="6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Rules 5635(a) and 5635(d), the issuance of shares of the Company's common stock pursuant to that certain securities purchase agreement, dated December 12, 2024 (the “Purchase Agreement”), by and between the Company and C/M Capital Master Fund, LP, without giving effect to the exchange cap in the Purchase Agreement (the “Nasdaq 20% Issuance Proposal”).</w:t>
      </w:r>
    </w:p>
    <w:p>
      <w:pPr>
        <w:spacing w:after="0" w:line="202" w:lineRule="exact"/>
        <w:rPr>
          <w:rFonts w:ascii="Times New Roman" w:cs="Times New Roman" w:eastAsia="Times New Roman" w:hAnsi="Times New Roman"/>
          <w:sz w:val="18"/>
          <w:szCs w:val="18"/>
          <w:color w:val="auto"/>
        </w:rPr>
      </w:pPr>
    </w:p>
    <w:p>
      <w:pPr>
        <w:ind w:left="660" w:hanging="328"/>
        <w:spacing w:after="0" w:line="423" w:lineRule="auto"/>
        <w:tabs>
          <w:tab w:leader="none" w:pos="7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if necessary, if a quorum is present, to solicit additional proxies if there are not sufficient votes to approve the Reverse Stock Split Proposal and/or the Nasdaq 20% Issuance Proposal (the “Adjournment Proposal”).</w:t>
      </w:r>
    </w:p>
    <w:p>
      <w:pPr>
        <w:spacing w:after="0" w:line="15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Board’s recommendations?</w:t>
      </w:r>
    </w:p>
    <w:p>
      <w:pPr>
        <w:spacing w:after="0" w:line="24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recommends that you vote:</w:t>
      </w:r>
    </w:p>
    <w:p>
      <w:pPr>
        <w:spacing w:after="0" w:line="1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“FOR”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ind w:left="980" w:hanging="324"/>
        <w:spacing w:after="0"/>
        <w:tabs>
          <w:tab w:leader="none" w:pos="980" w:val="left"/>
        </w:tabs>
        <w:numPr>
          <w:ilvl w:val="1"/>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“FOR” the Nasdaq 20% Issuance Proposal; and</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1"/>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“FOR” the Adjournment Proposal.</w:t>
      </w:r>
    </w:p>
    <w:p>
      <w:pPr>
        <w:spacing w:after="0" w:line="301" w:lineRule="exact"/>
        <w:rPr>
          <w:rFonts w:ascii="Arial" w:cs="Arial" w:eastAsia="Arial" w:hAnsi="Arial"/>
          <w:sz w:val="22"/>
          <w:szCs w:val="22"/>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378" w:lineRule="exact"/>
        <w:rPr>
          <w:sz w:val="20"/>
          <w:szCs w:val="20"/>
          <w:color w:val="auto"/>
        </w:rPr>
      </w:pPr>
    </w:p>
    <w:p>
      <w:pPr>
        <w:ind w:firstLine="8"/>
        <w:spacing w:after="0" w:line="407" w:lineRule="auto"/>
        <w:tabs>
          <w:tab w:leader="none" w:pos="3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knows of no other matters that will be presented for consideration at the Special Meeting. If any other matters are properly brought before the meeting, it is the intention of the proxy holder to vote on those matters in accordance with their best judgment.</w:t>
      </w:r>
    </w:p>
    <w:p>
      <w:pPr>
        <w:spacing w:after="0" w:line="17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349"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If you are a stockholder of record, you may vote during the Special Meeting, vote by proxy over the telephone, vote by proxy through the Internet or vote by proxy using a proxy card that you may request or that we may elect to deliver at a later time. Whether or not you plan to attend the Special Meeting, we urge you to vote by proxy to ensure your vote is counted. You may still attend the Special Meeting and vote at that time even if you have already voted by proxy.</w:t>
      </w:r>
    </w:p>
    <w:p>
      <w:pPr>
        <w:spacing w:after="0" w:line="19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Voting via the Internet. </w:t>
      </w:r>
      <w:r>
        <w:rPr>
          <w:rFonts w:ascii="Times New Roman" w:cs="Times New Roman" w:eastAsia="Times New Roman" w:hAnsi="Times New Roman"/>
          <w:sz w:val="18"/>
          <w:szCs w:val="18"/>
          <w:color w:val="auto"/>
        </w:rPr>
        <w:t>To vote through the Internet, go to http://www.AALvote.com/SLRXSM to complete an electronic proxy card. You will be</w:t>
      </w:r>
    </w:p>
    <w:p>
      <w:pPr>
        <w:spacing w:after="0" w:line="116" w:lineRule="exact"/>
        <w:rPr>
          <w:rFonts w:ascii="Arial" w:cs="Arial" w:eastAsia="Arial" w:hAnsi="Arial"/>
          <w:sz w:val="22"/>
          <w:szCs w:val="22"/>
          <w:color w:val="auto"/>
        </w:rPr>
      </w:pPr>
    </w:p>
    <w:p>
      <w:pPr>
        <w:ind w:left="660"/>
        <w:spacing w:after="0" w:line="376" w:lineRule="auto"/>
        <w:rPr>
          <w:rFonts w:ascii="Arial" w:cs="Arial" w:eastAsia="Arial" w:hAnsi="Arial"/>
          <w:sz w:val="22"/>
          <w:szCs w:val="22"/>
          <w:color w:val="auto"/>
        </w:rPr>
      </w:pPr>
      <w:r>
        <w:rPr>
          <w:rFonts w:ascii="Times New Roman" w:cs="Times New Roman" w:eastAsia="Times New Roman" w:hAnsi="Times New Roman"/>
          <w:sz w:val="18"/>
          <w:szCs w:val="18"/>
          <w:color w:val="auto"/>
        </w:rPr>
        <w:t>asked to provide the control number from your Notice or proxy card. Your vote must be received by 11:59 p.m. Eastern Time on July 7, 2025. We encourage you to vote via the Internet.</w:t>
      </w:r>
    </w:p>
    <w:p>
      <w:pPr>
        <w:spacing w:after="0" w:line="172" w:lineRule="exact"/>
        <w:rPr>
          <w:rFonts w:ascii="Arial" w:cs="Arial" w:eastAsia="Arial" w:hAnsi="Arial"/>
          <w:sz w:val="22"/>
          <w:szCs w:val="22"/>
          <w:color w:val="auto"/>
        </w:rPr>
      </w:pPr>
    </w:p>
    <w:p>
      <w:pPr>
        <w:ind w:left="660" w:hanging="328"/>
        <w:spacing w:after="0" w:line="425" w:lineRule="auto"/>
        <w:tabs>
          <w:tab w:leader="none" w:pos="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mail. </w:t>
      </w:r>
      <w:r>
        <w:rPr>
          <w:rFonts w:ascii="Times New Roman" w:cs="Times New Roman" w:eastAsia="Times New Roman" w:hAnsi="Times New Roman"/>
          <w:sz w:val="18"/>
          <w:szCs w:val="18"/>
          <w:color w:val="auto"/>
        </w:rPr>
        <w:t>To vote using the proxy card, simply complete, sign and date the proxy card that may be delivered to you and return it promptly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envelope provided. If you return your signed proxy card to us before the Special Meeting, we will vote your shares as you direct.</w:t>
      </w:r>
    </w:p>
    <w:p>
      <w:pPr>
        <w:spacing w:after="0" w:line="21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telephone. </w:t>
      </w:r>
      <w:r>
        <w:rPr>
          <w:rFonts w:ascii="Times New Roman" w:cs="Times New Roman" w:eastAsia="Times New Roman" w:hAnsi="Times New Roman"/>
          <w:sz w:val="18"/>
          <w:szCs w:val="18"/>
          <w:color w:val="auto"/>
        </w:rPr>
        <w:t>To vote over the telephone, dial toll-free 1-866-804-9616, using a touch-tone telephone and follow the recorded instructions.</w:t>
      </w:r>
    </w:p>
    <w:p>
      <w:pPr>
        <w:spacing w:after="0" w:line="187" w:lineRule="exact"/>
        <w:rPr>
          <w:sz w:val="20"/>
          <w:szCs w:val="20"/>
          <w:color w:val="auto"/>
        </w:rPr>
      </w:pPr>
    </w:p>
    <w:p>
      <w:pPr>
        <w:ind w:left="660" w:right="120"/>
        <w:spacing w:after="0" w:line="438" w:lineRule="auto"/>
        <w:rPr>
          <w:sz w:val="20"/>
          <w:szCs w:val="20"/>
          <w:color w:val="auto"/>
        </w:rPr>
      </w:pPr>
      <w:r>
        <w:rPr>
          <w:rFonts w:ascii="Times New Roman" w:cs="Times New Roman" w:eastAsia="Times New Roman" w:hAnsi="Times New Roman"/>
          <w:sz w:val="18"/>
          <w:szCs w:val="18"/>
          <w:color w:val="auto"/>
        </w:rPr>
        <w:t>You will be asked to provide the control number from your Notice or proxy card. Your vote must be received by 11:59 p.m. Eastern Time on July 7, 2025 to be counted.</w:t>
      </w:r>
    </w:p>
    <w:p>
      <w:pPr>
        <w:spacing w:after="0" w:line="147" w:lineRule="exact"/>
        <w:rPr>
          <w:sz w:val="20"/>
          <w:szCs w:val="20"/>
          <w:color w:val="auto"/>
        </w:rPr>
      </w:pPr>
    </w:p>
    <w:p>
      <w:pPr>
        <w:jc w:val="both"/>
        <w:ind w:left="660" w:hanging="328"/>
        <w:spacing w:after="0" w:line="408" w:lineRule="auto"/>
        <w:tabs>
          <w:tab w:leader="none" w:pos="6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at the Special Meeting. </w:t>
      </w:r>
      <w:r>
        <w:rPr>
          <w:rFonts w:ascii="Times New Roman" w:cs="Times New Roman" w:eastAsia="Times New Roman" w:hAnsi="Times New Roman"/>
          <w:sz w:val="18"/>
          <w:szCs w:val="18"/>
          <w:color w:val="auto"/>
        </w:rPr>
        <w:t>To vote at the Special Meeting, you must join live online using the unique join link provided after registration.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webcast will start at 10:00 a.m., Central Time, with log-in beginning at 9:45 a.m., Central Time. You may vote and submit questions while attending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39" w:right="339" w:bottom="1440" w:gutter="0" w:footer="0" w:header="0"/>
        </w:sectPr>
      </w:pPr>
    </w:p>
    <w:bookmarkStart w:id="9" w:name="page10"/>
    <w:bookmarkEnd w:id="9"/>
    <w:p>
      <w:pPr>
        <w:spacing w:after="0" w:line="32" w:lineRule="exact"/>
        <w:rPr>
          <w:sz w:val="20"/>
          <w:szCs w:val="20"/>
          <w:color w:val="auto"/>
        </w:rPr>
      </w:pPr>
    </w:p>
    <w:p>
      <w:pPr>
        <w:ind w:left="660"/>
        <w:spacing w:after="0" w:line="423" w:lineRule="auto"/>
        <w:rPr>
          <w:sz w:val="20"/>
          <w:szCs w:val="20"/>
          <w:color w:val="auto"/>
        </w:rPr>
      </w:pPr>
      <w:r>
        <w:rPr>
          <w:rFonts w:ascii="Times New Roman" w:cs="Times New Roman" w:eastAsia="Times New Roman" w:hAnsi="Times New Roman"/>
          <w:sz w:val="18"/>
          <w:szCs w:val="18"/>
          <w:color w:val="auto"/>
        </w:rPr>
        <w:t>online. You will need the control number included on your Notice or your proxy card (if you received a printed copy of the proxy materials) to vote during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376"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a Notice containing voting instructions from that organization rather than from the Company. Simply follow the voting instructions in the Notice to ensure that your vote is counted. To vote at the Special Meeting, you must obtain a valid proxy from your broker, bank or other nominee, register to attend the Special Meeting following the instructions above and vote in accordance with the procedures described above. Follow the instructions set forth on the Notice or from your broker, bank or other nominee or contact that organization to request a voting instruction form.</w:t>
      </w:r>
    </w:p>
    <w:p>
      <w:pPr>
        <w:spacing w:after="0" w:line="183" w:lineRule="exact"/>
        <w:rPr>
          <w:sz w:val="20"/>
          <w:szCs w:val="20"/>
          <w:color w:val="auto"/>
        </w:rPr>
      </w:pPr>
    </w:p>
    <w:p>
      <w:pPr>
        <w:jc w:val="both"/>
        <w:spacing w:after="0" w:line="409" w:lineRule="auto"/>
        <w:rPr>
          <w:sz w:val="20"/>
          <w:szCs w:val="20"/>
          <w:color w:val="auto"/>
        </w:rPr>
      </w:pPr>
      <w:r>
        <w:rPr>
          <w:rFonts w:ascii="Times New Roman" w:cs="Times New Roman" w:eastAsia="Times New Roman" w:hAnsi="Times New Roman"/>
          <w:sz w:val="18"/>
          <w:szCs w:val="18"/>
          <w:b w:val="1"/>
          <w:bCs w:val="1"/>
          <w:color w:val="auto"/>
        </w:rPr>
        <w:t>We provide telephone and Internet proxy voting to allow you to vote your shares telephonically or online, with procedures designed to ensure the authenticity and correctness of your proxy vote instructions. However, please be aware that you must bear any costs associated with your telephone or Internet access, such as usage charges from Internet access providers and telephone companies.</w:t>
      </w:r>
    </w:p>
    <w:p>
      <w:pPr>
        <w:spacing w:after="0" w:line="19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3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On each matter to be voted upon, you have one vote for each share of common stock you own as of the close of business on the Record Date.</w:t>
      </w:r>
    </w:p>
    <w:p>
      <w:pPr>
        <w:spacing w:after="0" w:line="3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happens if I do not vote?</w:t>
      </w:r>
    </w:p>
    <w:p>
      <w:pPr>
        <w:spacing w:after="0" w:line="349"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349"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at the Special Meeting, your shares will not be voted.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349" w:lineRule="exact"/>
        <w:rPr>
          <w:sz w:val="20"/>
          <w:szCs w:val="20"/>
          <w:color w:val="auto"/>
        </w:rPr>
      </w:pPr>
    </w:p>
    <w:p>
      <w:pPr>
        <w:jc w:val="both"/>
        <w:spacing w:after="0" w:line="41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instruct your broker, bank, or other nominee how to vote your shares, the question of whether that organization will still be able to vote your shares depends on whether the particular proposal is deemed to be “routine” under the rules of the New York Stock Exchange (also applicable to companies listed on the Nasdaq Capital Market (“Nasdaq”)). Brokers, banks and other nominees can use their discretion to vote “uninstructed” shares only with respect to matters that are considered to be “routine.” They may not vote your shares with respect to matters that are considered “non-routine” and for these matters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2"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shares will be left unvoted.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approval of equity incentive plans, and certain corporate governance proposals, even if management-supported. The Reverse Stock Split Proposal and the Adjournment Proposal are matters we believe will be considered “routine.” Your broker or nominee may therefore vote your shares on the Reverse Stock Split Proposal and the Adjournment Proposal. The Nasdaq 20% Issuance Proposal is a matter we believe will be considered “non-routine” for which brokers and nominees do not have discretionary voting power. If your broker, bank or other nominee returns a proxy card but does not vote your shares, this results in a “broker non-vote.” Broker non-votes will be counted as present for the purpose of determining a quorum. However, as brokers, banks or other nominees do not have discretionary authority to vote on Proposal 2, broker non-votes will not be counted for the purpose of determining the number of shares entitled to vote on such proposal. Accordingly, your broker, bank or other nominee may not vote your shares on Proposal 2 without your instructions.</w:t>
      </w:r>
    </w:p>
    <w:p>
      <w:pPr>
        <w:spacing w:after="0" w:line="183" w:lineRule="exact"/>
        <w:rPr>
          <w:sz w:val="20"/>
          <w:szCs w:val="20"/>
          <w:color w:val="auto"/>
        </w:rPr>
      </w:pPr>
    </w:p>
    <w:p>
      <w:pPr>
        <w:jc w:val="both"/>
        <w:spacing w:after="0" w:line="427" w:lineRule="auto"/>
        <w:rPr>
          <w:sz w:val="20"/>
          <w:szCs w:val="20"/>
          <w:color w:val="auto"/>
        </w:rPr>
      </w:pPr>
      <w:r>
        <w:rPr>
          <w:rFonts w:ascii="Times New Roman" w:cs="Times New Roman" w:eastAsia="Times New Roman" w:hAnsi="Times New Roman"/>
          <w:sz w:val="18"/>
          <w:szCs w:val="18"/>
          <w:b w:val="1"/>
          <w:bCs w:val="1"/>
          <w:color w:val="auto"/>
        </w:rPr>
        <w:t>If you are a beneficial owner of shares held in “street name” you must provide voting instructions to your broker, bank or other nominee by the deadline provided in the materials you receive from such organization in order to ensure your shares are voted in the way you would prefer.</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if I return a proxy card or otherwise vote but do not make specific choices?</w:t>
      </w:r>
    </w:p>
    <w:p>
      <w:pPr>
        <w:spacing w:after="0" w:line="351" w:lineRule="exact"/>
        <w:rPr>
          <w:sz w:val="20"/>
          <w:szCs w:val="20"/>
          <w:color w:val="auto"/>
        </w:rPr>
      </w:pPr>
    </w:p>
    <w:p>
      <w:pPr>
        <w:jc w:val="both"/>
        <w:ind w:firstLine="8"/>
        <w:spacing w:after="0" w:line="407"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Reverse Stock Split Proposal, the Nasdaq 20% Issuance Proposal and the Adjournment Proposal. If any other matter is properly presented at the meeting, your proxy holder (one of the individuals named on your proxy card) will vote your shares using his or her best judgment.</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am I being asked to appoint as proxy holders and what does it mean?</w:t>
      </w:r>
    </w:p>
    <w:p>
      <w:pPr>
        <w:spacing w:after="0" w:line="337" w:lineRule="exact"/>
        <w:rPr>
          <w:sz w:val="20"/>
          <w:szCs w:val="20"/>
          <w:color w:val="auto"/>
        </w:rPr>
      </w:pPr>
    </w:p>
    <w:p>
      <w:pPr>
        <w:ind w:firstLine="8"/>
        <w:spacing w:after="0" w:line="36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asks you to appoint our President, Chief Executive Officer and director, David J. Arthur, and our Executive Vice President of Finance and Chief Financial Officer, Mark J. Rosenblum, as your proxy holders to vote your shares at the Special Meeting. You make this appointment when you vote.</w:t>
      </w:r>
    </w:p>
    <w:p>
      <w:pPr>
        <w:spacing w:after="0" w:line="189"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If appointed by you, the proxy holders will vote your shares as you direct on the matters described in this Proxy Statement. In the absence of your direction, they will vote your shares as recommended by our Board.</w:t>
      </w:r>
    </w:p>
    <w:p>
      <w:pPr>
        <w:spacing w:after="0" w:line="175"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Unless you otherwise indicate when you vote, you also authorize your proxy holders to vote your shares on any matters not known by our Board at the time this Proxy Statement was printed and which, under our amended and restated bylaws (the “Bylaws”), may be properly presented for action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is paying for this proxy solicitation?</w:t>
      </w:r>
    </w:p>
    <w:p>
      <w:pPr>
        <w:spacing w:after="0" w:line="351" w:lineRule="exact"/>
        <w:rPr>
          <w:sz w:val="20"/>
          <w:szCs w:val="20"/>
          <w:color w:val="auto"/>
        </w:rPr>
      </w:pPr>
    </w:p>
    <w:p>
      <w:pPr>
        <w:jc w:val="both"/>
        <w:ind w:firstLine="8"/>
        <w:spacing w:after="0" w:line="401" w:lineRule="auto"/>
        <w:tabs>
          <w:tab w:leader="none" w:pos="4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entire cost of the solicitation of proxies for the Special Meeting. This includes preparation, assembly, printing, and mailing of the Notice, this Proxy Statement and any other information we send to stockholders. We have engaged Alliance Advisors, LLC to assist in the solicitation of proxies and provide related advice and information support, for a services fee and the reimbursement of customary disbursements, which are not expected to exceed $75,000 in the aggregate. In addition, we may supplement our efforts to solicit your proxy in the following ways:</w:t>
      </w:r>
    </w:p>
    <w:p>
      <w:pPr>
        <w:spacing w:after="0" w:line="18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contact you using the telephone or electronic communication;</w:t>
      </w:r>
    </w:p>
    <w:p>
      <w:pPr>
        <w:spacing w:after="0" w:line="13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officers or other regular employees may contact you personally;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423" w:lineRule="auto"/>
        <w:tabs>
          <w:tab w:leader="none" w:pos="5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Alliance Advisors, LLC or any other third parties we may hire as agents for the sole purpose of contacting you regarding your proxy, may contact you.</w:t>
      </w:r>
    </w:p>
    <w:p>
      <w:pPr>
        <w:spacing w:after="0" w:line="15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does it mean if I receive more than one Notice?</w:t>
      </w:r>
    </w:p>
    <w:p>
      <w:pPr>
        <w:spacing w:after="0" w:line="351" w:lineRule="exact"/>
        <w:rPr>
          <w:sz w:val="20"/>
          <w:szCs w:val="20"/>
          <w:color w:val="auto"/>
        </w:rPr>
      </w:pPr>
    </w:p>
    <w:p>
      <w:pPr>
        <w:ind w:firstLine="8"/>
        <w:spacing w:after="0" w:line="423" w:lineRule="auto"/>
        <w:tabs>
          <w:tab w:leader="none" w:pos="4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of the Notices to ensure that all of your shares are voted.</w:t>
      </w:r>
    </w:p>
    <w:p>
      <w:pPr>
        <w:spacing w:after="0" w:line="157" w:lineRule="exact"/>
        <w:rPr>
          <w:sz w:val="20"/>
          <w:szCs w:val="20"/>
          <w:color w:val="auto"/>
        </w:rPr>
      </w:pPr>
    </w:p>
    <w:p>
      <w:pPr>
        <w:ind w:right="20" w:firstLine="8"/>
        <w:spacing w:after="0" w:line="427" w:lineRule="auto"/>
        <w:tabs>
          <w:tab w:leader="none" w:pos="42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8" w:lineRule="exact"/>
        <w:rPr>
          <w:sz w:val="20"/>
          <w:szCs w:val="20"/>
          <w:color w:val="auto"/>
        </w:rPr>
      </w:pPr>
    </w:p>
    <w:p>
      <w:pPr>
        <w:jc w:val="both"/>
        <w:ind w:firstLine="8"/>
        <w:spacing w:after="0" w:line="394" w:lineRule="auto"/>
        <w:tabs>
          <w:tab w:leader="none" w:pos="3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7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Salarius Pharmaceuticals, Inc.</w:t>
      </w:r>
    </w:p>
    <w:p>
      <w:pPr>
        <w:spacing w:after="0" w:line="2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2450 Holcombe Blvd</w:t>
      </w:r>
    </w:p>
    <w:p>
      <w:pPr>
        <w:spacing w:after="0" w:line="2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Suite X</w:t>
      </w:r>
    </w:p>
    <w:p>
      <w:pPr>
        <w:spacing w:after="0" w:line="2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Houston, TX 77021</w:t>
      </w:r>
    </w:p>
    <w:p>
      <w:pPr>
        <w:spacing w:after="0" w:line="2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info@salariuspharma.com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343"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or revoke my vote after submitting my proxy?</w:t>
      </w:r>
    </w:p>
    <w:p>
      <w:pPr>
        <w:spacing w:after="0" w:line="349"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349" w:lineRule="exact"/>
        <w:rPr>
          <w:sz w:val="20"/>
          <w:szCs w:val="20"/>
          <w:color w:val="auto"/>
        </w:rPr>
      </w:pPr>
    </w:p>
    <w:p>
      <w:pPr>
        <w:spacing w:after="0" w:line="423"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Special Meeting. If you are the record holder of your shares, you may revoke your proxy in any one of the following ways:</w:t>
      </w:r>
    </w:p>
    <w:p>
      <w:pPr>
        <w:spacing w:after="0" w:line="161" w:lineRule="exact"/>
        <w:rPr>
          <w:sz w:val="20"/>
          <w:szCs w:val="20"/>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properly completed proxy card with a later date.</w:t>
      </w:r>
    </w:p>
    <w:p>
      <w:pPr>
        <w:spacing w:after="0" w:line="34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333"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w:t>
      </w:r>
    </w:p>
    <w:p>
      <w:pPr>
        <w:spacing w:after="0" w:line="346" w:lineRule="exact"/>
        <w:rPr>
          <w:rFonts w:ascii="Times New Roman" w:cs="Times New Roman" w:eastAsia="Times New Roman" w:hAnsi="Times New Roman"/>
          <w:sz w:val="18"/>
          <w:szCs w:val="18"/>
          <w:color w:val="auto"/>
        </w:rPr>
      </w:pPr>
    </w:p>
    <w:p>
      <w:pPr>
        <w:ind w:left="660" w:hanging="328"/>
        <w:spacing w:after="0" w:line="423" w:lineRule="auto"/>
        <w:tabs>
          <w:tab w:leader="none" w:pos="5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via the live webcast and vote. Attendance at the Special Meeting will not cause your previously granted proxy to be revoked unless you specifically so request.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count your most current proxy card or telephone or Internet proxy.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holding shares through a broker, bank or other nominee should follow the instructions for revocation received from that organization.</w:t>
      </w:r>
    </w:p>
    <w:p>
      <w:pPr>
        <w:spacing w:after="0" w:line="343"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Abstentions, Withheld and Broker Non-Votes counted?</w:t>
      </w:r>
    </w:p>
    <w:p>
      <w:pPr>
        <w:spacing w:after="0" w:line="35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For the Reverse Stock Split Proposal, you may vote “FOR”, vote “AGAINST” or “ABSTAIN”. Abstentions and broker non-votes will have no effect.</w:t>
      </w:r>
    </w:p>
    <w:p>
      <w:pPr>
        <w:spacing w:after="0" w:line="347" w:lineRule="exact"/>
        <w:rPr>
          <w:sz w:val="20"/>
          <w:szCs w:val="20"/>
          <w:color w:val="auto"/>
        </w:rPr>
      </w:pPr>
    </w:p>
    <w:p>
      <w:pPr>
        <w:ind w:right="20" w:firstLine="648"/>
        <w:spacing w:after="0" w:line="423" w:lineRule="auto"/>
        <w:rPr>
          <w:sz w:val="20"/>
          <w:szCs w:val="20"/>
          <w:color w:val="auto"/>
        </w:rPr>
      </w:pPr>
      <w:r>
        <w:rPr>
          <w:rFonts w:ascii="Times New Roman" w:cs="Times New Roman" w:eastAsia="Times New Roman" w:hAnsi="Times New Roman"/>
          <w:sz w:val="18"/>
          <w:szCs w:val="18"/>
          <w:color w:val="auto"/>
        </w:rPr>
        <w:t>For the Nasdaq 20% Issuance Proposal, you may vote “FOR”, vote “AGAINST” or “ABSTAIN”. An abstention has the same effect as a vote “AGAINST” the Nasdaq 20% Issuance Proposal. Broker non-votes will have no effect.</w:t>
      </w:r>
    </w:p>
    <w:p>
      <w:pPr>
        <w:spacing w:after="0" w:line="161" w:lineRule="exact"/>
        <w:rPr>
          <w:sz w:val="20"/>
          <w:szCs w:val="20"/>
          <w:color w:val="auto"/>
        </w:rPr>
      </w:pPr>
    </w:p>
    <w:p>
      <w:pPr>
        <w:ind w:firstLine="648"/>
        <w:spacing w:after="0" w:line="423" w:lineRule="auto"/>
        <w:rPr>
          <w:sz w:val="20"/>
          <w:szCs w:val="20"/>
          <w:color w:val="auto"/>
        </w:rPr>
      </w:pPr>
      <w:r>
        <w:rPr>
          <w:rFonts w:ascii="Times New Roman" w:cs="Times New Roman" w:eastAsia="Times New Roman" w:hAnsi="Times New Roman"/>
          <w:sz w:val="18"/>
          <w:szCs w:val="18"/>
          <w:color w:val="auto"/>
        </w:rPr>
        <w:t>For the Adjournment Proposal, you may vote “FOR”, vote “AGAINST” or “ABSTAIN”. An abstention has the same effect as a vote “AGAINST” the Adjournment Proposal. Broker non-votes will have no effect.</w:t>
      </w:r>
    </w:p>
    <w:p>
      <w:pPr>
        <w:spacing w:after="0" w:line="157"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0" w:lineRule="exact"/>
        <w:rPr>
          <w:sz w:val="20"/>
          <w:szCs w:val="20"/>
          <w:color w:val="auto"/>
        </w:rPr>
      </w:pPr>
    </w:p>
    <w:p>
      <w:pPr>
        <w:spacing w:after="0" w:line="201" w:lineRule="exact"/>
        <w:rPr>
          <w:sz w:val="20"/>
          <w:szCs w:val="20"/>
          <w:color w:val="auto"/>
        </w:rPr>
      </w:pPr>
    </w:p>
    <w:p>
      <w:pPr>
        <w:ind w:left="660" w:hanging="328"/>
        <w:spacing w:after="0" w:line="395" w:lineRule="auto"/>
        <w:tabs>
          <w:tab w:leader="none" w:pos="665" w:val="left"/>
        </w:tabs>
        <w:numPr>
          <w:ilvl w:val="1"/>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Reverse Stock Split Proposal requires that the votes cast for the Reverse Stock Split Proposal exceed the votes cast against the Reverse Stock Split Proposal</w:t>
      </w:r>
      <w:r>
        <w:rPr>
          <w:rFonts w:ascii="Times New Roman" w:cs="Times New Roman" w:eastAsia="Times New Roman" w:hAnsi="Times New Roman"/>
          <w:sz w:val="21"/>
          <w:szCs w:val="21"/>
          <w:color w:val="auto"/>
        </w:rPr>
        <w:t>.</w:t>
      </w:r>
    </w:p>
    <w:p>
      <w:pPr>
        <w:spacing w:after="0" w:line="225" w:lineRule="exact"/>
        <w:rPr>
          <w:rFonts w:ascii="Arial" w:cs="Arial" w:eastAsia="Arial" w:hAnsi="Arial"/>
          <w:sz w:val="22"/>
          <w:szCs w:val="22"/>
          <w:color w:val="auto"/>
        </w:rPr>
      </w:pPr>
    </w:p>
    <w:p>
      <w:pPr>
        <w:ind w:left="660" w:hanging="328"/>
        <w:spacing w:after="0" w:line="385" w:lineRule="auto"/>
        <w:tabs>
          <w:tab w:leader="none" w:pos="652" w:val="left"/>
        </w:tabs>
        <w:numPr>
          <w:ilvl w:val="1"/>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Nasdaq 20% Issuance Proposal requires the affirmative vote of a majority of the voting power of the capital stock entitled to vote thereon and present in person or represented by proxy at the Special Meeting.</w:t>
      </w:r>
    </w:p>
    <w:p>
      <w:pPr>
        <w:spacing w:after="0" w:line="247" w:lineRule="exact"/>
        <w:rPr>
          <w:rFonts w:ascii="Arial" w:cs="Arial" w:eastAsia="Arial" w:hAnsi="Arial"/>
          <w:sz w:val="22"/>
          <w:szCs w:val="22"/>
          <w:color w:val="auto"/>
        </w:rPr>
      </w:pPr>
    </w:p>
    <w:p>
      <w:pPr>
        <w:ind w:left="660" w:hanging="328"/>
        <w:spacing w:after="0" w:line="385" w:lineRule="auto"/>
        <w:tabs>
          <w:tab w:leader="none" w:pos="665" w:val="left"/>
        </w:tabs>
        <w:numPr>
          <w:ilvl w:val="1"/>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Adjournment Proposal requires the affirmative vote of a majority of the voting power of the capital stock entitled to vote thereon and present in person or represented by proxy at the Special Meeting.</w:t>
      </w:r>
    </w:p>
    <w:p>
      <w:pPr>
        <w:spacing w:after="0" w:line="247" w:lineRule="exact"/>
        <w:rPr>
          <w:rFonts w:ascii="Arial" w:cs="Arial" w:eastAsia="Arial" w:hAnsi="Arial"/>
          <w:sz w:val="22"/>
          <w:szCs w:val="22"/>
          <w:color w:val="auto"/>
        </w:rPr>
      </w:pPr>
    </w:p>
    <w:p>
      <w:pPr>
        <w:ind w:left="660" w:hanging="328"/>
        <w:spacing w:after="0" w:line="369" w:lineRule="auto"/>
        <w:tabs>
          <w:tab w:leader="none" w:pos="665" w:val="left"/>
        </w:tabs>
        <w:numPr>
          <w:ilvl w:val="1"/>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All other matters submitted for stockholder approval require the affirmative vote of a majority of the voting power of the capital stock entitled to vote thereon and present in person or represented by proxy at the Special Meeting.</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w:t>
      </w:r>
    </w:p>
    <w:p>
      <w:pPr>
        <w:spacing w:after="0" w:line="351" w:lineRule="exact"/>
        <w:rPr>
          <w:sz w:val="20"/>
          <w:szCs w:val="20"/>
          <w:color w:val="auto"/>
        </w:rPr>
      </w:pPr>
    </w:p>
    <w:p>
      <w:pPr>
        <w:jc w:val="both"/>
        <w:ind w:firstLine="8"/>
        <w:spacing w:after="0" w:line="407" w:lineRule="auto"/>
        <w:tabs>
          <w:tab w:leader="none" w:pos="4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34% of the outstanding shares entitled to vote are present at the meeting or represented by proxy. As of the close of business on the Record Date, there were 2,127,286 shares outstanding and entitled to vote.</w:t>
      </w:r>
    </w:p>
    <w:p>
      <w:pPr>
        <w:spacing w:after="0" w:line="175"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by telephone, over the Internet or at the meeting. Abstentions and broker non-votes will be counted towards the quorum requirement. If there is no quorum either any officer entitled to preside at such meeting or the holders of a majority of the shares present at the meeting or represented by proxy may adjourn the meeting from time to time until a quorum shall be present or represented.</w:t>
      </w:r>
    </w:p>
    <w:p>
      <w:pPr>
        <w:spacing w:after="0" w:line="165"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351" w:lineRule="exact"/>
        <w:rPr>
          <w:sz w:val="20"/>
          <w:szCs w:val="20"/>
          <w:color w:val="auto"/>
        </w:rPr>
      </w:pPr>
    </w:p>
    <w:p>
      <w:pPr>
        <w:jc w:val="both"/>
        <w:ind w:firstLine="8"/>
        <w:spacing w:after="0" w:line="401" w:lineRule="auto"/>
        <w:tabs>
          <w:tab w:leader="none" w:pos="3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can help answer my other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2" w:lineRule="exact"/>
        <w:rPr>
          <w:sz w:val="20"/>
          <w:szCs w:val="20"/>
          <w:color w:val="auto"/>
        </w:rPr>
      </w:pPr>
    </w:p>
    <w:p>
      <w:pPr>
        <w:ind w:right="3540" w:firstLine="8"/>
        <w:spacing w:after="0" w:line="423"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more questions about the proposals or voting, you should contact Alliance Advisors, LLC who is assisting us with the proxy solicitation.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Solicitation Agent for the Special Meeting is: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Alliance Advisors, LLC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 Clove Rd, Suite 400</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Little Falls, NJ 07424</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1-844-202-6572</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333"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8"/>
          <w:szCs w:val="18"/>
          <w:b w:val="1"/>
          <w:bCs w:val="1"/>
          <w:color w:val="auto"/>
        </w:rPr>
        <w:t>Please promptly vote by telephone or the Internet, or by following the instructions provided by your broker, bank or nominee, so that your shares can be represented at the Special Meeting. This will not limit your rights to attend or vote during the Special Meeting. Please note, however, that if you wish to vote at the Special Meeting, you must register in advance,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REVERSE STOCK SPLIT PROPOSAL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 xml:space="preserve">Our Board has unanimously approved and is recommending that our stockholders approve a proposed amendment to our Amended and Restated Certificate of Incorporation, as amended, in substantially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“Certificate of Amendment”), to effect a reverse stock split of all of our outstanding shares of common stock by one of several fixed ratios between 1-for-4 and 1-for-40 (the “Reverse Stock Split”), with the final decision of whether to proceed with the Reverse Stock Split, the effective time of the Reverse Stock Split, and the exact ratio of the Reverse Stock Split to be determined by our Board, in its sole discretion and without further action by the Company’s stockholders; provided, our Board will not select a reverse split ratio that will result in us having fewer than 500,000 publicly held shares under Nasdaq continued listing standards. The following table contains approximate information relating to our common stock immediately following the reverse stock split under certain possible exchange ratios, based on share information as of May 13, 2025 (all share numbers are rounded down to the nearest whole share):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1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Giving Effect to Reverse Stock Split at Ratio of:</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 to Reverse Stock Split</w:t>
            </w:r>
          </w:p>
        </w:tc>
        <w:tc>
          <w:tcPr>
            <w:tcW w:w="1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1-for-</w:t>
            </w:r>
            <w:r>
              <w:rPr>
                <w:rFonts w:ascii="Times New Roman" w:cs="Times New Roman" w:eastAsia="Times New Roman" w:hAnsi="Times New Roman"/>
                <w:sz w:val="17"/>
                <w:szCs w:val="17"/>
                <w:b w:val="1"/>
                <w:bCs w:val="1"/>
                <w:color w:val="auto"/>
              </w:rPr>
              <w:t>4</w:t>
            </w: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1-for-</w:t>
            </w:r>
            <w:r>
              <w:rPr>
                <w:rFonts w:ascii="Times New Roman" w:cs="Times New Roman" w:eastAsia="Times New Roman" w:hAnsi="Times New Roman"/>
                <w:sz w:val="17"/>
                <w:szCs w:val="17"/>
                <w:b w:val="1"/>
                <w:bCs w:val="1"/>
                <w:color w:val="auto"/>
              </w:rPr>
              <w:t>10</w:t>
            </w: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1-for-</w:t>
            </w:r>
            <w:r>
              <w:rPr>
                <w:rFonts w:ascii="Times New Roman" w:cs="Times New Roman" w:eastAsia="Times New Roman" w:hAnsi="Times New Roman"/>
                <w:sz w:val="17"/>
                <w:szCs w:val="17"/>
                <w:b w:val="1"/>
                <w:bCs w:val="1"/>
                <w:color w:val="auto"/>
              </w:rPr>
              <w:t>20</w:t>
            </w: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1-for-</w:t>
            </w:r>
            <w:r>
              <w:rPr>
                <w:rFonts w:ascii="Times New Roman" w:cs="Times New Roman" w:eastAsia="Times New Roman" w:hAnsi="Times New Roman"/>
                <w:sz w:val="17"/>
                <w:szCs w:val="17"/>
                <w:b w:val="1"/>
                <w:bCs w:val="1"/>
                <w:color w:val="auto"/>
              </w:rPr>
              <w:t>30</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1-for-</w:t>
            </w:r>
            <w:r>
              <w:rPr>
                <w:rFonts w:ascii="Times New Roman" w:cs="Times New Roman" w:eastAsia="Times New Roman" w:hAnsi="Times New Roman"/>
                <w:sz w:val="17"/>
                <w:szCs w:val="17"/>
                <w:b w:val="1"/>
                <w:bCs w:val="1"/>
                <w:color w:val="auto"/>
              </w:rPr>
              <w:t>40</w:t>
            </w:r>
          </w:p>
        </w:tc>
        <w:tc>
          <w:tcPr>
            <w:tcW w:w="0" w:type="dxa"/>
            <w:vAlign w:val="bottom"/>
          </w:tcPr>
          <w:p>
            <w:pPr>
              <w:spacing w:after="0"/>
              <w:rPr>
                <w:sz w:val="1"/>
                <w:szCs w:val="1"/>
                <w:color w:val="auto"/>
              </w:rPr>
            </w:pPr>
          </w:p>
        </w:tc>
      </w:tr>
      <w:tr>
        <w:trPr>
          <w:trHeight w:val="62"/>
        </w:trPr>
        <w:tc>
          <w:tcPr>
            <w:tcW w:w="24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Authorized shares of Common</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Outstanding shares of Common</w:t>
            </w: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2,127,286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531,821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212,728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106,364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70,909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53,182</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Shares of common stock</w:t>
            </w: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issuable upon exercise of</w:t>
            </w: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options and</w:t>
            </w: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118,280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29,570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5,914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Shares of common stock</w:t>
            </w: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reserved for issuance under the</w:t>
            </w: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Company’s Employee Stock</w:t>
            </w: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34,876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8,719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3,487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871</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By approving the Reverse Stock Split, stockholders will be approving the Reverse Stock Split at a specific ratio within the range described above as determined by the Board, as it determines to be in the best interest of the Company’s stockholders. The Board believes that stockholder approval of the range of reverse stock split ratios (as opposed to approval of a single reverse stock split ratio) provides the Board with maximum flexibility to achieve the purpose of a reverse stock split, as discussed below, and therefore is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2"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If the stockholders approve the Reverse Stock Split, and our Board decides to implement it, the Reverse Stock Split will become effective as of a date and time to be determined by the Board that will be specified in the Certificate of Amendment (the “Effective Time”). If the Board does not decide to implement the Reverse Stock Split within twelve months from the date of the Special Meeting, the authority granted in this proposal to implement the Reverse Stock Split will terminate.</w:t>
      </w:r>
    </w:p>
    <w:p>
      <w:pPr>
        <w:spacing w:after="0" w:line="183"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The Reverse Stock Split will be realized simultaneously for all outstanding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further described below. The Reverse Stock Split will not change the par value of our common stock or the number of authorized shares of common stock. The Reverse Stock Split will also affect outstanding stock options and other stock-based awards, as described in “Principal Effects of Reverse Stock Split on Stock Plans and Equity Awards Thereunder”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97"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Our Board is seeking stockholder approval of the Reverse Stock Split with the primary intent of increasing the price of our common stock in order to meet the Nasdaq’s minimum price per share criteria for continued listing on that exchange. Our common stock currently is publicly traded and listed on the Nasdaq Capital Market under the symbol “SLRX.”</w:t>
      </w:r>
    </w:p>
    <w:p>
      <w:pPr>
        <w:spacing w:after="0" w:line="183"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On April 23, 2025, we received written notice (the “Notice”) from Nasdaq notifying us that we are not in compliance with Nasdaq listing rule 5550(a)(2) because the closing bid price of our common stock for the last 30 consecutive business days was lower than the minimum bid price requirement of $1.00 per share (the “Minimum Bid Price Requirement”). Normally, a company would be afforded a 180-calendar day period to demonstrate compliance with the Minimum Bid Price Requirement. However, pursuant to Nasdaq listing rule 5810(c)(3)(A)(iv), we were not eligible for any compliance period specified in Nasdaq listing rule 5810(c)(3)(A) because we effected a reverse stock split during the prior one-year period.</w:t>
      </w:r>
    </w:p>
    <w:p>
      <w:pPr>
        <w:spacing w:after="0" w:line="183"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In addition, as previously disclosed, on March 26, 2025, we received a letter from Nasdaq notifying us that, based on the financial statements contained in our Annual Report on Form 10-K for the year ended December 31, 2024, we no longer complied with the requirement under Nasdaq Listing Rule 5550(b)</w:t>
      </w:r>
    </w:p>
    <w:p>
      <w:pPr>
        <w:spacing w:after="0" w:line="1" w:lineRule="exact"/>
        <w:rPr>
          <w:sz w:val="20"/>
          <w:szCs w:val="20"/>
          <w:color w:val="auto"/>
        </w:rPr>
      </w:pPr>
    </w:p>
    <w:p>
      <w:pPr>
        <w:jc w:val="both"/>
        <w:ind w:firstLine="8"/>
        <w:spacing w:after="0" w:line="401" w:lineRule="auto"/>
        <w:tabs>
          <w:tab w:leader="none" w:pos="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minimum of $2.5 million in stockholders’ equity for continued listing on The Nasdaq Capital Market (the “Equity Standard”). The letter indicated that we had until May 12, 2025 to either regain compliance with the Equity Standard or submit a plan to Nasdaq to regain compliance with the Equity Standard (a “Compliance Plan”). However, pursuant to Nasdaq listing rule 5810(d)(2), our failure to comply with the Minimum Bid Price Requirement served as a separate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2" w:lineRule="exact"/>
        <w:rPr>
          <w:sz w:val="20"/>
          <w:szCs w:val="20"/>
          <w:color w:val="auto"/>
        </w:rPr>
      </w:pPr>
    </w:p>
    <w:p>
      <w:pPr>
        <w:jc w:val="both"/>
        <w:ind w:right="20"/>
        <w:spacing w:after="0" w:line="423" w:lineRule="auto"/>
        <w:rPr>
          <w:sz w:val="20"/>
          <w:szCs w:val="20"/>
          <w:color w:val="auto"/>
        </w:rPr>
      </w:pPr>
      <w:r>
        <w:rPr>
          <w:rFonts w:ascii="Times New Roman" w:cs="Times New Roman" w:eastAsia="Times New Roman" w:hAnsi="Times New Roman"/>
          <w:sz w:val="18"/>
          <w:szCs w:val="18"/>
          <w:color w:val="auto"/>
        </w:rPr>
        <w:t>additional reason for delisting and, as such, the Notice indicated that Nasdaq would not entertain a Compliance Plan, and we should also address our noncompliance with the Equity Standard before a Nasdaq Hearings Panel (the “Hearings Panel”) if we appeal Nasdaq’s determination.</w:t>
      </w:r>
    </w:p>
    <w:p>
      <w:pPr>
        <w:spacing w:after="0" w:line="16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Accordingly, unless we requested an appeal of the delisting determination by April 30, 2025, our securities would have been scheduled for delisting from The Nasdaq Capital Market and suspended at the opening of business on May 2, 2025. In addition, a Form 25-NSE would have been filed with the Securities and Exchange Commission (the “SEC”), which would have removed our securities from listing and registration on The Nasdaq Stock Market.</w:t>
      </w:r>
    </w:p>
    <w:p>
      <w:pPr>
        <w:spacing w:after="0" w:line="175"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We appealed the delisting determination before the April 30, 2025 deadline by requesting an appeal with a Hearings Panel. The request for an appeal stayed the suspension of our securities and the filing of the Form 25-NSE pending the Hearings Panel’s decision. At the appeal before the Hearings Panel, we intend to present our plans to regain compliance with the Minimum Bid Price Requirement, including the implementation of a reverse stock split (shareholder approval to be sought at the Special Meeting) and the Equity Standard in connection with the Company’s planned merger transaction with Decoy Therapeutics, Inc. (“Decoy”) (as well as future draw-downs pursuant to the Purchase Agreement with C/M Capital Master Fund L.P. following the lifting of the shareholder approval cap of 19.9% under Nasdaq Listing Rules 5635(a) and 5635(d) at the Special Meeting). However, there are no assurances a favorable decision from the Hearing Panel will be obtained or that the Company’s securities will remain listed on The Nasdaq Capital Market.</w:t>
      </w:r>
    </w:p>
    <w:p>
      <w:pPr>
        <w:spacing w:after="0" w:line="186"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If we are delisted from the Nasdaq Capital Market and we are not able to list our common stock on another exchange, our common stock could be quoted on the OTC Bulletin Board or in the “pink sheets.” As a result, we could face significant adverse consequences including, among others:</w:t>
      </w:r>
    </w:p>
    <w:p>
      <w:pPr>
        <w:spacing w:after="0" w:line="197"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 limited availability of market quotations for our securities;</w:t>
      </w:r>
    </w:p>
    <w:p>
      <w:pPr>
        <w:spacing w:after="0" w:line="386" w:lineRule="exact"/>
        <w:rPr>
          <w:rFonts w:ascii="Arial" w:cs="Arial" w:eastAsia="Arial" w:hAnsi="Arial"/>
          <w:sz w:val="22"/>
          <w:szCs w:val="22"/>
          <w:color w:val="auto"/>
        </w:rPr>
      </w:pPr>
    </w:p>
    <w:p>
      <w:pPr>
        <w:ind w:left="660" w:hanging="328"/>
        <w:spacing w:after="0" w:line="385" w:lineRule="auto"/>
        <w:tabs>
          <w:tab w:leader="none" w:pos="692"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202" w:lineRule="exact"/>
        <w:rPr>
          <w:rFonts w:ascii="Arial" w:cs="Arial" w:eastAsia="Arial" w:hAnsi="Arial"/>
          <w:sz w:val="22"/>
          <w:szCs w:val="22"/>
          <w:color w:val="auto"/>
        </w:rPr>
      </w:pPr>
    </w:p>
    <w:p>
      <w:pPr>
        <w:ind w:left="640" w:hanging="308"/>
        <w:spacing w:after="0"/>
        <w:tabs>
          <w:tab w:leader="none" w:pos="64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 limited amount of news and no analyst coverage for us;</w:t>
      </w:r>
    </w:p>
    <w:p>
      <w:pPr>
        <w:spacing w:after="0" w:line="386" w:lineRule="exact"/>
        <w:rPr>
          <w:rFonts w:ascii="Arial" w:cs="Arial" w:eastAsia="Arial" w:hAnsi="Arial"/>
          <w:sz w:val="22"/>
          <w:szCs w:val="22"/>
          <w:color w:val="auto"/>
        </w:rPr>
      </w:pPr>
    </w:p>
    <w:p>
      <w:pPr>
        <w:ind w:left="660" w:hanging="328"/>
        <w:spacing w:after="0" w:line="369" w:lineRule="auto"/>
        <w:tabs>
          <w:tab w:leader="none" w:pos="679"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we would no longer qualify for exemptions from state securities registration requirements, which may require us to comply with applicable state securities laws; and</w:t>
      </w:r>
    </w:p>
    <w:p>
      <w:pPr>
        <w:spacing w:after="0" w:line="237" w:lineRule="exact"/>
        <w:rPr>
          <w:rFonts w:ascii="Arial" w:cs="Arial" w:eastAsia="Arial" w:hAnsi="Arial"/>
          <w:sz w:val="22"/>
          <w:szCs w:val="22"/>
          <w:color w:val="auto"/>
        </w:rPr>
      </w:pPr>
    </w:p>
    <w:p>
      <w:pPr>
        <w:ind w:left="660" w:hanging="328"/>
        <w:spacing w:after="0" w:line="385" w:lineRule="auto"/>
        <w:tabs>
          <w:tab w:leader="none" w:pos="746"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 decreased ability to issue additional securities (including pursuant to short-form registration statements on Form S-3) or obtain additional financing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2"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Our Board believes that the proposed reverse stock split is a potentially effective means for us to regain and maintain compliance with the Nasdaq listing rules and to avoid, or at least mitigate, the likely adverse consequences of our common stock being delisted from the Nasdaq Capital Market by producing the immediate effect of increasing the bid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Reverse Stock Split Ratio</w:t>
      </w:r>
    </w:p>
    <w:p>
      <w:pPr>
        <w:spacing w:after="0" w:line="283"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Our Board believes that stockholder adoption of several fixed reverse stock split ratios, as opposed to adoption of a single reverse stock split ratio, provides maximum flexibility to achieve the purposes of the Reverse Stock Split and, therefore, is in the best interests of the Company and its stockholders. In determining which of the approved fixed ratios to implement following the receipt of stockholder approval, the Board (or any authorized committee of the Board) may consider, among other things, factors such as:</w:t>
      </w:r>
    </w:p>
    <w:p>
      <w:pPr>
        <w:spacing w:after="0" w:line="218"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number of shares of our common stock outstanding;</w:t>
      </w:r>
    </w:p>
    <w:p>
      <w:pPr>
        <w:spacing w:after="0" w:line="386" w:lineRule="exact"/>
        <w:rPr>
          <w:rFonts w:ascii="Arial" w:cs="Arial" w:eastAsia="Arial" w:hAnsi="Arial"/>
          <w:sz w:val="22"/>
          <w:szCs w:val="22"/>
          <w:color w:val="auto"/>
        </w:rPr>
      </w:pPr>
    </w:p>
    <w:p>
      <w:pPr>
        <w:ind w:left="660" w:hanging="328"/>
        <w:spacing w:after="0" w:line="369" w:lineRule="auto"/>
        <w:tabs>
          <w:tab w:leader="none" w:pos="692"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w:t>
      </w:r>
    </w:p>
    <w:p>
      <w:pPr>
        <w:spacing w:after="0" w:line="237" w:lineRule="exact"/>
        <w:rPr>
          <w:rFonts w:ascii="Arial" w:cs="Arial" w:eastAsia="Arial" w:hAnsi="Arial"/>
          <w:sz w:val="22"/>
          <w:szCs w:val="22"/>
          <w:color w:val="auto"/>
        </w:rPr>
      </w:pPr>
    </w:p>
    <w:p>
      <w:pPr>
        <w:ind w:left="660" w:hanging="328"/>
        <w:spacing w:after="0" w:line="385" w:lineRule="auto"/>
        <w:tabs>
          <w:tab w:leader="none" w:pos="652"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listing requirements of the Nasdaq Stock Market (and the initial listing requirements of the Nasdaq Stock Market in connection with the planned merger with Decoy); and</w:t>
      </w:r>
    </w:p>
    <w:p>
      <w:pPr>
        <w:spacing w:after="0" w:line="202" w:lineRule="exact"/>
        <w:rPr>
          <w:rFonts w:ascii="Arial" w:cs="Arial" w:eastAsia="Arial" w:hAnsi="Arial"/>
          <w:sz w:val="22"/>
          <w:szCs w:val="22"/>
          <w:color w:val="auto"/>
        </w:rPr>
      </w:pPr>
    </w:p>
    <w:p>
      <w:pPr>
        <w:ind w:left="640" w:hanging="308"/>
        <w:spacing w:after="0"/>
        <w:tabs>
          <w:tab w:leader="none" w:pos="64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prevailing general market and economic conditions.</w:t>
      </w:r>
    </w:p>
    <w:p>
      <w:pPr>
        <w:spacing w:after="0" w:line="333"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The Board reserves the right to elect to abandon the Reverse Stock Split (including all of the fixed reverse stock split ratios), notwithstanding stockholder approval thereof, if our Board determines, in its sole discretion, that the Reverse Stock Split is no longer in the best interests of the Company and its stockholders. In making such determination, our Board will take into account certain factors including the expected trading prices for our common stock, actual or forecasted results of operations and the likely effect of such results on the market price of our common stock, as well as the factors described in the above paragraph.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83"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By approving this proposal, stockholders will approve the Reverse Stock Split which would combine a specific number of shares of common stock into one share. The Certificate of Amendment to be filed with the Secretary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32"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State of the State of Delaware would include only that number determined by the Board to be in the best interests of the Company and its stockholders. In accordance with these resolutions, the Board will not implement any amendment providing for a different reverse stock split ratio than those specified in this proposal.</w:t>
      </w:r>
    </w:p>
    <w:p>
      <w:pPr>
        <w:spacing w:after="0" w:line="175"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receiving a cash payment in lieu of owning a fractional share, as further described in the section titled “Fractional Shares” below. Common stock issued pursuant to the Reverse Stock Split will remain fully paid and non-assessable. The Reverse Stock Split will not affect the Company’s continuing obligations under the periodic reporting requirements of the Exchange Act. Following the Reverse Stock Split, our common stock will continue to be listed on the Nasdaq Capital Market under the ticker symbol “SLRX,” although it would receive a new CUSIP number.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w:t>
      </w:r>
    </w:p>
    <w:p>
      <w:pPr>
        <w:spacing w:after="0" w:line="297"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If the Reverse Stock Split is approved by the Company’s stockholders, and if at such time the Board still believes that a reverse stock split is in the best interests of the Company and its stockholders, the Board will determine the ratio of the Reverse Stock Split to be implemented. The Reverse Stock Split will become effective as of the Effective Time. The Board will determine the exact timing of the filing of the Certificate of Amendment based on its evaluation as to when the filing would be the most advantageous to the Company and its stockholders. If the Board does not decide to implement the Reverse Stock Split within twelve months from the date of the Special Meeting, the authority granted in this proposal to implement the Reverse Stock Split will terminate.</w:t>
      </w:r>
    </w:p>
    <w:p>
      <w:pPr>
        <w:spacing w:after="0" w:line="189"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Except as described below under the sections titled “Fractional Shares” and “Principal Effects of Reverse Stock Split on Stock Plans and Equity Awards Thereunder,” at the Effective Time, each whole number of issued and outstanding pre-Reverse Stock Split shares that the Board has determined will be combined into one post-Reverse Stock Split share (based on the Board’s final selection of the fixed ratio to be applied)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Stock Split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83"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of record at the Effective Time of the Reverse Stock Split who otherwise would be entitled to receive fractional shares because they hold a number of pre-Reverse Stock Split shares not evenly divisible by the number of pre-Reverse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32"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shares for which each post-Reverse Stock Split share is to be exchanged, will, in lieu of a fractional share, be entitled, upon surrender to the exchange agent of certificate(s) representing such pre-Reverse Stock Split shares (except as described below under “—Book-Entry Shares”), to a cash payment, without interest, in lieu thereof, as set forth in the Certificate of Amendment.</w:t>
      </w:r>
    </w:p>
    <w:p>
      <w:pPr>
        <w:spacing w:after="0" w:line="175"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sums due for fractional interests that are not timely claimed after the Effective Time may be required to be paid to the designated agent for each such jurisdiction. Thereafter, stockholders otherwise entitled to receive such funds may have to seek to obtain them directly from the state to which they were paid. Stockholders will not be entitled to receive interest for the period of time between the Effective Time and the date payment is received.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351"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28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pre-Reverse Stock Split shares submitted for transfer, whether pursuant to a sale or other disposition, or otherwise, will automatically be exchanged for post-Reverse Stock Split shares. STOCKHOLDERS SHOULD NOT DESTROY ANY STOCK CERTIFICATE(S) AND SHOULD NOT SUBMIT ANY CERTIFICATE(S) UNTIL REQUESTED TO DO SO.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and Dilutive Effects</w:t>
      </w:r>
    </w:p>
    <w:p>
      <w:pPr>
        <w:spacing w:after="0" w:line="283"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The number of authorized shares of our common stock will not be diluted as a result of the reverse stock split. The common stock and preferred stock that is authorized but unissued provide the Board with flexibility to effect,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32"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other transactions, public or private financings, acquisitions, stock dividends, stock splits and the granting of equity incentive awards. However, these authorized but unissued shares may also be used by the Board, consistent with and subject to its fiduciary duties, to deter future attempts to gain control of us or make such actions more expensive and less desirable. The Certificate of Amendment would continue to give our Board authority to issue additional shares from time to time without delay or further action by the stockholders except as may be required by applicable law or regulations. The Certificate of Amendment is not being recommended in response to any specific effort of which we are aware to obtain control of us, nor does our Board have any present intent to use the authorized but unissued common stock or preferred stock to impede a takeover attempt.</w:t>
      </w:r>
    </w:p>
    <w:p>
      <w:pPr>
        <w:spacing w:after="0" w:line="18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Except for the Company’s obligation to issue common stock upon the exercise of outstanding options and warrants, and the Company’s obligation to issue shares of preferred stock convertible in stock of common stock purchase to the merger agreement with Decoy, we have no specific plan, commitment, arrangement, understanding or agreement, either oral or written, regarding the issuance of common stock subsequent to the reverse stock split at this time, and we have not allocated any specific portion of the authorized number of shares to any particular purpose.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97"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We cannot predict whether the Reverse Stock Split will increase the market price per share of our common stock proportionately with the ratio of the combination. The market price of our common stock may also be based on our performance and other factors, some of which are unrelated to the number of shares outstanding. Further, there are a number of risks associated with the Reverse Stock Split, including:</w:t>
      </w:r>
    </w:p>
    <w:p>
      <w:pPr>
        <w:spacing w:after="0" w:line="237" w:lineRule="exact"/>
        <w:rPr>
          <w:sz w:val="20"/>
          <w:szCs w:val="20"/>
          <w:color w:val="auto"/>
        </w:rPr>
      </w:pPr>
    </w:p>
    <w:p>
      <w:pPr>
        <w:ind w:left="660" w:hanging="328"/>
        <w:spacing w:after="0" w:line="385" w:lineRule="auto"/>
        <w:tabs>
          <w:tab w:leader="none" w:pos="652"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The liquidity of our common stock may be harmed by the Reverse Stock Split given the reduced number of shares of common stock that would be outstanding after the Reverse Stock Split, particularly if the stock price does not proportionately increase as a result of the Reverse Stock Split.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jc w:val="both"/>
        <w:ind w:left="660" w:hanging="328"/>
        <w:spacing w:after="0" w:line="381" w:lineRule="auto"/>
        <w:tabs>
          <w:tab w:leader="none" w:pos="719"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The Reverse Stock Split could be viewed negatively by the market and other factors, such as those described above, may adversely affect the market price of the shares of our common stock. Consequently, the market price per post-Reverse Stock Split share may not increase in proportion to the reduction of the number of shares of our common stock outstanding before the implementation of the Reverse Stock Split. Accordingly, the total market capitalization of our shares of common stock following the Reverse Stock Split could be lower than the total market capitalization before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ind w:left="660" w:hanging="328"/>
        <w:spacing w:after="0" w:line="379" w:lineRule="auto"/>
        <w:tabs>
          <w:tab w:leader="none" w:pos="679"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A reverse stock split would increase our number of authorized but unissued shares of stock. We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200" w:lineRule="exact"/>
        <w:rPr>
          <w:rFonts w:ascii="Arial" w:cs="Arial" w:eastAsia="Arial" w:hAnsi="Arial"/>
          <w:sz w:val="22"/>
          <w:szCs w:val="22"/>
          <w:color w:val="auto"/>
        </w:rPr>
      </w:pPr>
    </w:p>
    <w:p>
      <w:pPr>
        <w:spacing w:after="0" w:line="296" w:lineRule="exact"/>
        <w:rPr>
          <w:rFonts w:ascii="Arial" w:cs="Arial" w:eastAsia="Arial" w:hAnsi="Arial"/>
          <w:sz w:val="22"/>
          <w:szCs w:val="22"/>
          <w:color w:val="auto"/>
        </w:rPr>
      </w:pPr>
    </w:p>
    <w:p>
      <w:pPr>
        <w:jc w:val="both"/>
        <w:ind w:left="660" w:hanging="328"/>
        <w:spacing w:after="0" w:line="373" w:lineRule="auto"/>
        <w:tabs>
          <w:tab w:leader="none" w:pos="692"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The Reverse Stock Split may result in some stockholders owning “odd lots” of less than 100 shares of our common stock on a post-split basis. These odd lots may be more difficult to sell, or require greater transaction costs per share to sell, than shares in “round lots” of even multiples of 100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Reverse Stock Split on Stock Plans and Equity Awards Thereunder</w:t>
      </w:r>
    </w:p>
    <w:p>
      <w:pPr>
        <w:spacing w:after="0" w:line="297"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18"/>
          <w:szCs w:val="18"/>
          <w:color w:val="auto"/>
        </w:rPr>
        <w:t>Pursuant to the terms of the Company’s 2015 Equity Incentive Plan and Employee Stock Purchase Plan and the agreements governing equity awards thereunder, the Board or a committee thereof, as applicable, will adjust the number of shares of common stock available for future grant (if any), the number of shares of common stock underlying outstanding awards, the exercise price per share of outstanding stock options, and other terms of outstanding awards issued pursuant to the stock plans to equitably reflect the effects of the Reverse Stock Split. With respect to any such outstanding equity awards, the contemplated equitable adjustments will result in approximately the same aggregate exercise price being required to be paid under such stock options, and approximately the same value of shares of common stock being delivered upon exercise, vesting or settlement of such awards immediately following the Reverse Stock Split as was the case immediately preceding the Reverse Stock Split. Any fractional shares that would otherwise result from the Reverse Stock Split adjustments described above with respect to outstanding equity awards will be eliminated through rounding or as otherwise determined by the Board or a committee thereof in accordance with the terms of such Stock Plans and award agreements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351"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that the Board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32"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outstanding. All historic share and per share amounts in our financial statements and related footnotes will be adjusted accordingly for the Reverse Stock Split.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Par Value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our Certificate of Incorporation will not affect the par value of our common stock, which will remain at $0.0001 per share.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51"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operation, development and growth of our business. While the timing, declaration and payment of any future dividends to holders of our common stock fall within the discretion of our Board and will depend on our operating results, earnings, financial condition, the capital requirements of our business and other factors, our Board expects that the amount of future dividends, if any, would be adjusted accordingly to reflect the Reverse Stock Split.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351"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Reverse Stock Split, our Board does not intend for this transaction to be the first step in a “going private transaction” within the meaning of Rule 13e-3 of the Exchange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Appraisal Rights</w:t>
      </w:r>
    </w:p>
    <w:p>
      <w:pPr>
        <w:spacing w:after="0" w:line="351" w:lineRule="exact"/>
        <w:rPr>
          <w:sz w:val="20"/>
          <w:szCs w:val="20"/>
          <w:color w:val="auto"/>
        </w:rPr>
      </w:pPr>
    </w:p>
    <w:p>
      <w:pPr>
        <w:jc w:val="both"/>
        <w:ind w:right="20"/>
        <w:spacing w:after="0" w:line="423" w:lineRule="auto"/>
        <w:rPr>
          <w:sz w:val="20"/>
          <w:szCs w:val="20"/>
          <w:color w:val="auto"/>
        </w:rPr>
      </w:pPr>
      <w:r>
        <w:rPr>
          <w:rFonts w:ascii="Times New Roman" w:cs="Times New Roman" w:eastAsia="Times New Roman" w:hAnsi="Times New Roman"/>
          <w:sz w:val="18"/>
          <w:szCs w:val="18"/>
          <w:color w:val="auto"/>
        </w:rPr>
        <w:t>Under the Delaware General Corporation Law, our stockholders do not have a right to dissent and are not entitled to appraisal rights with respect to the proposed Certificate of Amendment to effect the reverse stock split, and we will not independently provide our stockholders with any such rights.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351"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The following is a summary of important tax considerations of the reverse stock split. It addresses only stockholders who hold our common stock as capital assets. It does not purport to be complete and does not address stockholders subject to special rules, such as financial institutions, tax-exempt organizations, insurance companies, dealers in securities, foreign stockholders, stockholders who hold their pre-reverse stock split shares as part of a straddle, hedge or conversion transaction, and stockholders who acquired their pre-reverse stock split shares pursuant to the exercise of employee stock options or otherwise as compensation. This summary is based upon current law, which may change, possibly even retroactively. It does not address tax considerations under state, local, foreign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2"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laws. The tax treatment of a stockholder may vary depending upon the particular facts and circumstances of such stockholder. Each stockholder is urged to consult with such stockholder’s own tax advisor with respect to the tax consequences of the reverse stock split.</w:t>
      </w:r>
    </w:p>
    <w:p>
      <w:pPr>
        <w:spacing w:after="0" w:line="161"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The reverse stock split is intended to constitute a reorganization within the meaning of Section 368 of the Internal Revenue Code of 1986, as amended. Assuming the reverse stock split qualifies as reorganization, a stockholder generally will not recognize gain or loss on the reverse stock split, except to the extent of cash, if any, received in lieu of a fractional share interest. The aggregate tax basis of the post-reverse stock split shares received will be equal to the aggregate tax basis of the pre-reverse stock split shares exchanged therefor (excluding any portion of the holder’s basis allocated to fractional shares), and the holding period of the post-reverse stock split shares received will include the holding period of the pre-reverse stock split shares exchanged.</w:t>
      </w:r>
    </w:p>
    <w:p>
      <w:pPr>
        <w:spacing w:after="0" w:line="169"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A holder of the pre-reverse stock split shares who receives cash will generally be treated as having exchanged a fractional share interest for cash in a redemption by us. The amount of any gain or loss will be equal to the difference between the portion of the tax basis of the pre-reverse stock split shares allocated to the fractional share interest and the cash received and generally should be capital gain or loss and generally would be a long-term gain or loss to the extent that the holder’s holding period exceeds 12 months.</w:t>
      </w:r>
    </w:p>
    <w:p>
      <w:pPr>
        <w:spacing w:after="0" w:line="183"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The foregoing views are not binding on the Internal Revenue Service or the courts. Accordingly, each stockholder should consult with their own tax advisor with respect to all of the potential tax consequences to them of the reverse stock split.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351"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common stock and equity awards granted to them pursuant to the stock plans.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351"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We reserve the right to not file the Certificate of Amendment and to abandon any Reverse Stock Split (including all of the fixed reverse stock split ratios) without further action by our stockholders at any time before the effectiveness of the filing with the Secretary of the State of Delaware of the Certificate of Amendment, even if the authority to effect these amendments is approved by our stockholders at the Special Meeting. By voting in favor of the Reverse Stock Split (including each of the fixed reverse stock split ratios), you are expressly also authorizing the Board to delay, not proceed with, and abandon, the Reverse Stock Split (including all of the fixed reverse stock split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Certificate of Amendment if it should so decide, in its sole discretion, that such actions are in the best interests of our stockholders.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51"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The Reverse Stock Split Proposal requires that the votes cast for the Reverse Stock Split Proposal exceed the votes cast against the Reverse Stock Split Proposal. The Reverse Stock Split Proposal is a matter we believe will be considered “routine.” Therefore,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 Abstentions will have no effect on the outcome of this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NASDAQ 20% ISSUANCE PROPOSAL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5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On December 12, 2024, the Company entered into a securities purchase agreement (the “Purchase Agreement”) with C/M Capital Master Fund, LP (the “Purchaser”), establishing an equity line of credit pursuant to which the Company may sell shares of common stock to the Purchaser from time to time in its discretion.</w:t>
      </w:r>
    </w:p>
    <w:p>
      <w:pPr>
        <w:spacing w:after="0" w:line="175"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The Company’s common stock is listed on the Nasdaq Capital Market, and, as such, is subject to the applicable rules of the Nasdaq, including Nasdaq Listing Rules 5635(a) and 5635(d).</w:t>
      </w:r>
    </w:p>
    <w:p>
      <w:pPr>
        <w:spacing w:after="0" w:line="148"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18"/>
          <w:szCs w:val="18"/>
          <w:color w:val="auto"/>
        </w:rPr>
        <w:t>Nasdaq Listing Rule 5635(a)(1) requires a company listed on Nasdaq to obtain stockholder approval prior to the issuance of common stock, among other things, in connection with the acquisition of the stock or assets of another company, if the number of shares of common stock to be issued is equal to or in excess of 20% of the number of shares of common stock then outstanding. For Nasdaq purposes, the issuance of shares of common stock pursuant to the Purchase Agreement may be aggregated with the issuance of securities to be issued pursuant to that certain Agreement and Plan of Merger, dated January 10, 2025 (the “Merger Agreement”), among the Company, Decoy Therapeutics MergerSub I, Inc., a Delaware corporation and a wholly owned subsidiary of the Company, Decoy Therapeutics MergerSub II, LLC, a Delaware limited liability company and wholly owned subsidiary of the Company, and Decoy Therapeutics, Inc. (“Decoy”). Following the execution of the Merger Agreement, the Company issued 286,772 shares of Common Stock pursuant to the Purchase Agreement, representing approximately 19.99% of the Company’s outstanding shares of common stock based on the Company’s total shares outstanding as of immediately prior to the Company’s execution of the Purchase Agreement on December 12, 2024. The potential issuance of additional shares of common stock pursuant to the Purchase Agreement will exceed the 20% threshold under the applicable Nasdaq listing rules. Accordingly, in order to ensure compliance with Nasdaq Listing Rule 5635(a)(1), the Company must obtain the approval of the Company’s stockholders for the issuance of these shares pursuant to the Purchase Agreement in the event that the issuance of such shares of common stock is aggregated with the issuance of any shares or common stock or convertible securities pursuant to the Merger Agreement.</w:t>
      </w:r>
    </w:p>
    <w:p>
      <w:pPr>
        <w:spacing w:after="0" w:line="184"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Nasdaq Listing Rule 5635(d) requires stockholder approval prior to certain issuances with respect to common stock (or securities convertible into or exercisable for common stock), other than in a public offering, of greater than or equal to 20% of the outstanding common stock or voting power of the issuer prior to the offering if the price is below the “Minimum Price” (as determined in accordance with Nasdaq rules). Under Rule 5635(d), the “Minimum Price” means a price that is the lower of: (i) the closing price of our common stock immediately preceding the signing of the binding agreement; or (ii) the average closing price of our common stock for the five trading days immediately preceding the signing of the binding agreement. In order for the purchase price in the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32"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to comply with the Minimum Price requirement under Nasdaq Listing Rule 5635(d), we may not issue shares in excess of 20% of the outstanding common stock prior to the date of the Purchase Agreement at an average price less than $1.528 until stockholder approval allowing the issuance of the underlying shares of common stock is obtained.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Transaction</w:t>
      </w:r>
    </w:p>
    <w:p>
      <w:pPr>
        <w:spacing w:after="0" w:line="351"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Pursuant to the Purchase Agreement, the Company, subject to the restrictions and satisfaction of the conditions in the Purchase Agreement, has the right, but not the obligation, to sell to the Purchaser, and the Purchaser is obligated to purchase, up to the lesser of (i) $10 million of newly issued shares (the “Purchase Shares”) of the Company’s common stock, $0.0001 par value per share (the “Common Stock”) and (ii) the Exchange Cap (as defined below). As consideration for the Purchaser’s execution and delivery of the Purchase Agreement, the Company agreed to issue to the Purchaser, simultaneously with the delivery of any and all Purchase Shares purchased under the Purchase Agreement, a number of shares of Common Stock equal to one percent (1%) of the number of Purchase Shares actually sold in each sale under the Purchase Agreement (the “Commitment Shares” and, together with the Purchase Shares, the “Securities”).</w:t>
      </w:r>
    </w:p>
    <w:p>
      <w:pPr>
        <w:spacing w:after="0" w:line="186"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Concurrent with the execution of the Purchase Agreement, the Company entered into a registration rights agreement with the Purchaser (the “Registration Rights Agreement”). Pursuant to the Registration Rights Agreement, the Company agreed to file a registration statement on Form S-1 with the SEC covering the resale of the Securities, on or before the 30th calendar day following the date of the Registration Rights Agreement and to use its commercially reasonable efforts to cause such registration statement to be declared effective by the SEC at the earliest practicable date, subject to limited exceptions described therein. The registration rights granted under the Registration Rights Agreement are subject to certain conditions and limitations and are subject to customary indemnification and contribution provisions.</w:t>
      </w:r>
    </w:p>
    <w:p>
      <w:pPr>
        <w:spacing w:after="0" w:line="187"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The Company did not have a right to commence any sales of Common Stock to the Purchaser under the Purchase Agreement until the time when all of the conditions to the Company’s right to commence sales of Common Stock to the Purchaser set forth in the Purchase Agreement had been satisfied, including that a registration statement covering the resale of the Securities is declared effective by the Securities and Exchange Commission (the “SEC”) and the final form of prospectus contained therein is filed with the SEC (the “Commencement Date”). The Company filed a Registration Statement on Form S-3 covering the resale of up to 6,733,334 shares of Common Stock on December 16, 2024, which was declared effective by the SEC on December 27, 2024.</w:t>
      </w:r>
    </w:p>
    <w:p>
      <w:pPr>
        <w:spacing w:after="0" w:line="187"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Over the 36-month period from and after the Commencement Date (unless the Purchase Agreement is terminated earlier in accordance with its terms), the Purchaser has no right to require the Company to sell any shares of Common Stock to the Purchaser, but the Purchaser is obligated to make purchases as the Company directs,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32"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to certain conditions. There are no upper limits on the price per share that the Purchaser must pay for shares of Common Stock. Actual sales of shares of Common Stock to the Purchaser will depend on a variety of factors to be determined by the Company from time to time, including, among others, market conditions, the trading price of the Company’s Common Stock and determinations by the Company as to the appropriate sources of funding for the Company and its operations.</w:t>
      </w:r>
    </w:p>
    <w:p>
      <w:pPr>
        <w:spacing w:after="0" w:line="18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On any business day on which the previous business day’s closing sale price of the Common Stock was equal to or greater than $1.00 (unless such limit is waived by the Purchaser) (the “Purchase Date”), the Company may direct the Purchaser to purchase a specified number of shares of Common Stock (a “Fixed Purchase”) not to exceed $200,000, at a purchase price equal to the lesser of 95% of (i) the daily volume weighted average price (the “VWAP”) of the Common Stock for the five trading days immediately preceding the applicable Purchase Date for such Fixed Purchase and (ii) the closing price of a share of Common Stock on the trading day immediately prior to such applicable Purchase Date.</w:t>
      </w:r>
    </w:p>
    <w:p>
      <w:pPr>
        <w:spacing w:after="0" w:line="18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In addition, on any business day on which the previous business day’s closing sale price of the Common Stock is equal to or greater than $1.00 (unless such limit is waived by the Purchaser) and such business day is also the Purchase Date for a Fixed Purchase of an amount of shares of Common Stock not less than the applicable Fixed Purchase Maximum Amount (as defined in the Purchase Agreement) (the “VWAP Purchase Date”), the Company may also direct the Purchaser to purchase an additional number of shares of Common Stock in an amount up to the VWAP Purchase Maximum Amount (as defined in the Purchase Agreement) (a “VWAP Purchase”) at a purchase price equal to the lesser of 95% of (i) the closing price of a share of Common Stock on the trading day immediately prior to such applicable Purchase Date and (ii) the VWAP during the period on the applicable VWAP Purchase Date beginning at the opening of trading and ending at the VWAP Purchase Termination Time (as defined in the Purchase Agreement).</w:t>
      </w:r>
    </w:p>
    <w:p>
      <w:pPr>
        <w:spacing w:after="0" w:line="188"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At any time from and after the Commencement Date, on any business day that is also the VWAP Purchase Date for a VWAP Purchase, the Company may also direct the Purchaser to purchase, on such same business day (the “Additional VWAP Purchase Date”), an additional number of shares of Common Stock in an amount up to the Additional VWAP Purchase Maximum Amount (as defined in the Purchase Agreement) (an “Additional VWAP Purchase”) at a purchase price equal to the lesser of 95% of (i) the closing price of a share of Common Stock on the trading day immediately prior to such applicable Purchase Date and (ii) the VWAP during the Additional VWAP Purchase Period (as defined in the Purchase Agreement) on the applicable Additional VWAP Purchase Date.</w:t>
      </w:r>
    </w:p>
    <w:p>
      <w:pPr>
        <w:spacing w:after="0" w:line="189"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If the Company makes certain issuances of Company securities within a specified period of time after a Purchase Date and such securities are issued at prices (the “New Issuance Price”) less than the prices to be paid by the Purchaser in such Fixed Purchase, VWAP Purchase or Additional VWAP Purchase, the purchase price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32"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applicable Fixed Purchase, VWAP Purchase and Additional VWAP Purchase would be reduced to the New Issuance Price, subject to the terms and conditions set forth in the Purchase Agreement.</w:t>
      </w:r>
    </w:p>
    <w:p>
      <w:pPr>
        <w:spacing w:after="0" w:line="16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Under the Purchase Agreement, in no event may the aggregate amount of Purchase Shares submitted in any single or combination of VWAP Purchase notices and/or Additional VWAP Purchase notices on a particular date require a payment from the Purchaser to the Company that exceeds $2,500,000, unless such limitation is waived by the Purchaser.</w:t>
      </w:r>
    </w:p>
    <w:p>
      <w:pPr>
        <w:spacing w:after="0" w:line="175"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18"/>
          <w:szCs w:val="18"/>
          <w:color w:val="auto"/>
        </w:rPr>
        <w:t>In no event shall the Company issue or sell any shares of Common Stock pursuant to the Purchase Agreement to the extent that after giving effect thereto, the aggregate number of shares of Common Stock that would be issued pursuant to the Purchase Agreement (including the Commitment Shares) would exceed 19.99% of the total number of shares of Common Stock issued and outstanding immediately preceding the execution of the Purchase Agreement (the “Exchange Cap”), subject to adjustment as set forth in the Purchase Agreement, unless and until (i) the Company obtains the approval of the issuance of such shares by its stockholders in accordance with the applicable stock exchange rules or (ii) the average price paid for all shares of Common Stock issued under the Purchase Agreement (including Commitment Shares) is equal to or in excess of the lower of (A) the closing price on the Nasdaq Capital Market on December 11, 2024 and (B) the average of the closing prices of the Common Stock for the five business days immediately preceding December 12, 2024, as calculated in accordance with the rules of the Nasdaq Capital Market, such that the sales of such Common Stock to the Purchaser would not count toward the Exchange Cap because they are “at market” under applicable stock exchange rules.</w:t>
      </w:r>
    </w:p>
    <w:p>
      <w:pPr>
        <w:spacing w:after="0" w:line="190"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In addition, the Purchaser is not obligated to buy any shares of Common Stock pursuant to the Purchase Agreement if such shares of Common Stock, when aggregated with all other common stock then beneficially owned by the Purchaser and its affiliates (as calculated pursuant to Section 13(d) of the Securities Exchange Act of 1934, as amended, and Rule 13d-3 promulgated thereunder), would result in the Purchaser beneficially owning Common Stock in excess of 4.99% of the then-outstanding shares of common stock (the “Beneficial Ownership Limitation”), provided, however, the Purchaser may increase the Beneficial Ownership Limitation up to 9.99% at its sole discretion upon sixty-one days’ prior written notice to the Company. For the avoidance of doubt, the Beneficial Ownership Limitation in no event will exceed 19.99% of the number of shares of Common Stock outstanding immediately after giving effect to the issuance of shares of Common Stock pursuant to the Purchase Agreement.</w:t>
      </w:r>
    </w:p>
    <w:p>
      <w:pPr>
        <w:spacing w:after="0" w:line="186"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net proceeds under the Purchase Agreement to the Company will depend on the frequency and prices at which the Company sells shares of its stock to the Purchaser. The Company expects that any proceeds received by the Company from such sales to the Purchaser will be used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32"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The Company has the right to terminate the Purchase Agreement at any time, upon one business day’s notice, at no cost or penalty. During any “suspension event” under the Purchase Agreement, the Purchaser does not have the right to terminate the Purchase Agreement; however, the Company may not initiate any regular or other purchase of shares by the Purchaser, until such event of default is cured. In addition, in the event of bankruptcy proceedings by or against the Company, the Purchase Agreement will automatically terminate in accordance with the terms of the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Stockholders of Approval or Disapproval of this Proposal</w:t>
      </w:r>
    </w:p>
    <w:p>
      <w:pPr>
        <w:spacing w:after="0" w:line="351"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8"/>
          <w:szCs w:val="18"/>
          <w:color w:val="auto"/>
        </w:rPr>
        <w:t>If this proposal is approved, existing stockholders will suffer dilution in ownership interests and voting rights as a result of the issuance of shares of common stock pursuant to the Purchase Agreement. For example, assuming the issuance of all of the Purchase Shares remaining to be sold under the Purchase Agreement (approximately $9,259,500 as of May 13, 2025), the Purchaser would collectively own approximately 9.3 million shares of common stock, assuming the shares to be issued are sold at a price of $1.00 per share, without giving effect to the Beneficial Ownership Limitation. Such shares would constitute approximately 81% of the outstanding common stock as of May 13, 2025. Because the issuance price of the Purchase Shares may be adjusted, the number of shares that will actually be issued may be more or less than such number of shares. The ownership interest of the existing stockholders (other than the Purchaser) would be correspondingly reduced. The number of shares of common stock described above does not give effect to</w:t>
      </w:r>
    </w:p>
    <w:p>
      <w:pPr>
        <w:spacing w:after="0" w:line="1" w:lineRule="exact"/>
        <w:rPr>
          <w:sz w:val="20"/>
          <w:szCs w:val="20"/>
          <w:color w:val="auto"/>
        </w:rPr>
      </w:pPr>
    </w:p>
    <w:p>
      <w:pPr>
        <w:jc w:val="both"/>
        <w:ind w:firstLine="8"/>
        <w:spacing w:after="0" w:line="401" w:lineRule="auto"/>
        <w:tabs>
          <w:tab w:leader="none" w:pos="2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issuance of shares of common stock upon the conversion of the preferred stock pursuant to the proposed merger agreement with Decoy; (ii) the future issuance of shares of common stock upon the exercise of outstanding options or warrants, or (iii) any other potential future issuances of common stock, including pursuant to financing transactions to be effect in connection with the transactions contemplated by the merger agreement with Decoy. The sale into the public market of these shares also could materially and adversely affect the market price of our common stock.</w:t>
      </w:r>
    </w:p>
    <w:p>
      <w:pPr>
        <w:spacing w:after="0" w:line="183"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18"/>
          <w:szCs w:val="18"/>
          <w:color w:val="auto"/>
        </w:rPr>
        <w:t>If the stockholders do not approve this proposal, we will be unable to issue any Purchase Shares pursuant to the Purchase Agreement in an amount greater than 19.99% of the total number of shares of common stock outstanding immediately prior to the execution of the Purchase Agreement (286,790 shares) if such sales are, in the aggregate, in an amount less than $1.528. The Company has already issued 286,772 shares of Common Stock pursuant to the Purchase Agreement. Accordingly, if stockholder approval of this proposal is not obtained, we will need to seek alternative sources of financing, which financing may not be available on advantageous terms, or at all, and which may result in the incurrence of additional transaction expenses. If we utilize the full amount of shares remaining available under the remaining Purchase Agreement, we expect to receive gross proceeds of $9,259,000 upon issuance of all of the Purchase Shares. However, any sales under the Purchase Agreement are at our discretion and we may sell less than $9,259,000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32"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8"/>
          <w:szCs w:val="18"/>
          <w:color w:val="auto"/>
        </w:rPr>
        <w:t>As of May 13, 2025, there were 2,127,286 shares of our common stock outstanding, of which 286,772 shares were issued to the Purchaser for proceeds to us of approximately $740,500 pursuant to the Purchase Agreement. Although the Purchase Agreement provides that we may sell up to an aggregate of $10,000,000 of our common stock to the Purchaser, only 6,733,334 shares of our common stock have been registered for resale, which assumed that the shares are sold at a price of $1.50 per share. Depending on the market prices of our common stock on the date we sell our common stock to Purchaser under the Purchase Agreement, we may need to register additional shares of our common stock for resale under the Securities Act in order to receive the aggregate gross proceeds equal to the $10,000,000 available to us under the Purchase Agreement.</w:t>
      </w:r>
    </w:p>
    <w:p>
      <w:pPr>
        <w:spacing w:after="0" w:line="18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Our ability to successfully implement our business plans and ultimately generate value for our stockholders is dependent upon our ability to raise capital and satisfy our ongoing business needs. If we are unable to issue Purchase Shares pursuant to the Purchase Agreement, we may be unable to fully satisfy our ongoing business needs on the terms or timeline we anticipate, if at all, the effect of which could materially and adversely impact future operating results, and may result in the Company seeking liquidation or bankruptcy proceedings.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35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Nasdaq 20% Issuance Proposal requires the affirmative vote of a majority of the voting power of the capital stock entitled to vote thereon and present in person or represented by proxy at the Special Meeting. Abstentions will have the effect of an “AGAINST” on this proposal. Broker non-votes will have no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Nasdaq 20%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51" w:lineRule="exact"/>
        <w:rPr>
          <w:sz w:val="20"/>
          <w:szCs w:val="20"/>
          <w:color w:val="auto"/>
        </w:rPr>
      </w:pPr>
    </w:p>
    <w:p>
      <w:pPr>
        <w:jc w:val="both"/>
        <w:ind w:right="20"/>
        <w:spacing w:after="0" w:line="423" w:lineRule="auto"/>
        <w:rPr>
          <w:sz w:val="20"/>
          <w:szCs w:val="20"/>
          <w:color w:val="auto"/>
        </w:rPr>
      </w:pPr>
      <w:r>
        <w:rPr>
          <w:rFonts w:ascii="Times New Roman" w:cs="Times New Roman" w:eastAsia="Times New Roman" w:hAnsi="Times New Roman"/>
          <w:sz w:val="18"/>
          <w:szCs w:val="18"/>
          <w:color w:val="auto"/>
        </w:rPr>
        <w:t>Our stockholders are being asked to consider and vote upon an adjournment of the Special Meeting, if necessary, if a quorum is present, to solicit additional proxies if there are insufficient votes in favor of approval of the Reverse Stock Split Proposal and/or the Nasdaq 20% Issuance Proposal.</w:t>
      </w:r>
    </w:p>
    <w:p>
      <w:pPr>
        <w:spacing w:after="0" w:line="161"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Special Meeting shall also authorize successive adjournments thereof, at any meeting so adjourned, to the extent necessary for us to solicit additional proxies in favor of the adoption of such proposal.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337"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18"/>
          <w:szCs w:val="18"/>
          <w:color w:val="auto"/>
        </w:rPr>
        <w:t>The Adjournment Proposal requires the affirmative vote of a majority of the voting power of the capital stock entitled to vote thereon and present in person or represented by proxy at the Special Meeting. The Adjournment Proposal is a matter we believe will be considered “routine.” Therefore,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 Abstentions will have the effect of an “AGAINST” on this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78" w:lineRule="exact"/>
        <w:rPr>
          <w:sz w:val="20"/>
          <w:szCs w:val="20"/>
          <w:color w:val="auto"/>
        </w:rPr>
      </w:pPr>
    </w:p>
    <w:p>
      <w:pPr>
        <w:spacing w:after="0" w:line="423" w:lineRule="auto"/>
        <w:rPr>
          <w:sz w:val="20"/>
          <w:szCs w:val="20"/>
          <w:color w:val="auto"/>
        </w:rPr>
      </w:pPr>
      <w:r>
        <w:rPr>
          <w:rFonts w:ascii="Times New Roman" w:cs="Times New Roman" w:eastAsia="Times New Roman" w:hAnsi="Times New Roman"/>
          <w:sz w:val="18"/>
          <w:szCs w:val="18"/>
          <w:color w:val="auto"/>
        </w:rPr>
        <w:t>The following table sets forth information as of May 13, 2025 regarding the number of shares of common stock and the percentage of common stock, beneficially owned by:</w:t>
      </w:r>
    </w:p>
    <w:p>
      <w:pPr>
        <w:spacing w:after="0" w:line="161" w:lineRule="exact"/>
        <w:rPr>
          <w:sz w:val="20"/>
          <w:szCs w:val="20"/>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33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The percentage ownership is based on 2,127,286 shares of common stock outstanding on May 13, 2025.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the exercise of stock options or warrants or other securities that are either immediately exercisable or exercisable or vest within 60 days of May 13, 2025.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91" w:lineRule="exact"/>
        <w:rPr>
          <w:sz w:val="20"/>
          <w:szCs w:val="20"/>
          <w:color w:val="auto"/>
        </w:rPr>
      </w:pPr>
    </w:p>
    <w:p>
      <w:pPr>
        <w:jc w:val="both"/>
        <w:spacing w:after="0" w:line="423"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Salarius Pharmaceuticals, Inc., 2450 Holcombe Blvd., Suite X, Houston, TX 77021.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Percent of Common Stock</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4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 Owned</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94"/>
        </w:trPr>
        <w:tc>
          <w:tcPr>
            <w:tcW w:w="444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4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David J. Arthur (1)</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14,362</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 J. Rosenblum (2)</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5,417</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Tess Burleson(3)</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3,248</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Arnold C. Hanish(4)</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3,320</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Jonathan Lieber(5)</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3,246</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Paul Lammers(6)</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3,123</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Bruce J. McCreedy(7)</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3,088</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William K McVicar(8)</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3,265</w:t>
            </w:r>
          </w:p>
        </w:tc>
        <w:tc>
          <w:tcPr>
            <w:tcW w:w="2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w:t>
            </w: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39,069</w:t>
            </w:r>
          </w:p>
        </w:tc>
        <w:tc>
          <w:tcPr>
            <w:tcW w:w="27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 persons) (9)</w:t>
            </w:r>
          </w:p>
        </w:tc>
        <w:tc>
          <w:tcPr>
            <w:tcW w:w="406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40" w:type="dxa"/>
            <w:vAlign w:val="bottom"/>
            <w:tcBorders>
              <w:bottom w:val="single" w:sz="8" w:color="auto"/>
            </w:tcBorders>
            <w:vMerge w:val="continue"/>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31" w:lineRule="exact"/>
        <w:rPr>
          <w:sz w:val="20"/>
          <w:szCs w:val="20"/>
          <w:color w:val="auto"/>
        </w:rPr>
      </w:pPr>
    </w:p>
    <w:p>
      <w:pPr>
        <w:ind w:left="340" w:hanging="332"/>
        <w:spacing w:after="0" w:line="383" w:lineRule="auto"/>
        <w:tabs>
          <w:tab w:leader="none" w:pos="4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6,142 shares of common stock and (ii) 8,220 shares of common stock subject to options that are exercisable within 60 days of May 13, 2025.</w:t>
      </w:r>
    </w:p>
    <w:p>
      <w:pPr>
        <w:ind w:left="340" w:hanging="332"/>
        <w:spacing w:after="0" w:line="391" w:lineRule="auto"/>
        <w:tabs>
          <w:tab w:leader="none" w:pos="4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2,731 shares of common stock and (ii) 2,686 shares of common stock subject to options that are exercisable within 60 days of May 13, 2025.</w:t>
      </w: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340 shares of common stock and (ii)2,908 shares of common stock subject to options that are exercisable within 60 days of May 13, 2025.</w:t>
      </w:r>
    </w:p>
    <w:p>
      <w:pPr>
        <w:spacing w:after="0" w:line="130" w:lineRule="exact"/>
        <w:rPr>
          <w:rFonts w:ascii="Times New Roman" w:cs="Times New Roman" w:eastAsia="Times New Roman" w:hAnsi="Times New Roman"/>
          <w:sz w:val="18"/>
          <w:szCs w:val="18"/>
          <w:color w:val="auto"/>
        </w:rPr>
      </w:pPr>
    </w:p>
    <w:p>
      <w:pPr>
        <w:ind w:left="340" w:hanging="332"/>
        <w:spacing w:after="0" w:line="391" w:lineRule="auto"/>
        <w:tabs>
          <w:tab w:leader="none" w:pos="4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412 shares of common stock and (ii) 2,908 shares of common stock subject to options that are exercisable within 60 days of May 13, 2025.</w:t>
      </w:r>
    </w:p>
    <w:p>
      <w:pPr>
        <w:ind w:left="340" w:hanging="332"/>
        <w:spacing w:after="0" w:line="391" w:lineRule="auto"/>
        <w:tabs>
          <w:tab w:leader="none" w:pos="4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368 shares of common stock and (ii) 2,878 shares of common stock subject to options that are exercisable within 60 days of May 13, 2025.</w:t>
      </w:r>
    </w:p>
    <w:p>
      <w:pPr>
        <w:ind w:left="340" w:hanging="332"/>
        <w:spacing w:after="0" w:line="391" w:lineRule="auto"/>
        <w:tabs>
          <w:tab w:leader="none" w:pos="4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215 shares of common stock and (ii) 2,908 shares of common stock subject to options that are exercisable within 60 days of May 13, 2025.</w:t>
      </w:r>
    </w:p>
    <w:p>
      <w:pPr>
        <w:ind w:left="340" w:hanging="332"/>
        <w:spacing w:after="0" w:line="391" w:lineRule="auto"/>
        <w:tabs>
          <w:tab w:leader="none" w:pos="4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180 shares of common stock and (ii) 2,908 shares of common stock subject to options that are exercisable within 60 days of May 13, 2025.</w:t>
      </w:r>
    </w:p>
    <w:p>
      <w:pPr>
        <w:ind w:left="340" w:hanging="332"/>
        <w:spacing w:after="0" w:line="383" w:lineRule="auto"/>
        <w:tabs>
          <w:tab w:leader="none" w:pos="4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357 shares of common stock and (ii) 2,908 shares of common stock subject to options that are exercisable within 60 days of May 13, 2025.</w:t>
      </w:r>
    </w:p>
    <w:p>
      <w:pPr>
        <w:ind w:left="340" w:hanging="332"/>
        <w:spacing w:after="0" w:line="423" w:lineRule="auto"/>
        <w:tabs>
          <w:tab w:leader="none" w:pos="4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10,745 shares of common stock and (ii) 28,324 shares of common stock subject to options that are exercisable within 60 days of May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78"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Board of Directors does not know of any other business that will be presented at the Special Meeting. If any other business is properly brought before the Special Meeting, the proxy holders will vote in accordance with their judgment unless you direct them otherwise. Whether or not you intend to attend the Special Meeting, we urge you to vote by telephone or the Internet.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4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our stock but who share the same address, we have adopted a procedure approved by the SEC called “householding.” Under this procedure, certain stockholders of record who have the same address and last name will receive only one copy of our proxy materials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79"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proxy materials mailed to you, please submit a request to our Secretary at 2450 Holcombe Blvd., Suite X, Houston, TX 77021 and we will promptly send you what you have requested. You can also contact our Secretary at the above address if you received multiple copies of the Special Meeting materials and would prefer to receive a single copy in the future, or if you would like to opt out of householding for future mailings.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2025 Annual Meeting of Stockholders</w:t>
      </w:r>
    </w:p>
    <w:p>
      <w:pPr>
        <w:spacing w:after="0" w:line="35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2025 Annual Meeting of Stockholders, your proposal must be submitted in writing by July 4, 2025, to our Secretary at 2450 Holcombe Blvd., Suite X, Houston, TX 77021. If you wish to submit any other motion related to business proposed to be brought before the 2025 Annual Meeting of Stockholders, you must provide the specified information required by our Bylaws to our Secretary at 2450 Holcombe Blvd., X, Houston, TX 77021 not more than 120 days (July 4, 2025) nor less than 90 days (August 3, 2025) prior to the first anniversary of the date the proxy statement was provided to our stockholders in connection with the 2024 Annual Meeting of Stockholders; however, if the 2025 Annual Meeting of Stockholders is called for a date that is more than 30 days before or after the anniversary date of the 2024 Annual Meeting of Stockholders, notice by the stockholder must be received by our Secretary not later than the close of business on the later of (i) the 90th day prior to the 2025 Annual Meeting of Stockholders and (ii) the 10th day following the day on which public announcement of the date of the 2025 Annual Meeting of Stockholders is publicly given. You are also advised to review our Bylaws, which contain additional requirements regarding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75"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In addition to satisfying the foregoing advance notice requirements under our Bylaws, to comply with the universal proxy rules under the Exchange Act, stockholders who intend to solicit proxies in support of director nominees other than the Company’s nominees must provide written notice that sets forth the information required by Rule 14a-19 under the Exchange Act no later than October 21, 2025, which is 60 days prior to the one-year anniversary of the 2024 Annual Meeting of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292"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Our Board does not know of any other business that will be presented at the Special Meeting. If any other business is properly brought before the Special Meeting, the proxy holders will vote in accordance with their judgment unless you direct them otherwise. Whether or not you intend to attend the Special Meeting, we urge you to vote by Internet or telephone.</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TX</w:t>
      </w:r>
    </w:p>
    <w:p>
      <w:pPr>
        <w:spacing w:after="0" w:line="23" w:lineRule="exact"/>
        <w:rPr>
          <w:sz w:val="20"/>
          <w:szCs w:val="20"/>
          <w:color w:val="auto"/>
        </w:rPr>
      </w:pPr>
    </w:p>
    <w:p>
      <w:pPr>
        <w:jc w:val="right"/>
        <w:ind w:left="20" w:right="3860"/>
        <w:spacing w:after="0" w:line="313" w:lineRule="auto"/>
        <w:rPr>
          <w:sz w:val="20"/>
          <w:szCs w:val="20"/>
          <w:color w:val="auto"/>
        </w:rPr>
      </w:pPr>
      <w:r>
        <w:rPr>
          <w:rFonts w:ascii="Times New Roman" w:cs="Times New Roman" w:eastAsia="Times New Roman" w:hAnsi="Times New Roman"/>
          <w:sz w:val="18"/>
          <w:szCs w:val="18"/>
          <w:color w:val="auto"/>
        </w:rPr>
        <w:t>May [ ], 2025                                                      /s/ David J. Arthur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27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5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ind w:left="2860"/>
        <w:spacing w:after="0" w:line="210"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SALARIUS PHARMACEUTICALS, INC.</w:t>
      </w:r>
    </w:p>
    <w:p>
      <w:pPr>
        <w:spacing w:after="0" w:line="17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Salarius Pharmaceuticals, Inc.,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as follows:</w:t>
      </w:r>
    </w:p>
    <w:p>
      <w:pPr>
        <w:spacing w:after="0" w:line="1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Salarius Pharmaceuticals, Inc., and the Corporation was originally incorporated pursuant to the DGCL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26, 2014 (as subsequently amended,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under the name Flex Pharma, Inc.</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Article IV.A of the Certificate of Incorporation is amended and restated in its entirety to read as follows: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w:t>
      </w:r>
    </w:p>
    <w:p>
      <w:pPr>
        <w:spacing w:after="0" w:line="6"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total number of shares which the Company is authorized to issue is 110,000,000 shares. 100,000,000 shares shall be Common Stock, each having a par value of $0.0001. 10,000,000 shares shall be Preferred Stock, each having a par value of $0.0001.</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of this amendment to the Corporation’s Amended and Restated Certificate of</w:t>
      </w:r>
    </w:p>
    <w:p>
      <w:pPr>
        <w:spacing w:after="0" w:line="6"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Incorporation, as amended, pursuant to the Delaware General Corporation Law, each [4][5][6][7][8][9][10][11][12][13][14][15][16][17][18][19] [20][21][22][23][24][25][26][27][28][29][30][31][32][33][34][35][36][37][38][39][40] shares of Common Stock issued immediately prior to the Effective Time (the “</w:t>
      </w:r>
      <w:r>
        <w:rPr>
          <w:rFonts w:ascii="Times New Roman" w:cs="Times New Roman" w:eastAsia="Times New Roman" w:hAnsi="Times New Roman"/>
          <w:sz w:val="18"/>
          <w:szCs w:val="18"/>
          <w:b w:val="1"/>
          <w:bCs w:val="1"/>
          <w:i w:val="1"/>
          <w:iCs w:val="1"/>
          <w:color w:val="auto"/>
        </w:rPr>
        <w:t>Old Common Stock</w:t>
      </w:r>
      <w:r>
        <w:rPr>
          <w:rFonts w:ascii="Times New Roman" w:cs="Times New Roman" w:eastAsia="Times New Roman" w:hAnsi="Times New Roman"/>
          <w:sz w:val="18"/>
          <w:szCs w:val="18"/>
          <w:color w:val="auto"/>
        </w:rPr>
        <w:t>”) shall be reclassified and combined into one validly issued, fully paid and non-assessable share of the</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Corporation’s common stock, $0.0001 par value per share (the “</w:t>
      </w:r>
      <w:r>
        <w:rPr>
          <w:rFonts w:ascii="Times New Roman" w:cs="Times New Roman" w:eastAsia="Times New Roman" w:hAnsi="Times New Roman"/>
          <w:sz w:val="18"/>
          <w:szCs w:val="18"/>
          <w:b w:val="1"/>
          <w:bCs w:val="1"/>
          <w:i w:val="1"/>
          <w:iCs w:val="1"/>
          <w:color w:val="auto"/>
        </w:rPr>
        <w:t>New Common Stock</w:t>
      </w:r>
      <w:r>
        <w:rPr>
          <w:rFonts w:ascii="Times New Roman" w:cs="Times New Roman" w:eastAsia="Times New Roman" w:hAnsi="Times New Roman"/>
          <w:sz w:val="18"/>
          <w:szCs w:val="18"/>
          <w:color w:val="auto"/>
        </w:rPr>
        <w:t>”), without any action by the holder thereof (the “</w:t>
      </w:r>
      <w:r>
        <w:rPr>
          <w:rFonts w:ascii="Times New Roman" w:cs="Times New Roman" w:eastAsia="Times New Roman" w:hAnsi="Times New Roman"/>
          <w:sz w:val="18"/>
          <w:szCs w:val="18"/>
          <w:b w:val="1"/>
          <w:bCs w:val="1"/>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Split</w:t>
      </w:r>
      <w:r>
        <w:rPr>
          <w:rFonts w:ascii="Times New Roman" w:cs="Times New Roman" w:eastAsia="Times New Roman" w:hAnsi="Times New Roman"/>
          <w:sz w:val="18"/>
          <w:szCs w:val="18"/>
          <w:color w:val="auto"/>
        </w:rPr>
        <w:t>”) and without increasing or decreasing the authorized number of shares of Common Stock or Preferred Stock. No fractional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Common Stock shall be issued as a result of the Reverse Stock Split and, in lieu thereof, upon surrender after the Effective Time of a</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certificate or book 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equal to the fraction of a share of New Common Stock to which such</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holder would otherwise be entitled multiplied by the closing price per share of the New Common Stock on the Nasdaq Capital Market at the close of business on the date of the Effective Time. Each certificate that theretofore represented shares of Old Common Stock shall thereafter represent that number of shares of New Common Stock into which the shares of Old Common Stock represented by such certificate shall have been</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reclassified and combined; provided, that each person holding of record a stock certificate or certificates that represented shares of Old Common Stock shall receive, upon surrender of such certificate or certificates, a new certificate or certificates evidencing and representing the number of shares of New Common Stock to which such person is entitled under the foregoing reclassification and combination.</w:t>
      </w:r>
    </w:p>
    <w:p>
      <w:pPr>
        <w:spacing w:after="0" w:line="172" w:lineRule="exact"/>
        <w:rPr>
          <w:sz w:val="20"/>
          <w:szCs w:val="20"/>
          <w:color w:val="auto"/>
        </w:rPr>
      </w:pPr>
    </w:p>
    <w:p>
      <w:pPr>
        <w:ind w:firstLine="656"/>
        <w:spacing w:after="0" w:line="237" w:lineRule="auto"/>
        <w:tabs>
          <w:tab w:leader="none" w:pos="10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adopted by the Board of Directors and stockholders of the Corporation in accordance with Section 242 of the General Corporation Law of the State of Delaware.</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as of [•] [a.m./p.m.], Eastern Time on [•], 202[•].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0"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its duly authorized officer to execute this Certificate of Amendment on this ____ day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202_.</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SALARIUS PHARMACEUTICALS, INC.</w:t>
      </w:r>
    </w:p>
    <w:p>
      <w:pPr>
        <w:spacing w:after="0" w:line="3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31" w:right="35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706120</wp:posOffset>
            </wp:positionV>
            <wp:extent cx="5958205" cy="6257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58205" cy="6257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706120</wp:posOffset>
            </wp:positionV>
            <wp:extent cx="6094730" cy="7552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094730" cy="7552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upperLetter"/>
      <w:start w:val="1"/>
    </w:lvl>
  </w:abstractNum>
  <w:abstractNum w:abstractNumId="5">
    <w:nsid w:val="4353D0CD"/>
    <w:multiLevelType w:val="hybridMultilevel"/>
    <w:lvl w:ilvl="0">
      <w:lvlJc w:val="left"/>
      <w:lvlText w:val="%1:"/>
      <w:numFmt w:val="upperLetter"/>
      <w:start w:val="1"/>
    </w:lvl>
  </w:abstractNum>
  <w:abstractNum w:abstractNumId="6">
    <w:nsid w:val="B03E0C6"/>
    <w:multiLevelType w:val="hybridMultilevel"/>
    <w:lvl w:ilvl="0">
      <w:lvlJc w:val="left"/>
      <w:lvlText w:val="%1:"/>
      <w:numFmt w:val="upperLetter"/>
      <w:start w:val="1"/>
    </w:lvl>
  </w:abstractNum>
  <w:abstractNum w:abstractNumId="7">
    <w:nsid w:val="189A769B"/>
    <w:multiLevelType w:val="hybridMultilevel"/>
    <w:lvl w:ilvl="0">
      <w:lvlJc w:val="left"/>
      <w:lvlText w:val="%1:"/>
      <w:numFmt w:val="upperLetter"/>
      <w:start w:val="17"/>
    </w:lvl>
  </w:abstractNum>
  <w:abstractNum w:abstractNumId="8">
    <w:nsid w:val="54E49EB4"/>
    <w:multiLevelType w:val="hybridMultilevel"/>
    <w:lvl w:ilvl="0">
      <w:lvlJc w:val="left"/>
      <w:lvlText w:val="%1:"/>
      <w:numFmt w:val="upperLetter"/>
      <w:start w:val="1"/>
    </w:lvl>
  </w:abstractNum>
  <w:abstractNum w:abstractNumId="9">
    <w:nsid w:val="71F32454"/>
    <w:multiLevelType w:val="hybridMultilevel"/>
    <w:lvl w:ilvl="0">
      <w:lvlJc w:val="left"/>
      <w:lvlText w:val="%1:"/>
      <w:numFmt w:val="upperLetter"/>
      <w:start w:val="1"/>
    </w:lvl>
  </w:abstractNum>
  <w:abstractNum w:abstractNumId="10">
    <w:nsid w:val="2CA88611"/>
    <w:multiLevelType w:val="hybridMultilevel"/>
    <w:lvl w:ilvl="0">
      <w:lvlJc w:val="left"/>
      <w:lvlText w:val="%1:"/>
      <w:numFmt w:val="upperLetter"/>
      <w:start w:val="1"/>
    </w:lvl>
    <w:lvl w:ilvl="1">
      <w:lvlJc w:val="left"/>
      <w:lvlText w:val="%2."/>
      <w:numFmt w:val="decimal"/>
      <w:start w:val="1"/>
    </w:lvl>
  </w:abstractNum>
  <w:abstractNum w:abstractNumId="11">
    <w:nsid w:val="836C40E"/>
    <w:multiLevelType w:val="hybridMultilevel"/>
    <w:lvl w:ilvl="0">
      <w:lvlJc w:val="left"/>
      <w:lvlText w:val="%1:"/>
      <w:numFmt w:val="upperLetter"/>
      <w:start w:val="1"/>
    </w:lvl>
    <w:lvl w:ilvl="1">
      <w:lvlJc w:val="left"/>
      <w:lvlText w:val="•"/>
      <w:numFmt w:val="bullet"/>
      <w:start w:val="1"/>
    </w:lvl>
  </w:abstractNum>
  <w:abstractNum w:abstractNumId="12">
    <w:nsid w:val="2901D82"/>
    <w:multiLevelType w:val="hybridMultilevel"/>
    <w:lvl w:ilvl="0">
      <w:lvlJc w:val="left"/>
      <w:lvlText w:val="%1:"/>
      <w:numFmt w:val="upperLetter"/>
      <w:start w:val="16"/>
    </w:lvl>
    <w:lvl w:ilvl="1">
      <w:lvlJc w:val="left"/>
      <w:lvlText w:val="•"/>
      <w:numFmt w:val="bullet"/>
      <w:start w:val="1"/>
    </w:lvl>
  </w:abstractNum>
  <w:abstractNum w:abstractNumId="13">
    <w:nsid w:val="3A95F874"/>
    <w:multiLevelType w:val="hybridMultilevel"/>
    <w:lvl w:ilvl="0">
      <w:lvlJc w:val="left"/>
      <w:lvlText w:val="%1:"/>
      <w:numFmt w:val="upperLetter"/>
      <w:start w:val="1"/>
    </w:lvl>
  </w:abstractNum>
  <w:abstractNum w:abstractNumId="14">
    <w:nsid w:val="8138641"/>
    <w:multiLevelType w:val="hybridMultilevel"/>
    <w:lvl w:ilvl="0">
      <w:lvlJc w:val="left"/>
      <w:lvlText w:val="%1:"/>
      <w:numFmt w:val="upperLetter"/>
      <w:start w:val="17"/>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upperLetter"/>
      <w:start w:val="17"/>
    </w:lvl>
  </w:abstractNum>
  <w:abstractNum w:abstractNumId="18">
    <w:nsid w:val="6CEAF087"/>
    <w:multiLevelType w:val="hybridMultilevel"/>
    <w:lvl w:ilvl="0">
      <w:lvlJc w:val="left"/>
      <w:lvlText w:val="%1:"/>
      <w:numFmt w:val="upperLetter"/>
      <w:start w:val="1"/>
    </w:lvl>
  </w:abstractNum>
  <w:abstractNum w:abstractNumId="19">
    <w:nsid w:val="22221A70"/>
    <w:multiLevelType w:val="hybridMultilevel"/>
    <w:lvl w:ilvl="0">
      <w:lvlJc w:val="left"/>
      <w:lvlText w:val="%1:"/>
      <w:numFmt w:val="upperLetter"/>
      <w:start w:val="1"/>
    </w:lvl>
  </w:abstractNum>
  <w:abstractNum w:abstractNumId="20">
    <w:nsid w:val="4516DDE9"/>
    <w:multiLevelType w:val="hybridMultilevel"/>
    <w:lvl w:ilvl="0">
      <w:lvlJc w:val="left"/>
      <w:lvlText w:val="%1:"/>
      <w:numFmt w:val="upperLetter"/>
      <w:start w:val="1"/>
    </w:lvl>
  </w:abstractNum>
  <w:abstractNum w:abstractNumId="21">
    <w:nsid w:val="3006C83E"/>
    <w:multiLevelType w:val="hybridMultilevel"/>
    <w:lvl w:ilvl="0">
      <w:lvlJc w:val="left"/>
      <w:lvlText w:val="%1:"/>
      <w:numFmt w:val="upperLetter"/>
      <w:start w:val="1"/>
    </w:lvl>
    <w:lvl w:ilvl="1">
      <w:lvlJc w:val="left"/>
      <w:lvlText w:val="•"/>
      <w:numFmt w:val="bullet"/>
      <w:start w:val="1"/>
    </w:lvl>
  </w:abstractNum>
  <w:abstractNum w:abstractNumId="22">
    <w:nsid w:val="614FD4A1"/>
    <w:multiLevelType w:val="hybridMultilevel"/>
    <w:lvl w:ilvl="0">
      <w:lvlJc w:val="left"/>
      <w:lvlText w:val="%1:"/>
      <w:numFmt w:val="upperLetter"/>
      <w:start w:val="1"/>
    </w:lvl>
  </w:abstractNum>
  <w:abstractNum w:abstractNumId="23">
    <w:nsid w:val="419AC241"/>
    <w:multiLevelType w:val="hybridMultilevel"/>
    <w:lvl w:ilvl="0">
      <w:lvlJc w:val="left"/>
      <w:lvlText w:val="%1:"/>
      <w:numFmt w:val="upperLetter"/>
      <w:start w:val="17"/>
    </w:lvl>
  </w:abstractNum>
  <w:abstractNum w:abstractNumId="24">
    <w:nsid w:val="5577F8E1"/>
    <w:multiLevelType w:val="hybridMultilevel"/>
    <w:lvl w:ilvl="0">
      <w:lvlJc w:val="left"/>
      <w:lvlText w:val="%1:"/>
      <w:numFmt w:val="upperLetter"/>
      <w:start w:val="1"/>
    </w:lvl>
  </w:abstractNum>
  <w:abstractNum w:abstractNumId="25">
    <w:nsid w:val="440BADFC"/>
    <w:multiLevelType w:val="hybridMultilevel"/>
    <w:lvl w:ilvl="0">
      <w:lvlJc w:val="left"/>
      <w:lvlText w:val="%1:"/>
      <w:numFmt w:val="upperLetter"/>
      <w:start w:val="17"/>
    </w:lvl>
  </w:abstractNum>
  <w:abstractNum w:abstractNumId="26">
    <w:nsid w:val="5072367"/>
    <w:multiLevelType w:val="hybridMultilevel"/>
    <w:lvl w:ilvl="0">
      <w:lvlJc w:val="left"/>
      <w:lvlText w:val="%1:"/>
      <w:numFmt w:val="upp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upperLetter"/>
      <w:start w:val="17"/>
    </w:lvl>
  </w:abstractNum>
  <w:abstractNum w:abstractNumId="29">
    <w:nsid w:val="7724C67E"/>
    <w:multiLevelType w:val="hybridMultilevel"/>
    <w:lvl w:ilvl="0">
      <w:lvlJc w:val="left"/>
      <w:lvlText w:val="%1:"/>
      <w:numFmt w:val="upperLetter"/>
      <w:start w:val="17"/>
    </w:lvl>
  </w:abstractNum>
  <w:abstractNum w:abstractNumId="30">
    <w:nsid w:val="5C482A97"/>
    <w:multiLevelType w:val="hybridMultilevel"/>
    <w:lvl w:ilvl="0">
      <w:lvlJc w:val="left"/>
      <w:lvlText w:val="%1:"/>
      <w:numFmt w:val="upperLetter"/>
      <w:start w:val="16"/>
    </w:lvl>
    <w:lvl w:ilvl="1">
      <w:lvlJc w:val="left"/>
      <w:lvlText w:val="•"/>
      <w:numFmt w:val="bullet"/>
      <w:start w:val="1"/>
    </w:lvl>
  </w:abstractNum>
  <w:abstractNum w:abstractNumId="31">
    <w:nsid w:val="2463B9EA"/>
    <w:multiLevelType w:val="hybridMultilevel"/>
    <w:lvl w:ilvl="0">
      <w:lvlJc w:val="left"/>
      <w:lvlText w:val="%1:"/>
      <w:numFmt w:val="upperLetter"/>
      <w:start w:val="1"/>
    </w:lvl>
  </w:abstractNum>
  <w:abstractNum w:abstractNumId="32">
    <w:nsid w:val="5E884ADC"/>
    <w:multiLevelType w:val="hybridMultilevel"/>
    <w:lvl w:ilvl="0">
      <w:lvlJc w:val="left"/>
      <w:lvlText w:val="%1:"/>
      <w:numFmt w:val="upperLetter"/>
      <w:start w:val="17"/>
    </w:lvl>
  </w:abstractNum>
  <w:abstractNum w:abstractNumId="33">
    <w:nsid w:val="51EAD36B"/>
    <w:multiLevelType w:val="hybridMultilevel"/>
    <w:lvl w:ilvl="0">
      <w:lvlJc w:val="left"/>
      <w:lvlText w:val="%1:"/>
      <w:numFmt w:val="upperLetter"/>
      <w:start w:val="1"/>
    </w:lvl>
  </w:abstractNum>
  <w:abstractNum w:abstractNumId="34">
    <w:nsid w:val="2D517796"/>
    <w:multiLevelType w:val="hybridMultilevel"/>
    <w:lvl w:ilvl="0">
      <w:lvlJc w:val="left"/>
      <w:lvlText w:val="%1:"/>
      <w:numFmt w:val="upperLetter"/>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2025-05-15T16:24:51Z</dcterms:created>
  <dcterms:modified xsi:type="dcterms:W3CDTF">2025-05-15T16:24:51Z</dcterms:modified>
</cp:coreProperties>
</file>