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coy-20260331.htm"/>
        <w:bookmarkStart w:id="1" w:name="ksdcoy20260331"/>
        <w:bookmarkEnd w:id="0"/>
        <w:bookmarkEnd w:id="1"/>
        <w:r>
          <w:rPr>
            <w:rStyle w:val="InternetLink"/>
            <w:rFonts w:ascii="Times New Roman" w:hAnsi="Times New Roman"/>
            <w:b/>
            <w:color w:val="0000FF"/>
            <w:sz w:val="20"/>
            <w:u w:val="single"/>
          </w:rPr>
          <w:t>Table of Contents</w:t>
        </w:r>
      </w:hyperlink>
    </w:p>
    <w:p>
      <w:pPr>
        <w:pStyle w:val="TextBody"/>
        <w:bidi w:val="0"/>
        <w:spacing w:before="0" w:after="16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pBdr>
                <w:top w:val="double" w:sz="2" w:space="1" w:color="000000"/>
              </w:pBdr>
              <w:bidi w:val="0"/>
              <w:spacing w:before="0" w:after="283"/>
              <w:jc w:val="left"/>
              <w:rPr/>
            </w:pPr>
            <w:r>
              <w:rPr/>
              <w:t> </w:t>
            </w:r>
          </w:p>
        </w:tc>
      </w:tr>
    </w:tbl>
    <w:p>
      <w:pPr>
        <w:pStyle w:val="TextBody"/>
        <w:bidi w:val="0"/>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bidi w:val="0"/>
        <w:jc w:val="center"/>
        <w:rPr>
          <w:rFonts w:ascii="Arial" w:hAnsi="Arial"/>
          <w:b/>
          <w:color w:val="000000"/>
          <w:sz w:val="28"/>
        </w:rPr>
      </w:pPr>
      <w:r>
        <w:rPr>
          <w:rFonts w:ascii="Arial" w:hAnsi="Arial"/>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left"/>
              <w:rPr>
                <w:rFonts w:ascii="Arial" w:hAnsi="Arial"/>
                <w:b/>
                <w:color w:val="000000"/>
                <w:sz w:val="18"/>
              </w:rPr>
            </w:pPr>
            <w:r>
              <w:rPr>
                <w:rFonts w:ascii="Arial" w:hAnsi="Arial"/>
                <w:b/>
                <w:color w:val="000000"/>
                <w:sz w:val="18"/>
              </w:rPr>
              <w:t>(Mark One)</w:t>
            </w:r>
          </w:p>
        </w:tc>
      </w:tr>
      <w:tr>
        <w:trPr/>
        <w:tc>
          <w:tcPr>
            <w:tcW w:w="33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9"/>
              </w:rPr>
            </w:pPr>
            <w:r>
              <w:rPr>
                <w:rFonts w:ascii="Arial" w:hAnsi="Arial"/>
                <w:b/>
                <w:color w:val="000000"/>
                <w:sz w:val="19"/>
              </w:rPr>
              <w:t>QUARTERLY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For the quarterly period ended March 31, 2026</w:t>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OR</w:t>
            </w:r>
          </w:p>
        </w:tc>
      </w:tr>
      <w:tr>
        <w:trPr/>
        <w:tc>
          <w:tcPr>
            <w:tcW w:w="33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9"/>
              </w:rPr>
            </w:pPr>
            <w:r>
              <w:rPr>
                <w:rFonts w:ascii="Arial" w:hAnsi="Arial"/>
                <w:b/>
                <w:color w:val="000000"/>
                <w:sz w:val="19"/>
              </w:rPr>
              <w:t>TRANSITION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For the Transition Period from to</w:t>
            </w:r>
          </w:p>
        </w:tc>
      </w:tr>
    </w:tbl>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Commission File Number: 001-36812</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Decoy Therapeutics Inc.</w:t>
      </w:r>
    </w:p>
    <w:p>
      <w:pPr>
        <w:pStyle w:val="TextBody"/>
        <w:bidi w:val="0"/>
        <w:jc w:val="center"/>
        <w:rPr>
          <w:rFonts w:ascii="Arial" w:hAnsi="Arial"/>
          <w:color w:val="000000"/>
          <w:sz w:val="16"/>
        </w:rPr>
      </w:pPr>
      <w:r>
        <w:rPr>
          <w:rFonts w:ascii="Arial" w:hAnsi="Arial"/>
          <w:color w:val="000000"/>
          <w:sz w:val="16"/>
        </w:rPr>
        <w:t>(Exact name of registrant as specified in its charter)</w:t>
      </w:r>
    </w:p>
    <w:tbl>
      <w:tblPr>
        <w:tblW w:w="4430" w:type="dxa"/>
        <w:jc w:val="left"/>
        <w:tblInd w:w="0" w:type="dxa"/>
        <w:tblLayout w:type="fixed"/>
        <w:tblCellMar>
          <w:top w:w="28" w:type="dxa"/>
          <w:left w:w="28" w:type="dxa"/>
          <w:bottom w:w="28" w:type="dxa"/>
          <w:right w:w="28" w:type="dxa"/>
        </w:tblCellMar>
      </w:tblPr>
      <w:tblGrid>
        <w:gridCol w:w="161"/>
        <w:gridCol w:w="2236"/>
        <w:gridCol w:w="146"/>
        <w:gridCol w:w="16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46-5087339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75" w:after="283"/>
              <w:jc w:val="center"/>
              <w:rPr>
                <w:rFonts w:ascii="Arial" w:hAnsi="Arial"/>
                <w:color w:val="000000"/>
                <w:sz w:val="16"/>
              </w:rPr>
            </w:pPr>
            <w:r>
              <w:rPr>
                <w:rFonts w:ascii="Arial" w:hAnsi="Arial"/>
                <w:color w:val="000000"/>
                <w:sz w:val="16"/>
              </w:rPr>
              <w:t>(State or other jurisdiction of</w:t>
            </w:r>
          </w:p>
          <w:p>
            <w:pPr>
              <w:pStyle w:val="TableContents"/>
              <w:bidi w:val="0"/>
              <w:spacing w:before="0" w:after="30"/>
              <w:jc w:val="center"/>
              <w:rPr>
                <w:rFonts w:ascii="Arial" w:hAnsi="Arial"/>
                <w:color w:val="000000"/>
                <w:sz w:val="16"/>
              </w:rPr>
            </w:pPr>
            <w:r>
              <w:rPr>
                <w:rFonts w:ascii="Arial" w:hAnsi="Arial"/>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75" w:after="283"/>
              <w:jc w:val="center"/>
              <w:rPr>
                <w:rFonts w:ascii="Arial" w:hAnsi="Arial"/>
                <w:color w:val="000000"/>
                <w:sz w:val="16"/>
              </w:rPr>
            </w:pPr>
            <w:r>
              <w:rPr>
                <w:rFonts w:ascii="Arial" w:hAnsi="Arial"/>
                <w:color w:val="000000"/>
                <w:sz w:val="16"/>
              </w:rPr>
              <w:t>(I.R.S. Employer</w:t>
            </w:r>
          </w:p>
          <w:p>
            <w:pPr>
              <w:pStyle w:val="TableContents"/>
              <w:bidi w:val="0"/>
              <w:spacing w:before="0" w:after="30"/>
              <w:jc w:val="center"/>
              <w:rPr>
                <w:rFonts w:ascii="Arial" w:hAnsi="Arial"/>
                <w:color w:val="000000"/>
                <w:sz w:val="16"/>
              </w:rPr>
            </w:pPr>
            <w:r>
              <w:rPr>
                <w:rFonts w:ascii="Arial" w:hAnsi="Arial"/>
                <w:color w:val="000000"/>
                <w:sz w:val="16"/>
              </w:rPr>
              <w:t>Identification Number)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6"/>
        </w:rPr>
        <w:t>2450 Holcombe Blvd., Suite X, Houston, TX</w:t>
      </w:r>
      <w:r>
        <w:rPr>
          <w:rFonts w:ascii="Times New Roman" w:hAnsi="Times New Roman"/>
          <w:color w:val="000000"/>
          <w:sz w:val="20"/>
        </w:rPr>
        <w:t xml:space="preserve"> </w:t>
      </w:r>
      <w:r>
        <w:rPr>
          <w:rFonts w:ascii="Arial" w:hAnsi="Arial"/>
          <w:color w:val="000000"/>
          <w:sz w:val="16"/>
        </w:rPr>
        <w:t>77021</w:t>
      </w:r>
    </w:p>
    <w:p>
      <w:pPr>
        <w:pStyle w:val="TextBody"/>
        <w:bidi w:val="0"/>
        <w:jc w:val="center"/>
        <w:rPr>
          <w:rFonts w:ascii="Arial" w:hAnsi="Arial"/>
          <w:color w:val="000000"/>
          <w:sz w:val="14"/>
        </w:rPr>
      </w:pPr>
      <w:r>
        <w:rPr>
          <w:rFonts w:ascii="Arial" w:hAnsi="Arial"/>
          <w:color w:val="000000"/>
          <w:sz w:val="14"/>
        </w:rPr>
        <w:t>(Address of principal executive offices)(Zip Code)</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14"/>
        </w:rPr>
      </w:pPr>
      <w:r>
        <w:rPr>
          <w:rFonts w:ascii="Arial" w:hAnsi="Arial"/>
          <w:b/>
          <w:color w:val="000000"/>
          <w:sz w:val="14"/>
        </w:rPr>
        <w:t>(713) 913-5608</w:t>
      </w:r>
    </w:p>
    <w:p>
      <w:pPr>
        <w:pStyle w:val="TextBody"/>
        <w:bidi w:val="0"/>
        <w:jc w:val="center"/>
        <w:rPr>
          <w:rFonts w:ascii="Arial" w:hAnsi="Arial"/>
          <w:b/>
          <w:color w:val="000000"/>
          <w:sz w:val="14"/>
        </w:rPr>
      </w:pPr>
      <w:r>
        <w:rPr>
          <w:rFonts w:ascii="Arial" w:hAnsi="Arial"/>
          <w:b/>
          <w:color w:val="000000"/>
          <w:sz w:val="14"/>
        </w:rPr>
        <w:t>Registrant's telephone number, including area code</w:t>
      </w:r>
    </w:p>
    <w:p>
      <w:pPr>
        <w:pStyle w:val="TextBody"/>
        <w:bidi w:val="0"/>
        <w:jc w:val="center"/>
        <w:rPr/>
      </w:pPr>
      <w:r>
        <w:rPr/>
        <w:t> </w:t>
      </w:r>
    </w:p>
    <w:p>
      <w:pPr>
        <w:pStyle w:val="TextBody"/>
        <w:bidi w:val="0"/>
        <w:jc w:val="center"/>
        <w:rPr>
          <w:rFonts w:ascii="Arial" w:hAnsi="Arial"/>
          <w:color w:val="000000"/>
          <w:sz w:val="14"/>
        </w:rPr>
      </w:pPr>
      <w:r>
        <w:rPr>
          <w:rFonts w:ascii="Arial" w:hAnsi="Arial"/>
          <w:color w:val="000000"/>
          <w:sz w:val="14"/>
        </w:rPr>
        <w:t>(Former name, former address and former fiscal year, If changed since last report)</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60"/>
        <w:jc w:val="left"/>
        <w:rPr/>
      </w:pPr>
      <w:r>
        <w:rPr/>
        <w:t> </w:t>
      </w:r>
    </w:p>
    <w:p>
      <w:pPr>
        <w:pStyle w:val="TextBody"/>
        <w:bidi w:val="0"/>
        <w:jc w:val="left"/>
        <w:rPr>
          <w:rFonts w:ascii="Arial" w:hAnsi="Arial"/>
          <w:color w:val="000000"/>
          <w:sz w:val="16"/>
        </w:rPr>
      </w:pPr>
      <w:r>
        <w:rPr>
          <w:rFonts w:ascii="Arial" w:hAnsi="Arial"/>
          <w:color w:val="000000"/>
          <w:sz w:val="16"/>
        </w:rPr>
        <w:t>Securities registered pursuant to Section 12(b) of the Act</w:t>
      </w:r>
    </w:p>
    <w:tbl>
      <w:tblPr>
        <w:tblW w:w="8170" w:type="dxa"/>
        <w:jc w:val="left"/>
        <w:tblInd w:w="0" w:type="dxa"/>
        <w:tblLayout w:type="fixed"/>
        <w:tblCellMar>
          <w:top w:w="28" w:type="dxa"/>
          <w:left w:w="28" w:type="dxa"/>
          <w:bottom w:w="28" w:type="dxa"/>
          <w:right w:w="28" w:type="dxa"/>
        </w:tblCellMar>
      </w:tblPr>
      <w:tblGrid>
        <w:gridCol w:w="2641"/>
        <w:gridCol w:w="146"/>
        <w:gridCol w:w="1576"/>
        <w:gridCol w:w="146"/>
        <w:gridCol w:w="366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Name of each exchange on which registered</w:t>
            </w:r>
          </w:p>
        </w:tc>
      </w:tr>
      <w:tr>
        <w:trPr/>
        <w:tc>
          <w:tcPr>
            <w:tcW w:w="2641" w:type="dxa"/>
            <w:tcBorders/>
            <w:tcMar>
              <w:top w:w="0" w:type="dxa"/>
              <w:left w:w="0" w:type="dxa"/>
              <w:bottom w:w="0" w:type="dxa"/>
              <w:right w:w="0" w:type="dxa"/>
            </w:tcMar>
            <w:vAlign w:val="center"/>
          </w:tcPr>
          <w:p>
            <w:pPr>
              <w:pStyle w:val="TableContents"/>
              <w:bidi w:val="0"/>
              <w:spacing w:before="55" w:after="30"/>
              <w:jc w:val="center"/>
              <w:rPr>
                <w:rFonts w:ascii="Arial" w:hAnsi="Arial"/>
                <w:color w:val="000000"/>
                <w:sz w:val="16"/>
              </w:rPr>
            </w:pPr>
            <w:r>
              <w:rPr>
                <w:rFonts w:ascii="Arial" w:hAnsi="Arial"/>
                <w:color w:val="000000"/>
                <w:sz w:val="16"/>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55" w:after="30"/>
              <w:jc w:val="center"/>
              <w:rPr>
                <w:rFonts w:ascii="Arial" w:hAnsi="Arial"/>
                <w:color w:val="000000"/>
                <w:sz w:val="16"/>
              </w:rPr>
            </w:pPr>
            <w:r>
              <w:rPr>
                <w:rFonts w:ascii="Arial" w:hAnsi="Arial"/>
                <w:color w:val="000000"/>
                <w:sz w:val="16"/>
              </w:rPr>
              <w:t>DCOY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55" w:after="30"/>
              <w:jc w:val="center"/>
              <w:rPr>
                <w:rFonts w:ascii="Arial" w:hAnsi="Arial"/>
                <w:color w:val="000000"/>
                <w:sz w:val="16"/>
              </w:rPr>
            </w:pPr>
            <w:r>
              <w:rPr>
                <w:rFonts w:ascii="Arial" w:hAnsi="Arial"/>
                <w:color w:val="000000"/>
                <w:sz w:val="16"/>
              </w:rPr>
              <w:t>The Nasdaq Stock Market LLC</w:t>
            </w:r>
          </w:p>
        </w:tc>
      </w:tr>
    </w:tbl>
    <w:p>
      <w:pPr>
        <w:pStyle w:val="TextBody"/>
        <w:bidi w:val="0"/>
        <w:spacing w:before="60" w:after="283"/>
        <w:jc w:val="center"/>
        <w:rPr/>
      </w:pPr>
      <w:r>
        <w:rPr/>
        <w:t> </w:t>
      </w:r>
    </w:p>
    <w:p>
      <w:pPr>
        <w:pStyle w:val="TextBody"/>
        <w:bidi w:val="0"/>
        <w:spacing w:before="60" w:after="60"/>
        <w:jc w:val="left"/>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Times New Roman" w:hAnsi="Times New Roman"/>
          <w:color w:val="000000"/>
          <w:sz w:val="20"/>
        </w:rPr>
        <w:t xml:space="preserve">☒ </w:t>
      </w:r>
      <w:r>
        <w:rPr>
          <w:rFonts w:ascii="Arial" w:hAnsi="Arial"/>
          <w:color w:val="000000"/>
          <w:sz w:val="16"/>
        </w:rPr>
        <w:t>No</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No</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0"/>
        <w:gridCol w:w="316"/>
        <w:gridCol w:w="1285"/>
        <w:gridCol w:w="316"/>
        <w:gridCol w:w="1630"/>
        <w:gridCol w:w="316"/>
        <w:gridCol w:w="1959"/>
        <w:gridCol w:w="316"/>
        <w:gridCol w:w="2004"/>
        <w:gridCol w:w="363"/>
      </w:tblGrid>
      <w:tr>
        <w:trPr/>
        <w:tc>
          <w:tcPr>
            <w:tcW w:w="17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00"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285"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630"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959"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Smaller Reporting Company</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2004"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Arial" w:hAnsi="Arial"/>
                <w:color w:val="000000"/>
                <w:sz w:val="16"/>
              </w:rPr>
              <w:t>Emerging Growth Company</w:t>
            </w:r>
          </w:p>
        </w:tc>
        <w:tc>
          <w:tcPr>
            <w:tcW w:w="363"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As of May 7, 2026, there were 531,968</w:t>
      </w:r>
      <w:r>
        <w:rPr>
          <w:rFonts w:ascii="Times New Roman" w:hAnsi="Times New Roman"/>
          <w:color w:val="000000"/>
          <w:sz w:val="20"/>
        </w:rPr>
        <w:t xml:space="preserve"> </w:t>
      </w:r>
      <w:r>
        <w:rPr>
          <w:rFonts w:ascii="Arial" w:hAnsi="Arial"/>
          <w:color w:val="000000"/>
          <w:sz w:val="16"/>
        </w:rPr>
        <w:t>shares of common stock outstanding.</w:t>
      </w:r>
    </w:p>
    <w:p>
      <w:pPr>
        <w:pStyle w:val="TextBody"/>
        <w:pBdr>
          <w:bottom w:val="double" w:sz="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spacing w:before="240" w:after="283"/>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9858" w:type="dxa"/>
        <w:jc w:val="left"/>
        <w:tblInd w:w="0" w:type="dxa"/>
        <w:tblLayout w:type="fixed"/>
        <w:tblCellMar>
          <w:top w:w="28" w:type="dxa"/>
          <w:left w:w="28" w:type="dxa"/>
          <w:bottom w:w="28" w:type="dxa"/>
          <w:right w:w="28" w:type="dxa"/>
        </w:tblCellMar>
      </w:tblPr>
      <w:tblGrid>
        <w:gridCol w:w="1396"/>
        <w:gridCol w:w="7846"/>
        <w:gridCol w:w="616"/>
      </w:tblGrid>
      <w:tr>
        <w:trPr/>
        <w:tc>
          <w:tcPr>
            <w:tcW w:w="139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98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Arial" w:hAnsi="Arial"/>
                  <w:color w:val="0000FF"/>
                  <w:sz w:val="20"/>
                </w:rPr>
                <w:t>PART I.</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Arial" w:hAnsi="Arial"/>
                  <w:color w:val="0000FF"/>
                  <w:sz w:val="20"/>
                </w:rPr>
                <w:t>Financial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1">
              <w:r>
                <w:rPr>
                  <w:rStyle w:val="InternetLink"/>
                  <w:rFonts w:ascii="Arial" w:hAnsi="Arial"/>
                  <w:color w:val="0000FF"/>
                  <w:sz w:val="20"/>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1">
              <w:r>
                <w:rPr>
                  <w:rStyle w:val="InternetLink"/>
                  <w:rFonts w:ascii="Arial" w:hAnsi="Arial"/>
                  <w:color w:val="0000FF"/>
                  <w:sz w:val="20"/>
                </w:rPr>
                <w:t>Financial Statements (Unaudited)</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FF"/>
                  <w:sz w:val="20"/>
                </w:rPr>
                <w:t>Condensed Consolidated Balance Sheets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FF"/>
                  <w:sz w:val="20"/>
                </w:rPr>
                <w:t>Condensed Consolidated Statements of Operations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Arial" w:hAnsi="Arial"/>
                  <w:color w:val="0000FF"/>
                  <w:sz w:val="20"/>
                </w:rPr>
                <w:t>Condensed Consolidated Statements of Cash Flows</w:t>
              </w:r>
            </w:hyperlink>
            <w:hyperlink w:anchor="cash_flows">
              <w:r>
                <w:rPr>
                  <w:rStyle w:val="InternetLink"/>
                  <w:rFonts w:ascii="Times New Roman" w:hAnsi="Times New Roman"/>
                  <w:color w:val="0000FF"/>
                  <w:sz w:val="20"/>
                </w:rPr>
                <w:t xml:space="preserve"> </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rPr>
                <w:t>Condensed Consolidated Statements of Stockholders' Equity</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Arial" w:hAnsi="Arial"/>
                  <w:color w:val="0000FF"/>
                  <w:sz w:val="20"/>
                </w:rPr>
                <w:t>Notes to Condensed Consolidated Financial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2">
              <w:r>
                <w:rPr>
                  <w:rStyle w:val="InternetLink"/>
                  <w:rFonts w:ascii="Arial" w:hAnsi="Arial"/>
                  <w:color w:val="0000FF"/>
                  <w:sz w:val="20"/>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2">
              <w:r>
                <w:rPr>
                  <w:rStyle w:val="InternetLink"/>
                  <w:rFonts w:ascii="Arial" w:hAnsi="Arial"/>
                  <w:color w:val="0000FF"/>
                  <w:sz w:val="20"/>
                </w:rPr>
                <w:t>Management’s Discussion and Analysis of Financial Condition and Results of Operations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3">
              <w:r>
                <w:rPr>
                  <w:rStyle w:val="InternetLink"/>
                  <w:rFonts w:ascii="Arial" w:hAnsi="Arial"/>
                  <w:color w:val="0000FF"/>
                  <w:sz w:val="20"/>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3">
              <w:r>
                <w:rPr>
                  <w:rStyle w:val="InternetLink"/>
                  <w:rFonts w:ascii="Arial" w:hAnsi="Arial"/>
                  <w:color w:val="0000FF"/>
                  <w:sz w:val="20"/>
                </w:rPr>
                <w:t>Quantitative and Qualitative Disclosures about Market Risk</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4">
              <w:r>
                <w:rPr>
                  <w:rStyle w:val="InternetLink"/>
                  <w:rFonts w:ascii="Arial" w:hAnsi="Arial"/>
                  <w:color w:val="0000FF"/>
                  <w:sz w:val="20"/>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4">
              <w:r>
                <w:rPr>
                  <w:rStyle w:val="InternetLink"/>
                  <w:rFonts w:ascii="Arial" w:hAnsi="Arial"/>
                  <w:color w:val="0000FF"/>
                  <w:sz w:val="20"/>
                </w:rPr>
                <w:t>Controls and Procedures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98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rPr>
                <w:t>PART II.</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rPr>
                <w:t>Other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1">
              <w:r>
                <w:rPr>
                  <w:rStyle w:val="InternetLink"/>
                  <w:rFonts w:ascii="Arial" w:hAnsi="Arial"/>
                  <w:color w:val="0000FF"/>
                  <w:sz w:val="20"/>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1">
              <w:r>
                <w:rPr>
                  <w:rStyle w:val="InternetLink"/>
                  <w:rFonts w:ascii="Arial" w:hAnsi="Arial"/>
                  <w:color w:val="0000FF"/>
                  <w:sz w:val="20"/>
                </w:rPr>
                <w:t>Legal Proceedings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1a">
              <w:r>
                <w:rPr>
                  <w:rStyle w:val="InternetLink"/>
                  <w:rFonts w:ascii="Arial" w:hAnsi="Arial"/>
                  <w:color w:val="0000FF"/>
                  <w:sz w:val="20"/>
                </w:rPr>
                <w:t>Item 1A.</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1a">
              <w:r>
                <w:rPr>
                  <w:rStyle w:val="InternetLink"/>
                  <w:rFonts w:ascii="Arial" w:hAnsi="Arial"/>
                  <w:color w:val="0000FF"/>
                  <w:sz w:val="20"/>
                </w:rPr>
                <w:t>Risk Factors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2">
              <w:r>
                <w:rPr>
                  <w:rStyle w:val="InternetLink"/>
                  <w:rFonts w:ascii="Arial" w:hAnsi="Arial"/>
                  <w:color w:val="0000FF"/>
                  <w:sz w:val="20"/>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2">
              <w:r>
                <w:rPr>
                  <w:rStyle w:val="InternetLink"/>
                  <w:rFonts w:ascii="Arial" w:hAnsi="Arial"/>
                  <w:color w:val="0000FF"/>
                  <w:sz w:val="20"/>
                </w:rPr>
                <w:t>Unregistered Sales of Equity Securities and Use of Proceeds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3">
              <w:r>
                <w:rPr>
                  <w:rStyle w:val="InternetLink"/>
                  <w:rFonts w:ascii="Arial" w:hAnsi="Arial"/>
                  <w:color w:val="0000FF"/>
                  <w:sz w:val="20"/>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3">
              <w:r>
                <w:rPr>
                  <w:rStyle w:val="InternetLink"/>
                  <w:rFonts w:ascii="Arial" w:hAnsi="Arial"/>
                  <w:color w:val="0000FF"/>
                  <w:sz w:val="20"/>
                </w:rPr>
                <w:t>Defaults Upon Senior Securities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4">
              <w:r>
                <w:rPr>
                  <w:rStyle w:val="InternetLink"/>
                  <w:rFonts w:ascii="Arial" w:hAnsi="Arial"/>
                  <w:color w:val="0000FF"/>
                  <w:sz w:val="20"/>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4">
              <w:r>
                <w:rPr>
                  <w:rStyle w:val="InternetLink"/>
                  <w:rFonts w:ascii="Arial" w:hAnsi="Arial"/>
                  <w:color w:val="0000FF"/>
                  <w:sz w:val="20"/>
                </w:rPr>
                <w:t>Mine Safety Disclosures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5">
              <w:r>
                <w:rPr>
                  <w:rStyle w:val="InternetLink"/>
                  <w:rFonts w:ascii="Arial" w:hAnsi="Arial"/>
                  <w:color w:val="0000FF"/>
                  <w:sz w:val="20"/>
                </w:rPr>
                <w:t>Item 5.</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5">
              <w:r>
                <w:rPr>
                  <w:rStyle w:val="InternetLink"/>
                  <w:rFonts w:ascii="Arial" w:hAnsi="Arial"/>
                  <w:color w:val="0000FF"/>
                  <w:sz w:val="20"/>
                </w:rPr>
                <w:t>Other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rPr>
                <w:t>Item 6.</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rPr>
                <w:t>Exhibits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rPr>
                <w:t>SIGNATURES</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80" w:after="283"/>
        <w:jc w:val="both"/>
        <w:rPr>
          <w:rFonts w:ascii="Arial" w:hAnsi="Arial"/>
          <w:color w:val="000000"/>
          <w:sz w:val="20"/>
        </w:rPr>
      </w:pPr>
      <w:r>
        <w:rPr>
          <w:rFonts w:ascii="Arial" w:hAnsi="Arial"/>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continue as a going concern and support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expectations regarding the timing, likelihood, expected benefits of, and potential value created by, the recently completed merger transaction between us and Legacy Decoy;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maintain the listing of our shares of common stock on The Nasdaq Stock Market (“Nasdaq”), including specifically our ability to continue to comply with the minimum $2.5 million stockholders' equity requirement, and the effect of noncompliance on the potential liquidity and trading of our shares of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successfully manage our cash and cash equivalents and any anticipated proceeds from financing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acquire sufficient sources of funding if and when needed;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plans, strategies and objectives of management for future operations, including the execution of integration plans and the anticipated timing of filings, commencement of preclinical studies or clinical trials of our current and future program candidates, including statements regarding the timing of our planned regulatory communications, submissions and approvals, and release of data from such studies or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 xml:space="preserve">our belief regarding the sufficiency of our cash resources to support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liquidity position and the expected sufficiency of such position for anticipated operating and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plans to develop and commercialize potential product candidates, including planned preclinical, clinical, regulatory, commercialization and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expectations regarding the scope of any approved indication for any product candidate,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attraction and retention of highly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ability to protect and enhance our products and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developments and projections relating to our competitors or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relationships and actions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future regulatory, judicial and legislative changes in our industry;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any other statements of expectations, plans, intentions or beliefs, and any statements of assumptions underlying any of the foregoing.</w:t>
      </w:r>
    </w:p>
    <w:p>
      <w:pPr>
        <w:pStyle w:val="TextBody"/>
        <w:bidi w:val="0"/>
        <w:spacing w:before="240" w:after="283"/>
        <w:jc w:val="both"/>
        <w:rPr>
          <w:rFonts w:ascii="Times New Roman" w:hAnsi="Times New Roman"/>
          <w:sz w:val="20"/>
        </w:rPr>
      </w:pPr>
      <w:r>
        <w:rPr>
          <w:rFonts w:ascii="Arial" w:hAnsi="Arial"/>
          <w:color w:val="000000"/>
          <w:sz w:val="20"/>
        </w:rPr>
        <w:t>Forward-looking statements also include statements other than statements of current or historical fact, including, without limitation, all statements</w:t>
      </w:r>
      <w:r>
        <w:rPr>
          <w:rFonts w:ascii="Times New Roman" w:hAnsi="Times New Roman"/>
          <w:color w:val="000000"/>
          <w:sz w:val="20"/>
        </w:rPr>
        <w:t xml:space="preserve"> </w:t>
      </w:r>
      <w:r>
        <w:rPr>
          <w:rFonts w:ascii="Arial" w:hAnsi="Arial"/>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rFonts w:ascii="Times New Roman" w:hAnsi="Times New Roman"/>
          <w:color w:val="000000"/>
          <w:sz w:val="20"/>
        </w:rPr>
        <w:t xml:space="preserve"> “</w:t>
      </w:r>
      <w:r>
        <w:rPr>
          <w:rFonts w:ascii="Arial" w:hAnsi="Arial"/>
          <w:color w:val="000000"/>
          <w:sz w:val="20"/>
        </w:rPr>
        <w:t>target”,</w:t>
      </w:r>
      <w:r>
        <w:rPr>
          <w:rFonts w:ascii="Times New Roman" w:hAnsi="Times New Roman"/>
          <w:color w:val="000000"/>
          <w:sz w:val="20"/>
        </w:rPr>
        <w:t xml:space="preserve"> “</w:t>
      </w:r>
      <w:r>
        <w:rPr>
          <w:rFonts w:ascii="Arial" w:hAnsi="Arial"/>
          <w:color w:val="000000"/>
          <w:sz w:val="20"/>
        </w:rPr>
        <w:t>potential,” “evaluate,” “proceeding.”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risk that the recently completed merger transaction with Legacy Decoy may not enhance stockholder value and may adversely affect our operating results, business or investor perceptions;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raise additional funds when necessary, and/or on acceptable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adequacy of our capital to support our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obtain and maintain regulatory approvals for our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potential impact of changes and disruptions at the FDA, including a reduction in the FDA’s workforce and/or decreased funding for the FDA,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identify patients that can be treated by our potential product candidates and to enroll these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successfully commercialize our potential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leverage technology to identify and develop future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fluctuations in our operating results;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other factors described in our filings with the SEC.</w:t>
      </w:r>
    </w:p>
    <w:p>
      <w:pPr>
        <w:pStyle w:val="TextBody"/>
        <w:bidi w:val="0"/>
        <w:spacing w:before="240" w:after="283"/>
        <w:jc w:val="both"/>
        <w:rPr>
          <w:rFonts w:ascii="Arial" w:hAnsi="Arial"/>
          <w:color w:val="000000"/>
          <w:sz w:val="20"/>
        </w:rPr>
      </w:pPr>
      <w:r>
        <w:rPr>
          <w:rFonts w:ascii="Arial" w:hAnsi="Arial"/>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2025,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before="240" w:after="283"/>
        <w:jc w:val="both"/>
        <w:rPr>
          <w:rFonts w:ascii="Arial" w:hAnsi="Arial"/>
          <w:color w:val="000000"/>
          <w:sz w:val="20"/>
        </w:rPr>
      </w:pPr>
      <w:r>
        <w:rPr>
          <w:rFonts w:ascii="Arial" w:hAnsi="Arial"/>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3" w:name="part_1"/>
      <w:bookmarkEnd w:id="3"/>
      <w:r>
        <w:rPr>
          <w:rFonts w:ascii="Arial" w:hAnsi="Arial"/>
          <w:b/>
          <w:color w:val="000000"/>
          <w:sz w:val="20"/>
        </w:rPr>
        <w:t>PART I - FINANCIAL INFORMATION</w:t>
      </w:r>
    </w:p>
    <w:p>
      <w:pPr>
        <w:pStyle w:val="TextBody"/>
        <w:bidi w:val="0"/>
        <w:spacing w:before="200" w:after="283"/>
        <w:jc w:val="both"/>
        <w:rPr>
          <w:rFonts w:ascii="Arial" w:hAnsi="Arial"/>
          <w:b/>
          <w:color w:val="000000"/>
          <w:sz w:val="20"/>
        </w:rPr>
      </w:pPr>
      <w:bookmarkStart w:id="4" w:name="part_1_1"/>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5" w:name="balance_sheets"/>
      <w:bookmarkEnd w:id="5"/>
      <w:r>
        <w:rPr>
          <w:rFonts w:ascii="Arial" w:hAnsi="Arial"/>
          <w:b/>
          <w:color w:val="000000"/>
          <w:sz w:val="20"/>
        </w:rPr>
        <w:t>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20"/>
        <w:gridCol w:w="286"/>
        <w:gridCol w:w="216"/>
        <w:gridCol w:w="1173"/>
        <w:gridCol w:w="166"/>
        <w:gridCol w:w="146"/>
        <w:gridCol w:w="253"/>
        <w:gridCol w:w="1372"/>
        <w:gridCol w:w="473"/>
      </w:tblGrid>
      <w:tr>
        <w:trPr/>
        <w:tc>
          <w:tcPr>
            <w:tcW w:w="6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Audited</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Cash, cash equivalents, and restricted cash</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7,820,608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10,709,937</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Prepaid expenses and other current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275,223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8,357,652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10,985,160</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40,559</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30,988</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8,423,275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11,056,707</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convertible preferred stock and stockholders'</w:t>
              <w:br/>
              <w:t>   equity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Accounts payable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936,030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940,586</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Accrued expenses and other current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861,748</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Deferred revenue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3,225,581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3,225,581</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Due to related party</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139,823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Total current liabilities</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4,545,890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5,167,738</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Total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4,545,890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5,167,738</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Commitments and contingencies (Note 5)</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10,000,000</w:t>
            </w:r>
            <w:r>
              <w:rPr>
                <w:rFonts w:ascii="Times New Roman" w:hAnsi="Times New Roman"/>
                <w:color w:val="000000"/>
                <w:sz w:val="20"/>
              </w:rPr>
              <w:t> </w:t>
            </w:r>
            <w:r>
              <w:rPr>
                <w:rFonts w:ascii="Arial" w:hAnsi="Arial"/>
                <w:color w:val="000000"/>
                <w:sz w:val="18"/>
              </w:rPr>
              <w:t xml:space="preserve">shares authorized; </w:t>
              <w:br/>
              <w:t>1,674</w:t>
            </w:r>
            <w:r>
              <w:rPr>
                <w:rFonts w:ascii="Times New Roman" w:hAnsi="Times New Roman"/>
                <w:color w:val="000000"/>
                <w:sz w:val="20"/>
              </w:rPr>
              <w:t> </w:t>
            </w:r>
            <w:r>
              <w:rPr>
                <w:rFonts w:ascii="Arial" w:hAnsi="Arial"/>
                <w:color w:val="000000"/>
                <w:sz w:val="18"/>
              </w:rPr>
              <w:t>and 1,674</w:t>
            </w:r>
            <w:r>
              <w:rPr>
                <w:rFonts w:ascii="Times New Roman" w:hAnsi="Times New Roman"/>
                <w:color w:val="000000"/>
                <w:sz w:val="20"/>
              </w:rPr>
              <w:t> </w:t>
            </w:r>
            <w:r>
              <w:rPr>
                <w:rFonts w:ascii="Arial" w:hAnsi="Arial"/>
                <w:color w:val="000000"/>
                <w:sz w:val="18"/>
              </w:rPr>
              <w:t>shares issued and outstanding at March 31, 2026 and December 31, 2025, respectively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100,000,000</w:t>
            </w:r>
            <w:r>
              <w:rPr>
                <w:rFonts w:ascii="Times New Roman" w:hAnsi="Times New Roman"/>
                <w:color w:val="000000"/>
                <w:sz w:val="20"/>
              </w:rPr>
              <w:t> </w:t>
            </w:r>
            <w:r>
              <w:rPr>
                <w:rFonts w:ascii="Arial" w:hAnsi="Arial"/>
                <w:color w:val="000000"/>
                <w:sz w:val="18"/>
              </w:rPr>
              <w:t>shares authorized;</w:t>
              <w:br/>
              <w:t>   531,968</w:t>
            </w:r>
            <w:r>
              <w:rPr>
                <w:rFonts w:ascii="Times New Roman" w:hAnsi="Times New Roman"/>
                <w:color w:val="000000"/>
                <w:sz w:val="20"/>
              </w:rPr>
              <w:t> </w:t>
            </w:r>
            <w:r>
              <w:rPr>
                <w:rFonts w:ascii="Arial" w:hAnsi="Arial"/>
                <w:color w:val="000000"/>
                <w:sz w:val="18"/>
              </w:rPr>
              <w:t>and 8,006</w:t>
            </w:r>
            <w:r>
              <w:rPr>
                <w:rFonts w:ascii="Times New Roman" w:hAnsi="Times New Roman"/>
                <w:color w:val="000000"/>
                <w:sz w:val="20"/>
              </w:rPr>
              <w:t> </w:t>
            </w:r>
            <w:r>
              <w:rPr>
                <w:rFonts w:ascii="Arial" w:hAnsi="Arial"/>
                <w:color w:val="000000"/>
                <w:sz w:val="18"/>
              </w:rPr>
              <w:t>shares issued and outstanding at</w:t>
              <w:br/>
              <w:t>   March 31, 2026 and December 31, 2025, respectively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 capital</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100,544,058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100,331,014</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(96,666,726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(94,442,098</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1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3,877,385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5,888,969</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8,423,275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11,056,707</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Historical common stock and additional paid-in capital amounts have been recast to reflect the 1-for-15 and 1-for-12 reverse stock splits effected on August 15, 2025 and March 6, 2026, respectively.</w:t>
      </w:r>
    </w:p>
    <w:p>
      <w:pPr>
        <w:pStyle w:val="TextBody"/>
        <w:bidi w:val="0"/>
        <w:spacing w:before="240" w:after="283"/>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6" w:name="statements_of_operations"/>
      <w:bookmarkEnd w:id="6"/>
      <w:r>
        <w:rPr>
          <w:rFonts w:ascii="Arial" w:hAnsi="Arial"/>
          <w:b/>
          <w:color w:val="000000"/>
          <w:sz w:val="20"/>
        </w:rPr>
        <w:t>CONDENSED CONSOLIDATED STATEMENTS OF OPERATIONS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8105" w:type="dxa"/>
        <w:jc w:val="left"/>
        <w:tblInd w:w="0" w:type="dxa"/>
        <w:tblLayout w:type="fixed"/>
        <w:tblCellMar>
          <w:top w:w="28" w:type="dxa"/>
          <w:left w:w="28" w:type="dxa"/>
          <w:bottom w:w="28" w:type="dxa"/>
          <w:right w:w="28" w:type="dxa"/>
        </w:tblCellMar>
      </w:tblPr>
      <w:tblGrid>
        <w:gridCol w:w="4546"/>
        <w:gridCol w:w="146"/>
        <w:gridCol w:w="211"/>
        <w:gridCol w:w="1021"/>
        <w:gridCol w:w="166"/>
        <w:gridCol w:w="146"/>
        <w:gridCol w:w="211"/>
        <w:gridCol w:w="1021"/>
        <w:gridCol w:w="166"/>
        <w:gridCol w:w="47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1,533,926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2,283,739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1,718,695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(2,283,739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(1,718,695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(1,709,533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(1,709,533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 attributable to</w:t>
              <w:br/>
              <w:t>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common shares used</w:t>
              <w:br/>
              <w:t>   in net loss per share attributable to common</w:t>
              <w:br/>
              <w:t>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Historical common stock and additional paid-in capital amounts have been recast to reflect the 1-for-15 and 1-for-12 reverse stock splits effected on August 15, 2025 and March 6, 2026, respectively.</w:t>
      </w:r>
    </w:p>
    <w:p>
      <w:pPr>
        <w:pStyle w:val="TextBody"/>
        <w:bidi w:val="0"/>
        <w:spacing w:before="240" w:after="283"/>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DECOY THEREPEUTICS INC.</w:t>
      </w:r>
    </w:p>
    <w:p>
      <w:pPr>
        <w:pStyle w:val="TextBody"/>
        <w:bidi w:val="0"/>
        <w:jc w:val="center"/>
        <w:rPr>
          <w:rFonts w:ascii="Arial" w:hAnsi="Arial"/>
          <w:b/>
          <w:color w:val="000000"/>
          <w:sz w:val="20"/>
        </w:rPr>
      </w:pPr>
      <w:bookmarkStart w:id="7" w:name="cash_flows"/>
      <w:bookmarkEnd w:id="7"/>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9584" w:type="dxa"/>
        <w:jc w:val="left"/>
        <w:tblInd w:w="0" w:type="dxa"/>
        <w:tblLayout w:type="fixed"/>
        <w:tblCellMar>
          <w:top w:w="28" w:type="dxa"/>
          <w:left w:w="28" w:type="dxa"/>
          <w:bottom w:w="28" w:type="dxa"/>
          <w:right w:w="28" w:type="dxa"/>
        </w:tblCellMar>
      </w:tblPr>
      <w:tblGrid>
        <w:gridCol w:w="5986"/>
        <w:gridCol w:w="246"/>
        <w:gridCol w:w="211"/>
        <w:gridCol w:w="1036"/>
        <w:gridCol w:w="166"/>
        <w:gridCol w:w="146"/>
        <w:gridCol w:w="211"/>
        <w:gridCol w:w="991"/>
        <w:gridCol w:w="591"/>
      </w:tblGrid>
      <w:tr>
        <w:trPr/>
        <w:tc>
          <w:tcPr>
            <w:tcW w:w="59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(2,224,628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(1,709,533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Equity-based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254,645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Accrued expenses and other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192,206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(1,181,714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0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equity securities,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655,202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on note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(109,636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545,566</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(2,889,329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(636,148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10,709,937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2,434,528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7,820,608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1,798,380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paid for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issuance costs for public offering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429,032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8" w:name="stockholders_equity"/>
      <w:bookmarkEnd w:id="8"/>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960" w:type="dxa"/>
        <w:jc w:val="left"/>
        <w:tblInd w:w="0" w:type="dxa"/>
        <w:tblLayout w:type="fixed"/>
        <w:tblCellMar>
          <w:top w:w="28" w:type="dxa"/>
          <w:left w:w="28" w:type="dxa"/>
          <w:bottom w:w="28" w:type="dxa"/>
          <w:right w:w="28" w:type="dxa"/>
        </w:tblCellMar>
      </w:tblPr>
      <w:tblGrid>
        <w:gridCol w:w="1336"/>
        <w:gridCol w:w="146"/>
        <w:gridCol w:w="146"/>
        <w:gridCol w:w="796"/>
        <w:gridCol w:w="146"/>
        <w:gridCol w:w="146"/>
        <w:gridCol w:w="249"/>
        <w:gridCol w:w="592"/>
        <w:gridCol w:w="146"/>
        <w:gridCol w:w="146"/>
        <w:gridCol w:w="149"/>
        <w:gridCol w:w="602"/>
        <w:gridCol w:w="146"/>
        <w:gridCol w:w="146"/>
        <w:gridCol w:w="249"/>
        <w:gridCol w:w="592"/>
        <w:gridCol w:w="146"/>
        <w:gridCol w:w="146"/>
        <w:gridCol w:w="146"/>
        <w:gridCol w:w="146"/>
        <w:gridCol w:w="1171"/>
        <w:gridCol w:w="146"/>
        <w:gridCol w:w="146"/>
        <w:gridCol w:w="151"/>
        <w:gridCol w:w="1170"/>
        <w:gridCol w:w="166"/>
        <w:gridCol w:w="146"/>
        <w:gridCol w:w="167"/>
        <w:gridCol w:w="1169"/>
        <w:gridCol w:w="21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83,435,312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(81,923,618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1,511,695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83,695,016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(83,633,151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61,866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531,968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100,331,014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(94,442,098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5,888,969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531,968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100,544,058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(96,666,726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3,877,385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Historical common stock and additional paid-in capital amounts have been recast to reflect the 1-for-15 and 1-for-12 reverse stock splits effected on August 15, 2025 and March 6, 2026, respectively.</w:t>
      </w:r>
    </w:p>
    <w:p>
      <w:pPr>
        <w:pStyle w:val="TextBody"/>
        <w:bidi w:val="0"/>
        <w:spacing w:before="240" w:after="283"/>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THERAPUTICS INC.</w:t>
      </w:r>
    </w:p>
    <w:p>
      <w:pPr>
        <w:pStyle w:val="TextBody"/>
        <w:bidi w:val="0"/>
        <w:jc w:val="center"/>
        <w:rPr>
          <w:rFonts w:ascii="Arial" w:hAnsi="Arial"/>
          <w:b/>
          <w:color w:val="000000"/>
          <w:sz w:val="20"/>
        </w:rPr>
      </w:pPr>
      <w:bookmarkStart w:id="9" w:name="notes_to_condensed"/>
      <w:bookmarkEnd w:id="9"/>
      <w:r>
        <w:rPr>
          <w:rFonts w:ascii="Arial" w:hAnsi="Arial"/>
          <w:b/>
          <w:color w:val="000000"/>
          <w:sz w:val="20"/>
        </w:rPr>
        <w:t>NOTES TO CONDENSED CONSOLIDATED FINANCIAL STATEMENTS</w:t>
      </w:r>
    </w:p>
    <w:p>
      <w:pPr>
        <w:pStyle w:val="TextBody"/>
        <w:bidi w:val="0"/>
        <w:spacing w:before="0" w:after="160"/>
        <w:jc w:val="center"/>
        <w:rPr>
          <w:rFonts w:ascii="Arial" w:hAnsi="Arial"/>
          <w:b/>
          <w:color w:val="000000"/>
          <w:sz w:val="20"/>
        </w:rPr>
      </w:pPr>
      <w:r>
        <w:rPr>
          <w:rFonts w:ascii="Arial" w:hAnsi="Arial"/>
          <w:b/>
          <w:color w:val="000000"/>
          <w:sz w:val="20"/>
        </w:rPr>
        <w:t>(Unaudited)</w:t>
      </w:r>
    </w:p>
    <w:p>
      <w:pPr>
        <w:pStyle w:val="TextBody"/>
        <w:bidi w:val="0"/>
        <w:spacing w:before="80" w:after="20"/>
        <w:jc w:val="left"/>
        <w:rPr>
          <w:rFonts w:ascii="Arial" w:hAnsi="Arial"/>
          <w:b/>
          <w:color w:val="000000"/>
          <w:sz w:val="20"/>
        </w:rPr>
      </w:pPr>
      <w:r>
        <w:rPr>
          <w:rFonts w:ascii="Arial" w:hAnsi="Arial"/>
          <w:b/>
          <w:color w:val="000000"/>
          <w:sz w:val="20"/>
        </w:rPr>
        <w:t>NOTE 1. ORGANIZATION AND OPERATIONS</w:t>
      </w:r>
    </w:p>
    <w:p>
      <w:pPr>
        <w:pStyle w:val="TextBody"/>
        <w:bidi w:val="0"/>
        <w:spacing w:before="220" w:after="20"/>
        <w:jc w:val="left"/>
        <w:rPr>
          <w:rFonts w:ascii="Arial" w:hAnsi="Arial"/>
          <w:b/>
          <w:color w:val="000000"/>
          <w:sz w:val="20"/>
        </w:rPr>
      </w:pPr>
      <w:r>
        <w:rPr>
          <w:rFonts w:ascii="Arial" w:hAnsi="Arial"/>
          <w:b/>
          <w:color w:val="000000"/>
          <w:sz w:val="20"/>
        </w:rPr>
        <w:t>Nature of Business</w:t>
      </w:r>
    </w:p>
    <w:p>
      <w:pPr>
        <w:pStyle w:val="TextBody"/>
        <w:bidi w:val="0"/>
        <w:spacing w:before="220" w:after="160"/>
        <w:jc w:val="both"/>
        <w:rPr>
          <w:rFonts w:ascii="Times New Roman" w:hAnsi="Times New Roman"/>
          <w:sz w:val="20"/>
        </w:rPr>
      </w:pPr>
      <w:r>
        <w:rPr>
          <w:rFonts w:ascii="Arial" w:hAnsi="Arial"/>
          <w:color w:val="000000"/>
          <w:sz w:val="20"/>
        </w:rPr>
        <w:t>Decoy Therapeutics Inc. (“Decoy” or the “Company”), together with its subsidiaries, Salarius Pharmaceuticals, LLC, Flex Innovation Group LLC, and TK Pharma, Inc., is a pre-clinical stage biotechnology company focused on advancing our pipeline of peptide conjugate therapeutics engineered through a proprietary IMP</w:t>
      </w:r>
      <w:r>
        <w:rPr>
          <w:rFonts w:ascii="Arial" w:hAnsi="Arial"/>
          <w:color w:val="000000"/>
          <w:sz w:val="13"/>
        </w:rPr>
        <w:t>3</w:t>
      </w:r>
      <w:r>
        <w:rPr>
          <w:rFonts w:ascii="Arial" w:hAnsi="Arial"/>
          <w:color w:val="000000"/>
          <w:sz w:val="20"/>
        </w:rPr>
        <w:t>ACT platform. Utilizing a novel IMP</w:t>
      </w:r>
      <w:r>
        <w:rPr>
          <w:rFonts w:ascii="Arial" w:hAnsi="Arial"/>
          <w:color w:val="000000"/>
          <w:sz w:val="13"/>
        </w:rPr>
        <w:t>3</w:t>
      </w:r>
      <w:r>
        <w:rPr>
          <w:rFonts w:ascii="Arial" w:hAnsi="Arial"/>
          <w:color w:val="000000"/>
          <w:sz w:val="20"/>
        </w:rPr>
        <w:t>ACT platform that increases the drug development speed and reduces the complexity of variant synthesis, the Company aims to build a robust portfolio of novel peptide conjugate therapeutics, initially focusing on infectious diseases and oncology. The Company currently has no products approved for commercial sales and has not generated any revenue from product sales.</w:t>
      </w:r>
    </w:p>
    <w:p>
      <w:pPr>
        <w:pStyle w:val="TextBody"/>
        <w:bidi w:val="0"/>
        <w:spacing w:before="80" w:after="283"/>
        <w:jc w:val="both"/>
        <w:rPr>
          <w:rFonts w:ascii="Arial" w:hAnsi="Arial"/>
          <w:color w:val="000000"/>
          <w:sz w:val="20"/>
        </w:rPr>
      </w:pPr>
      <w:r>
        <w:rPr>
          <w:rFonts w:ascii="Arial" w:hAnsi="Arial"/>
          <w:color w:val="000000"/>
          <w:sz w:val="20"/>
        </w:rPr>
        <w:t>Prior to January 8, 2026, the Company was known as Salarius Pharmaceuticals, Inc. (“Salarius”). In November 2025, Salarius completed a Merger (as defined below) with Decoy Therapeutics Inc. (“Legacy Decoy”) and conducted financings to raise capital for its business (together, along with future steps set forth elsewhere in this Annual Report on Form 10-K,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Except where the context otherwise requires or where otherwise indicated, all historical references to “Salarius” in this report refer to the Company prior to the Name Change. Prior to the Name Change, the Combined Company’s shares of common stock traded on the Nasdaq Capital Market (“Nasdaq”) under the symbol “SLRX.” Following the Name Change, the Combined Company’s shares of common stock now trade on the Nasdaq under the symbol “DCOY.”</w:t>
      </w:r>
    </w:p>
    <w:p>
      <w:pPr>
        <w:pStyle w:val="TextBody"/>
        <w:bidi w:val="0"/>
        <w:spacing w:before="240" w:after="283"/>
        <w:jc w:val="both"/>
        <w:rPr>
          <w:rFonts w:ascii="Times New Roman" w:hAnsi="Times New Roman"/>
          <w:sz w:val="20"/>
        </w:rPr>
      </w:pPr>
      <w:r>
        <w:rPr>
          <w:rFonts w:ascii="Arial" w:hAnsi="Arial"/>
          <w:color w:val="000000"/>
          <w:sz w:val="20"/>
        </w:rPr>
        <w:t xml:space="preserve">The Merger combines our complementary approaches to create a comprehensive drug development platform. </w:t>
      </w:r>
      <w:r>
        <w:rPr>
          <w:rFonts w:ascii="Arial" w:hAnsi="Arial"/>
          <w:color w:val="1A1918"/>
          <w:sz w:val="20"/>
        </w:rPr>
        <w:t>The Company's IMP³ACT platform is generating a pipeline of Designable Multi-Antivirals ("D-MAV") candidates across respiratory viruses, designed to be extended, not rebuilt, when the next threat emerges</w:t>
      </w:r>
      <w:r>
        <w:rPr>
          <w:rFonts w:ascii="Segoe UI;sans-serif" w:hAnsi="Segoe UI;sans-serif"/>
          <w:color w:val="1A1918"/>
          <w:sz w:val="18"/>
        </w:rPr>
        <w:t xml:space="preserve">. </w:t>
      </w:r>
      <w:r>
        <w:rPr>
          <w:rFonts w:ascii="Arial" w:hAnsi="Arial"/>
          <w:color w:val="1A1918"/>
          <w:sz w:val="20"/>
        </w:rPr>
        <w:t xml:space="preserve">Additionally, the pipeline include two small molecule drugs that address gene dysregulation: (1) SP-3164, a targeted protein degrader, and (2) seclidemstat (“SP-2577”), a targeted protein inhibitor. SP-2577 has received FDA fast track designation as </w:t>
      </w:r>
      <w:r>
        <w:rPr>
          <w:rFonts w:ascii="Arial" w:hAnsi="Arial"/>
          <w:color w:val="000000"/>
          <w:sz w:val="20"/>
        </w:rPr>
        <w:t>a potential treatment for Ewing sarcoma, a rare pediatric disease. We have supported The University of Texas MD Anderson Cancer Center (“MDACC”) in MDACC’s sponsored clinical trial evaluating SP-2577 in combination with azacytidine in adult patients with myelodysplastic syndromes and chronic myelomonocytic leukemia, which is no longer enrolling patients. The Company plans to integrate certain assets, particularly the proprietary compound SP-3164, to expand the Company's opportunities in creating a novel class of peptide conjugates called peptide-based proteolysis targeting chimeras (“P-PROTACs”). The Company believes the synergies from the Merger are evident in our combined approach to drug development, integrating expertise in peptide conjugates with our small molecule assets. This combination enables the Company to address a wider range of diseases and potentially “undruggable” targets.</w:t>
      </w:r>
    </w:p>
    <w:p>
      <w:pPr>
        <w:pStyle w:val="TextBody"/>
        <w:bidi w:val="0"/>
        <w:spacing w:before="240" w:after="240"/>
        <w:jc w:val="left"/>
        <w:rPr>
          <w:rFonts w:ascii="Arial" w:hAnsi="Arial"/>
          <w:b/>
          <w:color w:val="000000"/>
          <w:sz w:val="20"/>
        </w:rPr>
      </w:pPr>
      <w:r>
        <w:rPr>
          <w:rFonts w:ascii="Arial" w:hAnsi="Arial"/>
          <w:b/>
          <w:color w:val="000000"/>
          <w:sz w:val="20"/>
        </w:rPr>
        <w:t>Going Concern</w:t>
      </w:r>
    </w:p>
    <w:p>
      <w:pPr>
        <w:pStyle w:val="TextBody"/>
        <w:bidi w:val="0"/>
        <w:jc w:val="both"/>
        <w:rPr>
          <w:rFonts w:ascii="Arial" w:hAnsi="Arial"/>
          <w:color w:val="000000"/>
          <w:sz w:val="20"/>
        </w:rPr>
      </w:pPr>
      <w:r>
        <w:rPr>
          <w:rFonts w:ascii="Arial" w:hAnsi="Arial"/>
          <w:color w:val="000000"/>
          <w:sz w:val="20"/>
        </w:rPr>
        <w:t>Decoy has no products approved for commercial sale, has not generated any revenue from product sales to date and has had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entity,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Decoy's expected cash requirements, Decoy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pStyle w:val="TextBody"/>
        <w:bidi w:val="0"/>
        <w:spacing w:before="240" w:after="283"/>
        <w:jc w:val="both"/>
        <w:rPr>
          <w:rFonts w:ascii="Times New Roman" w:hAnsi="Times New Roman"/>
          <w:sz w:val="20"/>
        </w:rPr>
      </w:pPr>
      <w:r>
        <w:rPr>
          <w:rFonts w:ascii="Arial" w:hAnsi="Arial"/>
          <w:color w:val="000000"/>
          <w:sz w:val="20"/>
        </w:rPr>
        <w:t>If the Company is unable to obtain additional capital in the very near term, it will be forced to cease operations, liquidate its assets and pursue the winding down and dissolution of the Company.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40"/>
        <w:jc w:val="left"/>
        <w:rPr>
          <w:rFonts w:ascii="Arial" w:hAnsi="Arial"/>
          <w:b/>
          <w:color w:val="000000"/>
          <w:sz w:val="20"/>
        </w:rPr>
      </w:pPr>
      <w:r>
        <w:rPr>
          <w:rFonts w:ascii="Arial" w:hAnsi="Arial"/>
          <w:b/>
          <w:color w:val="000000"/>
          <w:sz w:val="20"/>
        </w:rPr>
        <w:t>Reverse Stock Split</w:t>
      </w:r>
    </w:p>
    <w:p>
      <w:pPr>
        <w:pStyle w:val="TextBody"/>
        <w:bidi w:val="0"/>
        <w:jc w:val="both"/>
        <w:rPr>
          <w:rFonts w:ascii="Times New Roman" w:hAnsi="Times New Roman"/>
          <w:sz w:val="20"/>
        </w:rPr>
      </w:pPr>
      <w:r>
        <w:rPr>
          <w:rFonts w:ascii="Arial" w:hAnsi="Arial"/>
          <w:color w:val="000000"/>
          <w:sz w:val="20"/>
        </w:rPr>
        <w:t>On March 5, 2026, the Company filed a Certificate of Amendment to the Company’s restated certificate of incorporation, as amended, with the Secretary of State of the State of Delaware to effect a 1-for-12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(the “2026 Reverse Stock Split”) which became effective as of March 6,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which became effective as of August 18, 2025. (the “2025 Reverse Stock Split”, and together with the 2026 Reverse Stock Split, the “Reverse Stock Splits”).</w:t>
      </w:r>
    </w:p>
    <w:p>
      <w:pPr>
        <w:pStyle w:val="TextBody"/>
        <w:bidi w:val="0"/>
        <w:spacing w:before="240" w:after="283"/>
        <w:jc w:val="both"/>
        <w:rPr>
          <w:rFonts w:ascii="Arial" w:hAnsi="Arial"/>
          <w:color w:val="000000"/>
          <w:sz w:val="20"/>
        </w:rPr>
      </w:pPr>
      <w:r>
        <w:rPr>
          <w:rFonts w:ascii="Arial" w:hAnsi="Arial"/>
          <w:color w:val="000000"/>
          <w:sz w:val="20"/>
        </w:rPr>
        <w:t>All historical share and per share amounts reflected throughout this report have been adjusted to reflect the Reverse Stock Splits.</w:t>
      </w:r>
    </w:p>
    <w:p>
      <w:pPr>
        <w:pStyle w:val="TextBody"/>
        <w:bidi w:val="0"/>
        <w:spacing w:before="240" w:after="283"/>
        <w:jc w:val="both"/>
        <w:rPr>
          <w:rFonts w:ascii="Arial" w:hAnsi="Arial"/>
          <w:b/>
          <w:color w:val="000000"/>
          <w:sz w:val="20"/>
        </w:rPr>
      </w:pPr>
      <w:r>
        <w:rPr>
          <w:rFonts w:ascii="Arial" w:hAnsi="Arial"/>
          <w:b/>
          <w:color w:val="000000"/>
          <w:sz w:val="20"/>
        </w:rPr>
        <w:t>NOTE 2. BASIS OF PRESENTATION AND SIGNIFICANT ACCOUNTING POLICIES</w:t>
      </w:r>
    </w:p>
    <w:p>
      <w:pPr>
        <w:pStyle w:val="TextBody"/>
        <w:bidi w:val="0"/>
        <w:spacing w:before="240" w:after="283"/>
        <w:jc w:val="both"/>
        <w:rPr>
          <w:rFonts w:ascii="Arial" w:hAnsi="Arial"/>
          <w:b/>
          <w:color w:val="000000"/>
          <w:sz w:val="20"/>
        </w:rPr>
      </w:pPr>
      <w:r>
        <w:rPr>
          <w:rFonts w:ascii="Arial" w:hAnsi="Arial"/>
          <w:b/>
          <w:color w:val="000000"/>
          <w:sz w:val="20"/>
        </w:rPr>
        <w:t>Basis of Presentation</w:t>
      </w:r>
    </w:p>
    <w:p>
      <w:pPr>
        <w:pStyle w:val="TextBody"/>
        <w:bidi w:val="0"/>
        <w:spacing w:before="240" w:after="283"/>
        <w:jc w:val="both"/>
        <w:rPr>
          <w:rFonts w:ascii="Arial" w:hAnsi="Arial"/>
          <w:color w:val="000000"/>
          <w:sz w:val="20"/>
        </w:rPr>
      </w:pPr>
      <w:r>
        <w:rPr>
          <w:rFonts w:ascii="Arial" w:hAnsi="Arial"/>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bidi w:val="0"/>
        <w:spacing w:before="240" w:after="283"/>
        <w:jc w:val="both"/>
        <w:rPr>
          <w:rFonts w:ascii="Arial" w:hAnsi="Arial"/>
          <w:b/>
          <w:color w:val="000000"/>
          <w:sz w:val="20"/>
        </w:rPr>
      </w:pPr>
      <w:r>
        <w:rPr>
          <w:rFonts w:ascii="Arial" w:hAnsi="Arial"/>
          <w:b/>
          <w:color w:val="000000"/>
          <w:sz w:val="20"/>
        </w:rPr>
        <w:t>Principles of Consolidation</w:t>
      </w:r>
    </w:p>
    <w:p>
      <w:pPr>
        <w:pStyle w:val="TextBody"/>
        <w:bidi w:val="0"/>
        <w:spacing w:before="240" w:after="283"/>
        <w:jc w:val="both"/>
        <w:rPr>
          <w:rFonts w:ascii="Arial" w:hAnsi="Arial"/>
          <w:color w:val="000000"/>
          <w:sz w:val="20"/>
        </w:rPr>
      </w:pPr>
      <w:r>
        <w:rPr>
          <w:rFonts w:ascii="Arial" w:hAnsi="Arial"/>
          <w:color w:val="000000"/>
          <w:sz w:val="20"/>
        </w:rPr>
        <w:t>The condensed consolidated financial statements include the accounts of the Company and its wholly owned subsidiaries as of March 31, 2026. All significant intercompany balances and transactions have been eliminated in consolidation.</w:t>
      </w:r>
    </w:p>
    <w:p>
      <w:pPr>
        <w:pStyle w:val="TextBody"/>
        <w:bidi w:val="0"/>
        <w:spacing w:before="240" w:after="283"/>
        <w:jc w:val="both"/>
        <w:rPr>
          <w:rFonts w:ascii="Arial" w:hAnsi="Arial"/>
          <w:b/>
          <w:color w:val="000000"/>
          <w:sz w:val="20"/>
        </w:rPr>
      </w:pPr>
      <w:r>
        <w:rPr>
          <w:rFonts w:ascii="Arial" w:hAnsi="Arial"/>
          <w:b/>
          <w:color w:val="000000"/>
          <w:sz w:val="20"/>
        </w:rPr>
        <w:t>Unaudited Interim Financial Information</w:t>
      </w:r>
    </w:p>
    <w:p>
      <w:pPr>
        <w:pStyle w:val="TextBody"/>
        <w:bidi w:val="0"/>
        <w:spacing w:before="240" w:after="283"/>
        <w:jc w:val="both"/>
        <w:rPr>
          <w:rFonts w:ascii="Times New Roman" w:hAnsi="Times New Roman"/>
          <w:sz w:val="20"/>
        </w:rPr>
      </w:pPr>
      <w:r>
        <w:rPr>
          <w:rFonts w:ascii="Arial" w:hAnsi="Arial"/>
          <w:color w:val="000000"/>
          <w:sz w:val="20"/>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2025 included elsewhere in the Company's Annual Report on Form 10-K filed with the SEC on March 31, 2026. In the opinion of management, the unaudited interim financial statements reflect all the adjustments (consisting of normal recurring adjustments) necessary to state fairly the Company’s financial position as of March 31, 2026 and the results of operations for the three months ended March 31, 2026 and 2025. The interim results of operations are not necessarily indicative of the results that may occur for the full fiscal year. The December 31, 2025</w:t>
      </w:r>
      <w:r>
        <w:rPr>
          <w:rFonts w:ascii="Times New Roman" w:hAnsi="Times New Roman"/>
          <w:color w:val="000000"/>
          <w:sz w:val="20"/>
        </w:rPr>
        <w:t xml:space="preserve"> </w:t>
      </w:r>
      <w:r>
        <w:rPr>
          <w:rFonts w:ascii="Arial" w:hAnsi="Arial"/>
          <w:color w:val="000000"/>
          <w:sz w:val="20"/>
        </w:rPr>
        <w:t>balance sheet included herein was derived from the audited financial statements, but does not include all disclosures, including notes, required by GAAP for complete financial statements.</w:t>
      </w:r>
    </w:p>
    <w:p>
      <w:pPr>
        <w:pStyle w:val="TextBody"/>
        <w:bidi w:val="0"/>
        <w:spacing w:before="240" w:after="283"/>
        <w:jc w:val="both"/>
        <w:rPr>
          <w:rFonts w:ascii="Arial" w:hAnsi="Arial"/>
          <w:b/>
          <w:color w:val="000000"/>
          <w:sz w:val="20"/>
        </w:rPr>
      </w:pPr>
      <w:r>
        <w:rPr>
          <w:rFonts w:ascii="Arial" w:hAnsi="Arial"/>
          <w:b/>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Cash, Cash Equivalents, and Restricted Cash</w:t>
      </w:r>
    </w:p>
    <w:p>
      <w:pPr>
        <w:pStyle w:val="TextBody"/>
        <w:bidi w:val="0"/>
        <w:spacing w:before="240" w:after="283"/>
        <w:jc w:val="both"/>
        <w:rPr>
          <w:rFonts w:ascii="Times New Roman" w:hAnsi="Times New Roman"/>
          <w:sz w:val="20"/>
        </w:rPr>
      </w:pPr>
      <w:r>
        <w:rPr>
          <w:rFonts w:ascii="Arial" w:hAnsi="Arial"/>
          <w:color w:val="000000"/>
          <w:sz w:val="20"/>
        </w:rPr>
        <w:t>Decoy considers all highly liquid investments with original maturities of three months or less to be cash equivalents. Approximately $3.0</w:t>
      </w:r>
      <w:r>
        <w:rPr>
          <w:rFonts w:ascii="Times New Roman" w:hAnsi="Times New Roman"/>
          <w:color w:val="000000"/>
          <w:sz w:val="20"/>
        </w:rPr>
        <w:t xml:space="preserve"> </w:t>
      </w:r>
      <w:r>
        <w:rPr>
          <w:rFonts w:ascii="Arial" w:hAnsi="Arial"/>
          <w:color w:val="000000"/>
          <w:sz w:val="20"/>
        </w:rPr>
        <w:t>million of our March 31, 2026 and December 31, 2025 cash position is restricted for use under our Gates Foundation Grant Agreement.</w:t>
      </w:r>
    </w:p>
    <w:p>
      <w:pPr>
        <w:pStyle w:val="TextBody"/>
        <w:bidi w:val="0"/>
        <w:spacing w:before="240" w:after="283"/>
        <w:jc w:val="both"/>
        <w:rPr>
          <w:rFonts w:ascii="Arial" w:hAnsi="Arial"/>
          <w:b/>
          <w:color w:val="000000"/>
          <w:sz w:val="20"/>
        </w:rPr>
      </w:pPr>
      <w:r>
        <w:rPr>
          <w:rFonts w:ascii="Arial" w:hAnsi="Arial"/>
          <w:b/>
          <w:color w:val="000000"/>
          <w:sz w:val="20"/>
        </w:rPr>
        <w:t>Financial Instruments and Credit Risks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credit risk include cash and cash equivalents.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pStyle w:val="TextBody"/>
        <w:bidi w:val="0"/>
        <w:spacing w:before="240" w:after="283"/>
        <w:jc w:val="both"/>
        <w:rPr>
          <w:rFonts w:ascii="Arial" w:hAnsi="Arial"/>
          <w:b/>
          <w:color w:val="000000"/>
          <w:sz w:val="20"/>
        </w:rPr>
      </w:pPr>
      <w:r>
        <w:rPr>
          <w:rFonts w:ascii="Arial" w:hAnsi="Arial"/>
          <w:b/>
          <w:color w:val="000000"/>
          <w:sz w:val="20"/>
        </w:rPr>
        <w:t>Warrants</w:t>
      </w:r>
    </w:p>
    <w:p>
      <w:pPr>
        <w:pStyle w:val="TextBody"/>
        <w:bidi w:val="0"/>
        <w:spacing w:before="240" w:after="283"/>
        <w:jc w:val="both"/>
        <w:rPr>
          <w:rFonts w:ascii="Arial" w:hAnsi="Arial"/>
          <w:color w:val="000000"/>
          <w:sz w:val="20"/>
        </w:rPr>
      </w:pPr>
      <w:r>
        <w:rPr>
          <w:rFonts w:ascii="Arial" w:hAnsi="Arial"/>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TextBody"/>
        <w:bidi w:val="0"/>
        <w:spacing w:before="240" w:after="283"/>
        <w:jc w:val="both"/>
        <w:rPr>
          <w:rFonts w:ascii="Arial" w:hAnsi="Arial"/>
          <w:b/>
          <w:color w:val="000000"/>
          <w:sz w:val="20"/>
        </w:rPr>
      </w:pPr>
      <w:r>
        <w:rPr>
          <w:rFonts w:ascii="Arial" w:hAnsi="Arial"/>
          <w:b/>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consist of expenses incurred in performing research and development activities, including pre-clinical studies.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240" w:after="283"/>
        <w:jc w:val="both"/>
        <w:rPr>
          <w:rFonts w:ascii="Arial" w:hAnsi="Arial"/>
          <w:b/>
          <w:color w:val="000000"/>
          <w:sz w:val="20"/>
        </w:rPr>
      </w:pPr>
      <w:r>
        <w:rPr>
          <w:rFonts w:ascii="Arial" w:hAnsi="Arial"/>
          <w:b/>
          <w:color w:val="000000"/>
          <w:sz w:val="20"/>
        </w:rPr>
        <w:t>Equity-Based Compensation</w:t>
      </w:r>
    </w:p>
    <w:p>
      <w:pPr>
        <w:pStyle w:val="TextBody"/>
        <w:bidi w:val="0"/>
        <w:spacing w:before="240" w:after="283"/>
        <w:jc w:val="both"/>
        <w:rPr>
          <w:rFonts w:ascii="Arial" w:hAnsi="Arial"/>
          <w:color w:val="000000"/>
          <w:sz w:val="20"/>
        </w:rPr>
      </w:pPr>
      <w:r>
        <w:rPr>
          <w:rFonts w:ascii="Arial" w:hAnsi="Arial"/>
          <w:color w:val="000000"/>
          <w:sz w:val="20"/>
        </w:rPr>
        <w:t>Decoy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uses the Black-Scholes option valuation model to estimate the fair value of stock options granted to employees and directors. Assumptions utilized in these models include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pStyle w:val="TextBody"/>
        <w:bidi w:val="0"/>
        <w:spacing w:before="240" w:after="283"/>
        <w:jc w:val="both"/>
        <w:rPr>
          <w:rFonts w:ascii="Arial" w:hAnsi="Arial"/>
          <w:b/>
          <w:color w:val="000000"/>
          <w:sz w:val="20"/>
        </w:rPr>
      </w:pPr>
      <w:r>
        <w:rPr>
          <w:rFonts w:ascii="Arial" w:hAnsi="Arial"/>
          <w:b/>
          <w:color w:val="000000"/>
          <w:sz w:val="20"/>
        </w:rPr>
        <w:t>Loss Per Share</w:t>
      </w:r>
    </w:p>
    <w:p>
      <w:pPr>
        <w:pStyle w:val="TextBody"/>
        <w:bidi w:val="0"/>
        <w:spacing w:before="240" w:after="283"/>
        <w:jc w:val="both"/>
        <w:rPr>
          <w:rFonts w:ascii="Arial" w:hAnsi="Arial"/>
          <w:color w:val="000000"/>
          <w:sz w:val="20"/>
        </w:rPr>
      </w:pPr>
      <w:r>
        <w:rPr>
          <w:rFonts w:ascii="Arial" w:hAnsi="Arial"/>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240" w:after="283"/>
        <w:jc w:val="both"/>
        <w:rPr>
          <w:rFonts w:ascii="Times New Roman" w:hAnsi="Times New Roman"/>
          <w:sz w:val="20"/>
        </w:rPr>
      </w:pPr>
      <w:r>
        <w:rPr>
          <w:rFonts w:ascii="Arial" w:hAnsi="Arial"/>
          <w:color w:val="000000"/>
          <w:sz w:val="20"/>
        </w:rPr>
        <w:t>The number of potentially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1,347,865</w:t>
      </w:r>
      <w:r>
        <w:rPr>
          <w:rFonts w:ascii="Times New Roman" w:hAnsi="Times New Roman"/>
          <w:color w:val="000000"/>
          <w:sz w:val="20"/>
        </w:rPr>
        <w:t xml:space="preserve"> </w:t>
      </w:r>
      <w:r>
        <w:rPr>
          <w:rFonts w:ascii="Arial" w:hAnsi="Arial"/>
          <w:color w:val="000000"/>
          <w:sz w:val="20"/>
        </w:rPr>
        <w:t>and 657</w:t>
      </w:r>
      <w:r>
        <w:rPr>
          <w:rFonts w:ascii="Times New Roman" w:hAnsi="Times New Roman"/>
          <w:color w:val="000000"/>
          <w:sz w:val="20"/>
        </w:rPr>
        <w:t xml:space="preserve"> </w:t>
      </w:r>
      <w:r>
        <w:rPr>
          <w:rFonts w:ascii="Arial" w:hAnsi="Arial"/>
          <w:color w:val="000000"/>
          <w:sz w:val="20"/>
        </w:rPr>
        <w:t>shares as of March 31, 2026 and 2025, respectively.</w:t>
      </w:r>
    </w:p>
    <w:p>
      <w:pPr>
        <w:pStyle w:val="TextBody"/>
        <w:bidi w:val="0"/>
        <w:spacing w:before="240" w:after="283"/>
        <w:jc w:val="both"/>
        <w:rPr>
          <w:rFonts w:ascii="Arial" w:hAnsi="Arial"/>
          <w:b/>
          <w:color w:val="000000"/>
          <w:sz w:val="20"/>
        </w:rPr>
      </w:pPr>
      <w:r>
        <w:rPr>
          <w:rFonts w:ascii="Arial" w:hAnsi="Arial"/>
          <w:b/>
          <w:color w:val="000000"/>
          <w:sz w:val="20"/>
        </w:rPr>
        <w:t>Income Taxes</w:t>
      </w:r>
    </w:p>
    <w:p>
      <w:pPr>
        <w:pStyle w:val="TextBody"/>
        <w:bidi w:val="0"/>
        <w:spacing w:before="240" w:after="283"/>
        <w:jc w:val="both"/>
        <w:rPr>
          <w:rFonts w:ascii="Arial" w:hAnsi="Arial"/>
          <w:color w:val="000000"/>
          <w:sz w:val="20"/>
        </w:rPr>
      </w:pPr>
      <w:r>
        <w:rPr>
          <w:rFonts w:ascii="Arial" w:hAnsi="Arial"/>
          <w:color w:val="000000"/>
          <w:sz w:val="20"/>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spacing w:before="240" w:after="283"/>
        <w:jc w:val="both"/>
        <w:rPr>
          <w:rFonts w:ascii="Arial" w:hAnsi="Arial"/>
          <w:color w:val="000000"/>
          <w:sz w:val="20"/>
        </w:rPr>
      </w:pPr>
      <w:r>
        <w:rPr>
          <w:rFonts w:ascii="Arial" w:hAnsi="Arial"/>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2026 and December 31, 2025,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bidi w:val="0"/>
        <w:spacing w:before="240" w:after="283"/>
        <w:jc w:val="left"/>
        <w:rPr>
          <w:rFonts w:ascii="Arial" w:hAnsi="Arial"/>
          <w:b/>
          <w:color w:val="000000"/>
          <w:sz w:val="20"/>
        </w:rPr>
      </w:pPr>
      <w:r>
        <w:rPr>
          <w:rFonts w:ascii="Arial" w:hAnsi="Arial"/>
          <w:b/>
          <w:color w:val="000000"/>
          <w:sz w:val="20"/>
        </w:rPr>
        <w:t>NOTE 3. PREPAID EXPENSES AND OTHER CURRENT ASSETS</w:t>
      </w:r>
    </w:p>
    <w:p>
      <w:pPr>
        <w:pStyle w:val="TextBody"/>
        <w:bidi w:val="0"/>
        <w:spacing w:before="240" w:after="283"/>
        <w:jc w:val="both"/>
        <w:rPr>
          <w:rFonts w:ascii="Times New Roman" w:hAnsi="Times New Roman"/>
          <w:sz w:val="20"/>
        </w:rPr>
      </w:pPr>
      <w:r>
        <w:rPr>
          <w:rFonts w:ascii="Arial" w:hAnsi="Arial"/>
          <w:color w:val="000000"/>
          <w:sz w:val="20"/>
        </w:rPr>
        <w:t>Prepaid expenses and other current assets at March 31, 2026 and December 31, 2025 consisted of the following:</w:t>
      </w:r>
      <w:r>
        <w:rPr>
          <w:rFonts w:ascii="Times New Roman" w:hAnsi="Times New Roman"/>
          <w:color w:val="000000"/>
          <w:sz w:val="20"/>
        </w:rPr>
        <w:t xml:space="preserve"> </w:t>
      </w:r>
    </w:p>
    <w:p>
      <w:pPr>
        <w:pStyle w:val="TextBody"/>
        <w:bidi w:val="0"/>
        <w:jc w:val="left"/>
        <w:rPr/>
      </w:pPr>
      <w:r>
        <w:rPr/>
        <w:t> </w:t>
      </w:r>
    </w:p>
    <w:tbl>
      <w:tblPr>
        <w:tblW w:w="8134" w:type="dxa"/>
        <w:jc w:val="left"/>
        <w:tblInd w:w="0" w:type="dxa"/>
        <w:tblLayout w:type="fixed"/>
        <w:tblCellMar>
          <w:top w:w="28" w:type="dxa"/>
          <w:left w:w="28" w:type="dxa"/>
          <w:bottom w:w="28" w:type="dxa"/>
          <w:right w:w="28" w:type="dxa"/>
        </w:tblCellMar>
      </w:tblPr>
      <w:tblGrid>
        <w:gridCol w:w="4321"/>
        <w:gridCol w:w="311"/>
        <w:gridCol w:w="1174"/>
        <w:gridCol w:w="146"/>
        <w:gridCol w:w="146"/>
        <w:gridCol w:w="386"/>
        <w:gridCol w:w="1459"/>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prepaid expense and current assets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prepaid expenses and other current assets</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Insurance is mainly comprised of prepaid directors' and officers' insurance. Other prepaid assets primarily include unamortized subscription fees, as well as security deposits related to our operating lease and equipment.</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NOTE 4. DEFERRED REVENUE AND GRANT REVENUE</w:t>
      </w:r>
    </w:p>
    <w:p>
      <w:pPr>
        <w:pStyle w:val="TextBody"/>
        <w:bidi w:val="0"/>
        <w:spacing w:before="240" w:after="283"/>
        <w:jc w:val="both"/>
        <w:rPr>
          <w:rFonts w:ascii="Times New Roman" w:hAnsi="Times New Roman"/>
          <w:sz w:val="20"/>
        </w:rPr>
      </w:pPr>
      <w:r>
        <w:rPr>
          <w:rFonts w:ascii="Arial" w:hAnsi="Arial"/>
          <w:color w:val="000000"/>
          <w:sz w:val="20"/>
        </w:rPr>
        <w:t>Cash received from grants in advance of incurring qualifying costs is recorded as deferred revenue and recognized as revenue when qualifying costs are incurred. Deferred revenue balances were $3.2</w:t>
      </w:r>
      <w:r>
        <w:rPr>
          <w:rFonts w:ascii="Times New Roman" w:hAnsi="Times New Roman"/>
          <w:color w:val="000000"/>
          <w:sz w:val="20"/>
        </w:rPr>
        <w:t xml:space="preserve"> </w:t>
      </w:r>
      <w:r>
        <w:rPr>
          <w:rFonts w:ascii="Arial" w:hAnsi="Arial"/>
          <w:color w:val="000000"/>
          <w:sz w:val="20"/>
        </w:rPr>
        <w:t>million and $3.2</w:t>
      </w:r>
      <w:r>
        <w:rPr>
          <w:rFonts w:ascii="Times New Roman" w:hAnsi="Times New Roman"/>
          <w:color w:val="000000"/>
          <w:sz w:val="20"/>
        </w:rPr>
        <w:t xml:space="preserve"> </w:t>
      </w:r>
      <w:r>
        <w:rPr>
          <w:rFonts w:ascii="Arial" w:hAnsi="Arial"/>
          <w:color w:val="000000"/>
          <w:sz w:val="20"/>
        </w:rPr>
        <w:t>million as of March 31, 2026 and December 31, 2025,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Legacy Decoy has received grants from two funding sources, including a private not-for-profit organization and a federal agency. Funds received in advance of services being performed are recorded as deferred revenue. Income under the not-for-profit and federal agency grants is recognized as labor and material costs are incurred. Labor costs are recognized based on actual salary costs incurred related to the projects, and material costs are recognized based on actual expenditures.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NOTE 5. COMMITMENTS AND CONTINGENCIES</w:t>
      </w:r>
    </w:p>
    <w:p>
      <w:pPr>
        <w:pStyle w:val="TextBody"/>
        <w:bidi w:val="0"/>
        <w:spacing w:before="240" w:after="283"/>
        <w:jc w:val="both"/>
        <w:rPr>
          <w:rFonts w:ascii="Times New Roman" w:hAnsi="Times New Roman"/>
          <w:sz w:val="20"/>
        </w:rPr>
      </w:pPr>
      <w:r>
        <w:rPr>
          <w:rFonts w:ascii="Arial" w:hAnsi="Arial"/>
          <w:b/>
          <w:color w:val="000000"/>
          <w:sz w:val="20"/>
        </w:rPr>
        <w:t>Key Relationship and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Legacy Decoy has received non-dilutive investments from the European Union’s IMI-CARE Consortium, The Gates Foundation, The U.S. Government’s Biological Research and Development Authority (“BARDA”) and Johnson &amp; Johnson through the U.S. Government’s Blue Knight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Gates Foundation</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received a foundation grant from the Gates Foundation for the development of a nasally inhaled, low cost, peptide conjugate pan-Coronavirus antiviral inhibitor. The initial award in September 6, 2021 provided up to a total of approximately $904,000</w:t>
      </w:r>
      <w:r>
        <w:rPr>
          <w:rFonts w:ascii="Times New Roman" w:hAnsi="Times New Roman"/>
          <w:color w:val="000000"/>
          <w:sz w:val="20"/>
        </w:rPr>
        <w:t xml:space="preserve"> </w:t>
      </w:r>
      <w:r>
        <w:rPr>
          <w:rFonts w:ascii="Arial" w:hAnsi="Arial"/>
          <w:color w:val="000000"/>
          <w:sz w:val="20"/>
        </w:rPr>
        <w:t>and expired on February 28, 2023. Legacy Decoy initially recorded the proceeds in deferred revenue. As work commenced under the grant, the Company recognizes income from deferred revenue.</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In 2023 the Company entered into a supplemental grant with the Gates Foundation for an additional $4,084,500</w:t>
      </w:r>
      <w:r>
        <w:rPr>
          <w:rFonts w:ascii="Times New Roman" w:hAnsi="Times New Roman"/>
          <w:color w:val="000000"/>
          <w:sz w:val="20"/>
        </w:rPr>
        <w:t xml:space="preserve"> </w:t>
      </w:r>
      <w:r>
        <w:rPr>
          <w:rFonts w:ascii="Arial" w:hAnsi="Arial"/>
          <w:color w:val="000000"/>
          <w:sz w:val="20"/>
        </w:rPr>
        <w:t>for continued work on the nasally inhaled, low cost, peptide conjugate pan-Coronavirus antiviral inhibitor referenced above. The Company received payment of $3,500,000</w:t>
      </w:r>
      <w:r>
        <w:rPr>
          <w:rFonts w:ascii="Times New Roman" w:hAnsi="Times New Roman"/>
          <w:color w:val="000000"/>
          <w:sz w:val="20"/>
        </w:rPr>
        <w:t xml:space="preserve"> </w:t>
      </w:r>
      <w:r>
        <w:rPr>
          <w:rFonts w:ascii="Arial" w:hAnsi="Arial"/>
          <w:color w:val="000000"/>
          <w:sz w:val="20"/>
        </w:rPr>
        <w:t>on September 28, 2023. The remaining $584,500</w:t>
      </w:r>
      <w:r>
        <w:rPr>
          <w:rFonts w:ascii="Times New Roman" w:hAnsi="Times New Roman"/>
          <w:color w:val="000000"/>
          <w:sz w:val="20"/>
        </w:rPr>
        <w:t xml:space="preserve"> </w:t>
      </w:r>
      <w:r>
        <w:rPr>
          <w:rFonts w:ascii="Arial" w:hAnsi="Arial"/>
          <w:color w:val="000000"/>
          <w:sz w:val="20"/>
        </w:rPr>
        <w:t>will be received after the completion of certain milestones.</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had approximately $2.9</w:t>
      </w:r>
      <w:r>
        <w:rPr>
          <w:rFonts w:ascii="Times New Roman" w:hAnsi="Times New Roman"/>
          <w:color w:val="000000"/>
          <w:sz w:val="20"/>
        </w:rPr>
        <w:t xml:space="preserve"> </w:t>
      </w:r>
      <w:r>
        <w:rPr>
          <w:rFonts w:ascii="Arial" w:hAnsi="Arial"/>
          <w:color w:val="000000"/>
          <w:sz w:val="20"/>
        </w:rPr>
        <w:t>million in both deferred revenue balance and restricted cash related to this grant at March 31, 2026 and December 31, 2025.</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Johnson and Johnson Quickfire Grants</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received a grant from the Johnson and Johnson through the U.S. government’s Blue Knight Program (Quickfire Grant) for experiments relating to the pharmacokinetics and tolerability of the aforementioned pan-Coronavirus inhibitor in the Human Airway Epithelium (HAE) model. The initial award to the Company on January 31, 2023 provided for $100,000. The Company initially records all grant proceeds in deferred income. As work commenced under the grant, the Company recognizes income from deferred revenue.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During 2023 the Company received $1,000,000</w:t>
      </w:r>
      <w:r>
        <w:rPr>
          <w:rFonts w:ascii="Times New Roman" w:hAnsi="Times New Roman"/>
          <w:color w:val="000000"/>
          <w:sz w:val="20"/>
        </w:rPr>
        <w:t xml:space="preserve"> </w:t>
      </w:r>
      <w:r>
        <w:rPr>
          <w:rFonts w:ascii="Arial" w:hAnsi="Arial"/>
          <w:color w:val="000000"/>
          <w:sz w:val="20"/>
        </w:rPr>
        <w:t>of additional Quickfire grant for work to investigate the potential for broader therapeutic use of the aforementioned pan-Coronavirus inhibitor.</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March 25, 2024 the Company received an additional grant of $250,000</w:t>
      </w:r>
      <w:r>
        <w:rPr>
          <w:rFonts w:ascii="Times New Roman" w:hAnsi="Times New Roman"/>
          <w:color w:val="000000"/>
          <w:sz w:val="20"/>
        </w:rPr>
        <w:t xml:space="preserve"> </w:t>
      </w:r>
      <w:r>
        <w:rPr>
          <w:rFonts w:ascii="Arial" w:hAnsi="Arial"/>
          <w:color w:val="000000"/>
          <w:sz w:val="20"/>
        </w:rPr>
        <w:t>Quickfire Grant for experiments relating to the pharmacokinetics and tolerability of the aforementioned pan-Coronavirus inhibitor in the Human Airway Epithelium (HAE) model. At March 31, 2026 the Company recorded the $250,000</w:t>
      </w:r>
      <w:r>
        <w:rPr>
          <w:rFonts w:ascii="Times New Roman" w:hAnsi="Times New Roman"/>
          <w:color w:val="000000"/>
          <w:sz w:val="20"/>
        </w:rPr>
        <w:t xml:space="preserve"> </w:t>
      </w:r>
      <w:r>
        <w:rPr>
          <w:rFonts w:ascii="Arial" w:hAnsi="Arial"/>
          <w:color w:val="000000"/>
          <w:sz w:val="20"/>
        </w:rPr>
        <w:t>proceeds in deferred revenue.</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recognized income of approximately $0</w:t>
      </w:r>
      <w:r>
        <w:rPr>
          <w:rFonts w:ascii="Times New Roman" w:hAnsi="Times New Roman"/>
          <w:color w:val="000000"/>
          <w:sz w:val="20"/>
        </w:rPr>
        <w:t xml:space="preserve"> </w:t>
      </w:r>
      <w:r>
        <w:rPr>
          <w:rFonts w:ascii="Arial" w:hAnsi="Arial"/>
          <w:color w:val="000000"/>
          <w:sz w:val="20"/>
        </w:rPr>
        <w:t>for the three months ended March 31, 2026 and March 31, 2025.</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Cancer Prevention and Research Institute of Texas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June 2016, the Company entered into a Cancer Research Grant Contract with CPRIT. Pursuant to the contract, CPRIT awarded the Company a grant up to $18.7</w:t>
      </w:r>
      <w:r>
        <w:rPr>
          <w:rFonts w:ascii="Times New Roman" w:hAnsi="Times New Roman"/>
          <w:color w:val="000000"/>
          <w:sz w:val="20"/>
        </w:rPr>
        <w:t xml:space="preserve"> </w:t>
      </w:r>
      <w:r>
        <w:rPr>
          <w:rFonts w:ascii="Arial" w:hAnsi="Arial"/>
          <w:color w:val="000000"/>
          <w:sz w:val="20"/>
        </w:rPr>
        <w:t>million, further modified to $16.1</w:t>
      </w:r>
      <w:r>
        <w:rPr>
          <w:rFonts w:ascii="Times New Roman" w:hAnsi="Times New Roman"/>
          <w:color w:val="000000"/>
          <w:sz w:val="20"/>
        </w:rPr>
        <w:t xml:space="preserve"> </w:t>
      </w:r>
      <w:r>
        <w:rPr>
          <w:rFonts w:ascii="Arial" w:hAnsi="Arial"/>
          <w:color w:val="000000"/>
          <w:sz w:val="20"/>
        </w:rPr>
        <w:t>million to fund development of LSD 1 inhibitor. The grant expired during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The Company agreed to retain its Texas headquarters address for three years post grant expiration.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bidi w:val="0"/>
        <w:spacing w:before="240" w:after="283"/>
        <w:jc w:val="both"/>
        <w:rPr>
          <w:rFonts w:ascii="Arial" w:hAnsi="Arial"/>
          <w:b/>
          <w:color w:val="000000"/>
          <w:sz w:val="20"/>
        </w:rPr>
      </w:pPr>
      <w:r>
        <w:rPr>
          <w:rFonts w:ascii="Arial" w:hAnsi="Arial"/>
          <w:b/>
          <w:color w:val="000000"/>
          <w:sz w:val="20"/>
        </w:rPr>
        <w:t>License Agreement with the University of Utah Research Foundation</w:t>
      </w:r>
    </w:p>
    <w:p>
      <w:pPr>
        <w:pStyle w:val="TextBody"/>
        <w:bidi w:val="0"/>
        <w:spacing w:before="240" w:after="283"/>
        <w:jc w:val="both"/>
        <w:rPr>
          <w:rFonts w:ascii="Arial" w:hAnsi="Arial"/>
          <w:color w:val="000000"/>
          <w:sz w:val="20"/>
        </w:rPr>
      </w:pPr>
      <w:r>
        <w:rPr>
          <w:rFonts w:ascii="Arial" w:hAnsi="Arial"/>
          <w:color w:val="000000"/>
          <w:sz w:val="20"/>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before="240" w:after="283"/>
        <w:jc w:val="both"/>
        <w:rPr>
          <w:rFonts w:ascii="Arial" w:hAnsi="Arial"/>
          <w:b/>
          <w:color w:val="000000"/>
          <w:sz w:val="20"/>
        </w:rPr>
      </w:pPr>
      <w:r>
        <w:rPr>
          <w:rFonts w:ascii="Arial" w:hAnsi="Arial"/>
          <w:b/>
          <w:color w:val="000000"/>
          <w:sz w:val="20"/>
        </w:rPr>
        <w:t>Lease Agreement</w:t>
      </w:r>
    </w:p>
    <w:p>
      <w:pPr>
        <w:pStyle w:val="TextBody"/>
        <w:bidi w:val="0"/>
        <w:spacing w:before="240" w:after="283"/>
        <w:jc w:val="both"/>
        <w:rPr>
          <w:rFonts w:ascii="Arial" w:hAnsi="Arial"/>
          <w:color w:val="000000"/>
          <w:sz w:val="20"/>
        </w:rPr>
      </w:pPr>
      <w:r>
        <w:rPr>
          <w:rFonts w:ascii="Arial" w:hAnsi="Arial"/>
          <w:color w:val="000000"/>
          <w:sz w:val="20"/>
        </w:rPr>
        <w:t>The Company presently leases office and laboratory space under operating lease agreements on a month to month basis.</w:t>
      </w:r>
    </w:p>
    <w:p>
      <w:pPr>
        <w:pStyle w:val="TextBody"/>
        <w:bidi w:val="0"/>
        <w:spacing w:before="240" w:after="283"/>
        <w:jc w:val="left"/>
        <w:rPr>
          <w:rFonts w:ascii="Times New Roman" w:hAnsi="Times New Roman"/>
          <w:sz w:val="20"/>
        </w:rPr>
      </w:pPr>
      <w:r>
        <w:rPr>
          <w:rFonts w:ascii="Arial" w:hAnsi="Arial"/>
          <w:b/>
          <w:color w:val="000000"/>
          <w:sz w:val="20"/>
        </w:rPr>
        <w:t>NOTE 6. FAIR VALUE OF FINANCIAL INSTRUMENTS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jc w:val="both"/>
        <w:rPr/>
      </w:pPr>
      <w:r>
        <w:rPr/>
        <w:t> </w:t>
      </w:r>
    </w:p>
    <w:tbl>
      <w:tblPr>
        <w:tblW w:w="7637" w:type="dxa"/>
        <w:jc w:val="left"/>
        <w:tblInd w:w="0" w:type="dxa"/>
        <w:tblLayout w:type="fixed"/>
        <w:tblCellMar>
          <w:top w:w="28" w:type="dxa"/>
          <w:left w:w="28" w:type="dxa"/>
          <w:bottom w:w="28" w:type="dxa"/>
          <w:right w:w="28" w:type="dxa"/>
        </w:tblCellMar>
      </w:tblPr>
      <w:tblGrid>
        <w:gridCol w:w="916"/>
        <w:gridCol w:w="6721"/>
      </w:tblGrid>
      <w:tr>
        <w:trPr/>
        <w:tc>
          <w:tcPr>
            <w:tcW w:w="91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Level 1 -</w:t>
            </w:r>
            <w:r>
              <w:rPr>
                <w:rFonts w:ascii="Times New Roman" w:hAnsi="Times New Roman"/>
                <w:color w:val="000000"/>
                <w:sz w:val="20"/>
              </w:rPr>
              <w:t xml:space="preserve"> </w:t>
            </w:r>
          </w:p>
        </w:tc>
        <w:tc>
          <w:tcPr>
            <w:tcW w:w="672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Unadjusted quoted prices in active markets for identical assets or liabilities.</w:t>
            </w:r>
          </w:p>
        </w:tc>
      </w:tr>
    </w:tbl>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708"/>
        <w:gridCol w:w="9497"/>
      </w:tblGrid>
      <w:tr>
        <w:trPr/>
        <w:tc>
          <w:tcPr>
            <w:tcW w:w="708" w:type="dxa"/>
            <w:tcBorders/>
            <w:vAlign w:val="center"/>
          </w:tcPr>
          <w:p>
            <w:pPr>
              <w:pStyle w:val="TableContents"/>
              <w:bidi w:val="0"/>
              <w:spacing w:before="0" w:after="283"/>
              <w:jc w:val="left"/>
              <w:rPr>
                <w:sz w:val="4"/>
                <w:szCs w:val="4"/>
              </w:rPr>
            </w:pPr>
            <w:r>
              <w:rPr>
                <w:sz w:val="4"/>
                <w:szCs w:val="4"/>
              </w:rPr>
            </w:r>
          </w:p>
        </w:tc>
        <w:tc>
          <w:tcPr>
            <w:tcW w:w="9497" w:type="dxa"/>
            <w:tcBorders/>
            <w:vAlign w:val="center"/>
          </w:tcPr>
          <w:p>
            <w:pPr>
              <w:pStyle w:val="TableContents"/>
              <w:bidi w:val="0"/>
              <w:spacing w:before="0" w:after="283"/>
              <w:jc w:val="left"/>
              <w:rPr>
                <w:sz w:val="4"/>
                <w:szCs w:val="4"/>
              </w:rPr>
            </w:pPr>
            <w:r>
              <w:rPr>
                <w:sz w:val="4"/>
                <w:szCs w:val="4"/>
              </w:rPr>
            </w:r>
          </w:p>
        </w:tc>
      </w:tr>
      <w:tr>
        <w:trPr/>
        <w:tc>
          <w:tcPr>
            <w:tcW w:w="7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Arial" w:hAnsi="Arial"/>
                <w:color w:val="000000"/>
                <w:sz w:val="20"/>
              </w:rPr>
              <w:t>Level 2 -</w:t>
            </w:r>
            <w:r>
              <w:rPr>
                <w:rFonts w:ascii="Times New Roman" w:hAnsi="Times New Roman"/>
                <w:color w:val="000000"/>
                <w:sz w:val="20"/>
              </w:rPr>
              <w:t xml:space="preserve"> </w:t>
            </w:r>
          </w:p>
        </w:tc>
        <w:tc>
          <w:tcPr>
            <w:tcW w:w="9497" w:type="dxa"/>
            <w:tcBorders/>
            <w:tcMar>
              <w:top w:w="0" w:type="dxa"/>
              <w:left w:w="0" w:type="dxa"/>
              <w:bottom w:w="0" w:type="dxa"/>
              <w:right w:w="0" w:type="dxa"/>
            </w:tcMar>
            <w:vAlign w:val="center"/>
          </w:tcPr>
          <w:p>
            <w:pPr>
              <w:pStyle w:val="TableContents"/>
              <w:bidi w:val="0"/>
              <w:spacing w:before="60" w:after="283"/>
              <w:jc w:val="both"/>
              <w:rPr>
                <w:rFonts w:ascii="Arial" w:hAnsi="Arial"/>
                <w:color w:val="000000"/>
                <w:sz w:val="20"/>
              </w:rPr>
            </w:pPr>
            <w:r>
              <w:rPr>
                <w:rFonts w:ascii="Arial" w:hAnsi="Arial"/>
                <w:color w:val="000000"/>
                <w:sz w:val="20"/>
              </w:rPr>
              <w:t>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tc>
      </w:tr>
      <w:tr>
        <w:trPr/>
        <w:tc>
          <w:tcPr>
            <w:tcW w:w="7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Arial" w:hAnsi="Arial"/>
                <w:color w:val="000000"/>
                <w:sz w:val="20"/>
              </w:rPr>
              <w:t>Level 3 -</w:t>
            </w:r>
            <w:r>
              <w:rPr>
                <w:rFonts w:ascii="Times New Roman" w:hAnsi="Times New Roman"/>
                <w:color w:val="000000"/>
                <w:sz w:val="20"/>
              </w:rPr>
              <w:t xml:space="preserve"> </w:t>
            </w:r>
          </w:p>
        </w:tc>
        <w:tc>
          <w:tcPr>
            <w:tcW w:w="9497" w:type="dxa"/>
            <w:tcBorders/>
            <w:tcMar>
              <w:top w:w="0" w:type="dxa"/>
              <w:left w:w="0" w:type="dxa"/>
              <w:bottom w:w="0" w:type="dxa"/>
              <w:right w:w="0" w:type="dxa"/>
            </w:tcMar>
            <w:vAlign w:val="center"/>
          </w:tcPr>
          <w:p>
            <w:pPr>
              <w:pStyle w:val="TableContents"/>
              <w:bidi w:val="0"/>
              <w:spacing w:before="60" w:after="283"/>
              <w:jc w:val="both"/>
              <w:rPr>
                <w:rFonts w:ascii="Arial" w:hAnsi="Arial"/>
                <w:color w:val="000000"/>
                <w:sz w:val="20"/>
              </w:rPr>
            </w:pPr>
            <w:r>
              <w:rPr>
                <w:rFonts w:ascii="Arial" w:hAnsi="Arial"/>
                <w:color w:val="000000"/>
                <w:sz w:val="20"/>
              </w:rPr>
              <w:t>Significant unobservable inputs including Decoy’s own assumptions in determining fair value.</w:t>
            </w:r>
          </w:p>
        </w:tc>
      </w:tr>
    </w:tbl>
    <w:p>
      <w:pPr>
        <w:pStyle w:val="TextBody"/>
        <w:bidi w:val="0"/>
        <w:spacing w:before="240" w:after="283"/>
        <w:jc w:val="both"/>
        <w:rPr>
          <w:rFonts w:ascii="Arial" w:hAnsi="Arial"/>
          <w:color w:val="000000"/>
          <w:sz w:val="20"/>
        </w:rPr>
      </w:pPr>
      <w:r>
        <w:rPr>
          <w:rFonts w:ascii="Arial" w:hAnsi="Arial"/>
          <w:color w:val="000000"/>
          <w:sz w:val="20"/>
        </w:rPr>
        <w:t>The Company believes the recorded values of its financial instruments, including cash and cash equivalents, accounts payable, and note payable approximate their fair values due to the short-term nature of these instruments.</w:t>
      </w:r>
    </w:p>
    <w:p>
      <w:pPr>
        <w:pStyle w:val="TextBody"/>
        <w:bidi w:val="0"/>
        <w:spacing w:before="240" w:after="283"/>
        <w:jc w:val="left"/>
        <w:rPr>
          <w:rFonts w:ascii="Arial" w:hAnsi="Arial"/>
          <w:b/>
          <w:color w:val="000000"/>
          <w:sz w:val="20"/>
        </w:rPr>
      </w:pPr>
      <w:r>
        <w:rPr>
          <w:rFonts w:ascii="Arial" w:hAnsi="Arial"/>
          <w:b/>
          <w:color w:val="000000"/>
          <w:sz w:val="20"/>
        </w:rPr>
        <w:t>NOTE 7. RELATED PARTY TRANSACTIONS</w:t>
      </w:r>
    </w:p>
    <w:p>
      <w:pPr>
        <w:pStyle w:val="TextBody"/>
        <w:bidi w:val="0"/>
        <w:spacing w:before="240" w:after="283"/>
        <w:jc w:val="both"/>
        <w:rPr>
          <w:rFonts w:ascii="Times New Roman" w:hAnsi="Times New Roman"/>
          <w:sz w:val="20"/>
        </w:rPr>
      </w:pPr>
      <w:r>
        <w:rPr>
          <w:rFonts w:ascii="Arial" w:hAnsi="Arial"/>
          <w:color w:val="000000"/>
          <w:sz w:val="20"/>
        </w:rPr>
        <w:t>As of March 31, 2026 and December 31, 2025, one officer/founder of the Company had an outstanding Demand Note in the principal amount of $55,555, plus accrued interest of approximately $13,000. This note accrues interest at 10% and has a maturity date of December 28, 2024. An agreement to exchange this note for Salarius Series B Preferred Stock was executed and the note was extinguished at the closing of the Merger.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2026 and December 31, 2025, one family member of an officer/founder of the Company had an outstanding Demand Note in the amount of $83,333, plus accrued interest of approximately $22,000</w:t>
      </w:r>
      <w:r>
        <w:rPr>
          <w:rFonts w:ascii="Times New Roman" w:hAnsi="Times New Roman"/>
          <w:color w:val="000000"/>
          <w:sz w:val="20"/>
        </w:rPr>
        <w:t xml:space="preserve"> </w:t>
      </w:r>
      <w:r>
        <w:rPr>
          <w:rFonts w:ascii="Arial" w:hAnsi="Arial"/>
          <w:color w:val="000000"/>
          <w:sz w:val="20"/>
        </w:rPr>
        <w:t>and an outstanding Promissory Note in the amount of $100,000, plus accrued interest of approximately $20,000. An agreement to exchange this note for Salarius Series B Preferred Stock was executed and the note was extinguished at the closing of the Merger. During the second half of 2024 and first half of 2025, founders of the Legacy Decoy loaned Legacy Decoy approximately $140,000</w:t>
      </w:r>
      <w:r>
        <w:rPr>
          <w:rFonts w:ascii="Times New Roman" w:hAnsi="Times New Roman"/>
          <w:color w:val="000000"/>
          <w:sz w:val="20"/>
        </w:rPr>
        <w:t xml:space="preserve"> </w:t>
      </w:r>
      <w:r>
        <w:rPr>
          <w:rFonts w:ascii="Arial" w:hAnsi="Arial"/>
          <w:color w:val="000000"/>
          <w:sz w:val="20"/>
        </w:rPr>
        <w:t>through non- interest bearing, open-ended maturity notes. As of July 22, 2025 these notes were amended to have a maturity date in November 2026. These notes were extinguished at the closing of the transaction with Legacy Decoy in November 2025.</w:t>
      </w:r>
    </w:p>
    <w:p>
      <w:pPr>
        <w:pStyle w:val="TextBody"/>
        <w:bidi w:val="0"/>
        <w:spacing w:before="240" w:after="283"/>
        <w:jc w:val="both"/>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NOTE 8. STOCKHOLDERS' EQUITY</w:t>
      </w:r>
    </w:p>
    <w:p>
      <w:pPr>
        <w:pStyle w:val="TextBody"/>
        <w:bidi w:val="0"/>
        <w:spacing w:before="240" w:after="283"/>
        <w:jc w:val="both"/>
        <w:rPr>
          <w:rFonts w:ascii="Arial" w:hAnsi="Arial"/>
          <w:b/>
          <w:color w:val="000000"/>
          <w:sz w:val="20"/>
        </w:rPr>
      </w:pPr>
      <w:r>
        <w:rPr>
          <w:rFonts w:ascii="Arial" w:hAnsi="Arial"/>
          <w:b/>
          <w:color w:val="000000"/>
          <w:sz w:val="20"/>
        </w:rPr>
        <w:t>Common Stock Issuances</w:t>
      </w:r>
    </w:p>
    <w:p>
      <w:pPr>
        <w:pStyle w:val="TextBody"/>
        <w:bidi w:val="0"/>
        <w:spacing w:before="240" w:after="283"/>
        <w:jc w:val="both"/>
        <w:rPr>
          <w:rFonts w:ascii="Times New Roman" w:hAnsi="Times New Roman"/>
          <w:sz w:val="20"/>
        </w:rPr>
      </w:pPr>
      <w:r>
        <w:rPr>
          <w:rFonts w:ascii="Arial" w:hAnsi="Arial"/>
          <w:color w:val="000000"/>
          <w:sz w:val="20"/>
        </w:rPr>
        <w:t>On February 5, 2021, the Company entered into an At the Market Offering Agreement ("ATM") with Ladenburg Thalmann &amp; Co. Inc. Under this agreement the Company is able to issue and sell, from time to time, shares of its common stock. During the three months ended March 31, 2025 the Company sold 1,966</w:t>
      </w:r>
      <w:r>
        <w:rPr>
          <w:rFonts w:ascii="Times New Roman" w:hAnsi="Times New Roman"/>
          <w:color w:val="000000"/>
          <w:sz w:val="20"/>
        </w:rPr>
        <w:t xml:space="preserve"> </w:t>
      </w:r>
      <w:r>
        <w:rPr>
          <w:rFonts w:ascii="Arial" w:hAnsi="Arial"/>
          <w:color w:val="000000"/>
          <w:sz w:val="20"/>
        </w:rPr>
        <w:t>shares of common stock in an "at the market offering" with gross proceeds of $0.4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December 12, 2024, the Company entered into a securities purchase agreement (the “ELOC Agreement”) with C/M Capital Master Fund, LP (the “Purchaser”), pursuant to which the Company, subject to the restrictions and satisfaction of the conditions in the ELOC Agreement, has the right, but not the obligation, to sell to the Purchaser, and the Purchaser is obligated to purchase, up to the lesser of (i) $10</w:t>
      </w:r>
      <w:r>
        <w:rPr>
          <w:rFonts w:ascii="Times New Roman" w:hAnsi="Times New Roman"/>
          <w:color w:val="000000"/>
          <w:sz w:val="20"/>
        </w:rPr>
        <w:t xml:space="preserve"> </w:t>
      </w:r>
      <w:r>
        <w:rPr>
          <w:rFonts w:ascii="Arial" w:hAnsi="Arial"/>
          <w:color w:val="000000"/>
          <w:sz w:val="20"/>
        </w:rPr>
        <w:t>million of newly issued shares (the “Purchase Shares”) of the Company’s common stock, $0.0001</w:t>
      </w:r>
      <w:r>
        <w:rPr>
          <w:rFonts w:ascii="Times New Roman" w:hAnsi="Times New Roman"/>
          <w:color w:val="000000"/>
          <w:sz w:val="20"/>
        </w:rPr>
        <w:t xml:space="preserve"> </w:t>
      </w:r>
      <w:r>
        <w:rPr>
          <w:rFonts w:ascii="Arial" w:hAnsi="Arial"/>
          <w:color w:val="000000"/>
          <w:sz w:val="20"/>
        </w:rPr>
        <w:t>par value per share (the “Common Stock”) and (ii) a specified cap dictated by the rules of the Nasdaq Stock Market. As consideration for the Purchaser’s execution and delivery of the ELOC Agreement, the Company has agreed to issue to the Purchaser, simultaneously with the delivery of any and all Purchase Shares purchased under the ELOC Agreement, a number of shares of Common Stock equal to one percent (1%) of the number of Purchase Shares actually sold in each sale under the ELOC Agreement (the “Commitment Shares” and, together with the Purchase Shares, the “Securities”).The Company issued 1,593</w:t>
      </w:r>
      <w:r>
        <w:rPr>
          <w:rFonts w:ascii="Times New Roman" w:hAnsi="Times New Roman"/>
          <w:color w:val="000000"/>
          <w:sz w:val="20"/>
        </w:rPr>
        <w:t xml:space="preserve"> </w:t>
      </w:r>
      <w:r>
        <w:rPr>
          <w:rFonts w:ascii="Arial" w:hAnsi="Arial"/>
          <w:color w:val="000000"/>
          <w:sz w:val="20"/>
        </w:rPr>
        <w:t>shares of common stock with proceeds of $0.7</w:t>
      </w:r>
      <w:r>
        <w:rPr>
          <w:rFonts w:ascii="Times New Roman" w:hAnsi="Times New Roman"/>
          <w:color w:val="000000"/>
          <w:sz w:val="20"/>
        </w:rPr>
        <w:t xml:space="preserve"> </w:t>
      </w:r>
      <w:r>
        <w:rPr>
          <w:rFonts w:ascii="Arial" w:hAnsi="Arial"/>
          <w:color w:val="000000"/>
          <w:sz w:val="20"/>
        </w:rPr>
        <w:t>million during the three months ended March 31, 2025 pursuant to the ELOC Agreement.</w:t>
      </w:r>
    </w:p>
    <w:p>
      <w:pPr>
        <w:pStyle w:val="TextBody"/>
        <w:bidi w:val="0"/>
        <w:spacing w:before="240" w:after="283"/>
        <w:jc w:val="both"/>
        <w:rPr>
          <w:rFonts w:ascii="Arial" w:hAnsi="Arial"/>
          <w:b/>
          <w:color w:val="000000"/>
          <w:sz w:val="20"/>
        </w:rPr>
      </w:pPr>
      <w:r>
        <w:rPr>
          <w:rFonts w:ascii="Arial" w:hAnsi="Arial"/>
          <w:b/>
          <w:color w:val="000000"/>
          <w:sz w:val="20"/>
        </w:rPr>
        <w:t>Preferred Stock Issued to Legacy Decoy Stockholders and Debtholders</w:t>
      </w:r>
    </w:p>
    <w:p>
      <w:pPr>
        <w:pStyle w:val="TextBody"/>
        <w:bidi w:val="0"/>
        <w:spacing w:before="240" w:after="283"/>
        <w:jc w:val="both"/>
        <w:rPr>
          <w:rFonts w:ascii="Times New Roman" w:hAnsi="Times New Roman"/>
          <w:sz w:val="20"/>
        </w:rPr>
      </w:pPr>
      <w:r>
        <w:rPr>
          <w:rFonts w:ascii="Arial" w:hAnsi="Arial"/>
          <w:color w:val="000000"/>
          <w:sz w:val="20"/>
        </w:rPr>
        <w:t>In November 2025, the Company issued 877.709 shares of Series A Non-Voting Convertible Preferred Stock (the "Series A Stock") and 796.306 shares of Series B Non-Voting Convertible Preferred Stock (the "Series B Stock") to former Legacy Decoy stockholders and debtholders. In connection with the adjustment to the conversion ratio in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certificate of designations for the Series A and Series B Preferred stock triggered by the Offering, the number of Company common shares underlying the issued and reserved shares of Series A and Series B Preferred Stock is 401,126.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 As of March 31, 2026 and December 31, 2025, no shares have been converted.</w:t>
      </w:r>
    </w:p>
    <w:p>
      <w:pPr>
        <w:pStyle w:val="TextBody"/>
        <w:bidi w:val="0"/>
        <w:spacing w:before="240" w:after="283"/>
        <w:jc w:val="both"/>
        <w:rPr>
          <w:rFonts w:ascii="Times New Roman" w:hAnsi="Times New Roman"/>
          <w:sz w:val="20"/>
        </w:rPr>
      </w:pPr>
      <w:r>
        <w:rPr>
          <w:rFonts w:ascii="Arial" w:hAnsi="Arial"/>
          <w:b/>
          <w:color w:val="000000"/>
          <w:sz w:val="20"/>
        </w:rPr>
        <w:t>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Offering closed on November 12, 2025, Salarius issued pre-funded warrants to purchase up to 179,361</w:t>
      </w:r>
      <w:r>
        <w:rPr>
          <w:rFonts w:ascii="Times New Roman" w:hAnsi="Times New Roman"/>
          <w:color w:val="000000"/>
          <w:sz w:val="20"/>
        </w:rPr>
        <w:t xml:space="preserve"> </w:t>
      </w:r>
      <w:r>
        <w:rPr>
          <w:rFonts w:ascii="Arial" w:hAnsi="Arial"/>
          <w:color w:val="000000"/>
          <w:sz w:val="20"/>
        </w:rPr>
        <w:t>shares of Common Stock. All pre-funded warrants from this Offering were fully exercised as of December 31, 2025. The Company also issued Series A warrants to purchase up to 388,889</w:t>
      </w:r>
      <w:r>
        <w:rPr>
          <w:rFonts w:ascii="Times New Roman" w:hAnsi="Times New Roman"/>
          <w:color w:val="000000"/>
          <w:sz w:val="20"/>
        </w:rPr>
        <w:t xml:space="preserve"> </w:t>
      </w:r>
      <w:r>
        <w:rPr>
          <w:rFonts w:ascii="Arial" w:hAnsi="Arial"/>
          <w:color w:val="000000"/>
          <w:sz w:val="20"/>
        </w:rPr>
        <w:t>shares of Common Stock, Series B warrants to purchase up to 388,889</w:t>
      </w:r>
      <w:r>
        <w:rPr>
          <w:rFonts w:ascii="Times New Roman" w:hAnsi="Times New Roman"/>
          <w:color w:val="000000"/>
          <w:sz w:val="20"/>
        </w:rPr>
        <w:t xml:space="preserve"> </w:t>
      </w:r>
      <w:r>
        <w:rPr>
          <w:rFonts w:ascii="Arial" w:hAnsi="Arial"/>
          <w:color w:val="000000"/>
          <w:sz w:val="20"/>
        </w:rPr>
        <w:t>shares of Common Stock, and up to 58,333</w:t>
      </w:r>
      <w:r>
        <w:rPr>
          <w:rFonts w:ascii="Times New Roman" w:hAnsi="Times New Roman"/>
          <w:color w:val="000000"/>
          <w:sz w:val="20"/>
        </w:rPr>
        <w:t xml:space="preserve"> </w:t>
      </w:r>
      <w:r>
        <w:rPr>
          <w:rFonts w:ascii="Arial" w:hAnsi="Arial"/>
          <w:color w:val="000000"/>
          <w:sz w:val="20"/>
        </w:rPr>
        <w:t>additional shares of Common Stock, Series A warrants to purchase up to an additional 58,333</w:t>
      </w:r>
      <w:r>
        <w:rPr>
          <w:rFonts w:ascii="Times New Roman" w:hAnsi="Times New Roman"/>
          <w:color w:val="000000"/>
          <w:sz w:val="20"/>
        </w:rPr>
        <w:t xml:space="preserve"> </w:t>
      </w:r>
      <w:r>
        <w:rPr>
          <w:rFonts w:ascii="Arial" w:hAnsi="Arial"/>
          <w:color w:val="000000"/>
          <w:sz w:val="20"/>
        </w:rPr>
        <w:t>shares of Common Stock and Series B warrants to purchase up to an additional 58,333</w:t>
      </w:r>
      <w:r>
        <w:rPr>
          <w:rFonts w:ascii="Times New Roman" w:hAnsi="Times New Roman"/>
          <w:color w:val="000000"/>
          <w:sz w:val="20"/>
        </w:rPr>
        <w:t xml:space="preserve"> </w:t>
      </w:r>
      <w:r>
        <w:rPr>
          <w:rFonts w:ascii="Arial" w:hAnsi="Arial"/>
          <w:color w:val="000000"/>
          <w:sz w:val="20"/>
        </w:rPr>
        <w:t>shares of Common Stock that may be purchased pursuant to a 45-day option to purchase additional securities granted to the Representative by the Company. The Company also issued warrants to the Representative to purchase up to 22,218</w:t>
      </w:r>
      <w:r>
        <w:rPr>
          <w:rFonts w:ascii="Times New Roman" w:hAnsi="Times New Roman"/>
          <w:color w:val="000000"/>
          <w:sz w:val="20"/>
        </w:rPr>
        <w:t xml:space="preserve"> </w:t>
      </w:r>
      <w:r>
        <w:rPr>
          <w:rFonts w:ascii="Arial" w:hAnsi="Arial"/>
          <w:color w:val="000000"/>
          <w:sz w:val="20"/>
        </w:rPr>
        <w:t>shares of Common Stock at an exercise price of $27.90</w:t>
      </w:r>
      <w:r>
        <w:rPr>
          <w:rFonts w:ascii="Times New Roman" w:hAnsi="Times New Roman"/>
          <w:color w:val="000000"/>
          <w:sz w:val="20"/>
        </w:rPr>
        <w:t xml:space="preserve"> </w:t>
      </w:r>
      <w:r>
        <w:rPr>
          <w:rFonts w:ascii="Arial" w:hAnsi="Arial"/>
          <w:color w:val="000000"/>
          <w:sz w:val="20"/>
        </w:rPr>
        <w:t>(the “Representative Warrants”). The Representative Warrants are exercisable at any time and from time to time, in whole or in part, until November 11, 2030, and have substantially similar terms to the Series A warrants. All Series A warrants, Series B warrants and Representative Warrants are outstanding at March 31, 2026 and December 31, 2025. All numbers were adjusted for 1-for-12 reverse stock split effective on March 6,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2026 and December 31, 2025, the Company had 481</w:t>
      </w:r>
      <w:r>
        <w:rPr>
          <w:rFonts w:ascii="Times New Roman" w:hAnsi="Times New Roman"/>
          <w:color w:val="000000"/>
          <w:sz w:val="20"/>
        </w:rPr>
        <w:t xml:space="preserve"> </w:t>
      </w:r>
      <w:r>
        <w:rPr>
          <w:rFonts w:ascii="Arial" w:hAnsi="Arial"/>
          <w:color w:val="000000"/>
          <w:sz w:val="20"/>
        </w:rPr>
        <w:t>outstanding warrants issued between 2020 and 2023, with exercise prices ranging from $2,970</w:t>
      </w:r>
      <w:r>
        <w:rPr>
          <w:rFonts w:ascii="Times New Roman" w:hAnsi="Times New Roman"/>
          <w:color w:val="000000"/>
          <w:sz w:val="20"/>
        </w:rPr>
        <w:t xml:space="preserve"> </w:t>
      </w:r>
      <w:r>
        <w:rPr>
          <w:rFonts w:ascii="Arial" w:hAnsi="Arial"/>
          <w:color w:val="000000"/>
          <w:sz w:val="20"/>
        </w:rPr>
        <w:t>to $42,552</w:t>
      </w:r>
      <w:r>
        <w:rPr>
          <w:rFonts w:ascii="Times New Roman" w:hAnsi="Times New Roman"/>
          <w:color w:val="000000"/>
          <w:sz w:val="20"/>
        </w:rPr>
        <w:t xml:space="preserve"> </w:t>
      </w:r>
      <w:r>
        <w:rPr>
          <w:rFonts w:ascii="Arial" w:hAnsi="Arial"/>
          <w:color w:val="000000"/>
          <w:sz w:val="20"/>
        </w:rPr>
        <w:t>per share.</w:t>
      </w:r>
    </w:p>
    <w:p>
      <w:pPr>
        <w:pStyle w:val="TextBody"/>
        <w:bidi w:val="0"/>
        <w:spacing w:before="240" w:after="283"/>
        <w:jc w:val="both"/>
        <w:rPr>
          <w:rFonts w:ascii="Times New Roman" w:hAnsi="Times New Roman"/>
          <w:sz w:val="20"/>
        </w:rPr>
      </w:pPr>
      <w:r>
        <w:rPr>
          <w:rFonts w:ascii="Arial" w:hAnsi="Arial"/>
          <w:color w:val="000000"/>
          <w:sz w:val="20"/>
        </w:rPr>
        <w:t>As of March 31, 2026 approximately 932,991</w:t>
      </w:r>
      <w:r>
        <w:rPr>
          <w:rFonts w:ascii="Times New Roman" w:hAnsi="Times New Roman"/>
          <w:color w:val="000000"/>
          <w:sz w:val="20"/>
        </w:rPr>
        <w:t xml:space="preserve"> </w:t>
      </w:r>
      <w:r>
        <w:rPr>
          <w:rFonts w:ascii="Arial" w:hAnsi="Arial"/>
          <w:color w:val="000000"/>
          <w:sz w:val="20"/>
        </w:rPr>
        <w:t>warrants remained outstanding</w:t>
      </w:r>
    </w:p>
    <w:p>
      <w:pPr>
        <w:pStyle w:val="TextBody"/>
        <w:bidi w:val="0"/>
        <w:jc w:val="both"/>
        <w:rPr/>
      </w:pPr>
      <w:r>
        <w:rPr/>
        <w:t> </w:t>
      </w:r>
    </w:p>
    <w:tbl>
      <w:tblPr>
        <w:tblW w:w="5914" w:type="dxa"/>
        <w:jc w:val="left"/>
        <w:tblInd w:w="0" w:type="dxa"/>
        <w:tblLayout w:type="fixed"/>
        <w:tblCellMar>
          <w:top w:w="28" w:type="dxa"/>
          <w:left w:w="28" w:type="dxa"/>
          <w:bottom w:w="28" w:type="dxa"/>
          <w:right w:w="28" w:type="dxa"/>
        </w:tblCellMar>
      </w:tblPr>
      <w:tblGrid>
        <w:gridCol w:w="3076"/>
        <w:gridCol w:w="146"/>
        <w:gridCol w:w="148"/>
        <w:gridCol w:w="797"/>
        <w:gridCol w:w="146"/>
        <w:gridCol w:w="380"/>
        <w:gridCol w:w="103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Warrants</w:t>
            </w:r>
            <w:r>
              <w:rPr>
                <w:rFonts w:ascii="Times New Roman" w:hAnsi="Times New Roman"/>
                <w:color w:val="000000"/>
                <w:sz w:val="18"/>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Weighted</w:t>
              <w:br/>
              <w:t>Average</w:t>
              <w:br/>
              <w:t>Exercise Price</w:t>
            </w:r>
            <w:r>
              <w:rPr>
                <w:rFonts w:ascii="Times New Roman" w:hAnsi="Times New Roman"/>
                <w:color w:val="000000"/>
                <w:sz w:val="18"/>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Outstanding at 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481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Outstanding at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932,991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0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26.06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Canceled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Outstanding at March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932,991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0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26.06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b/>
          <w:color w:val="000000"/>
          <w:sz w:val="20"/>
        </w:rPr>
        <w:t>NOTE 9. EQUITY-BASED COMPENSATION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Equity Incentive Plans</w:t>
      </w:r>
    </w:p>
    <w:p>
      <w:pPr>
        <w:pStyle w:val="TextBody"/>
        <w:bidi w:val="0"/>
        <w:spacing w:before="240" w:after="283"/>
        <w:jc w:val="both"/>
        <w:rPr>
          <w:rFonts w:ascii="Arial" w:hAnsi="Arial"/>
          <w:color w:val="000000"/>
          <w:sz w:val="20"/>
        </w:rPr>
      </w:pPr>
      <w:r>
        <w:rPr>
          <w:rFonts w:ascii="Arial" w:hAnsi="Arial"/>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The 2015 Plan expired in accordance with its terms in January 2025 and was replaced by a stockholder approved plan in February 2026.</w:t>
      </w:r>
    </w:p>
    <w:p>
      <w:pPr>
        <w:pStyle w:val="TextBody"/>
        <w:bidi w:val="0"/>
        <w:spacing w:before="24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stock options were granted during the three months ended March 31, 2026 and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stock option activity for employees and non-employees for the three months ended March 31, 2026 and 2025:</w:t>
      </w:r>
      <w:r>
        <w:rPr>
          <w:rFonts w:ascii="Times New Roman" w:hAnsi="Times New Roman"/>
          <w:color w:val="000000"/>
          <w:sz w:val="20"/>
        </w:rPr>
        <w:t xml:space="preserve"> </w:t>
      </w:r>
    </w:p>
    <w:p>
      <w:pPr>
        <w:pStyle w:val="TextBody"/>
        <w:bidi w:val="0"/>
        <w:jc w:val="left"/>
        <w:rPr/>
      </w:pPr>
      <w:r>
        <w:rPr/>
        <w:t> </w:t>
      </w:r>
    </w:p>
    <w:tbl>
      <w:tblPr>
        <w:tblW w:w="7444" w:type="dxa"/>
        <w:jc w:val="left"/>
        <w:tblInd w:w="0" w:type="dxa"/>
        <w:tblLayout w:type="fixed"/>
        <w:tblCellMar>
          <w:top w:w="28" w:type="dxa"/>
          <w:left w:w="28" w:type="dxa"/>
          <w:bottom w:w="28" w:type="dxa"/>
          <w:right w:w="28" w:type="dxa"/>
        </w:tblCellMar>
      </w:tblPr>
      <w:tblGrid>
        <w:gridCol w:w="3171"/>
        <w:gridCol w:w="146"/>
        <w:gridCol w:w="146"/>
        <w:gridCol w:w="676"/>
        <w:gridCol w:w="146"/>
        <w:gridCol w:w="146"/>
        <w:gridCol w:w="252"/>
        <w:gridCol w:w="1113"/>
        <w:gridCol w:w="146"/>
        <w:gridCol w:w="146"/>
        <w:gridCol w:w="1356"/>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Arial" w:hAnsi="Arial"/>
                <w:b/>
                <w:color w:val="000000"/>
                <w:sz w:val="18"/>
              </w:rPr>
            </w:pPr>
            <w:r>
              <w:rPr>
                <w:rFonts w:ascii="Arial" w:hAnsi="Arial"/>
                <w:b/>
                <w:color w:val="000000"/>
                <w:sz w:val="18"/>
              </w:rPr>
              <w:t>Weighted</w:t>
              <w:br/>
              <w:t>Average</w:t>
              <w:br/>
              <w:t>Remaining</w:t>
              <w:br/>
              <w:t>Contractual</w:t>
              <w:br/>
              <w:t>Term</w:t>
              <w:br/>
              <w:t>(in years)</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8.2</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13,980.60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7.51</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 xml:space="preserve">Shares and weighted average exercise price have been recast to reflect the 1-for-15 and 1-for-12 reverse stock splits effected on August 15, 2025 and March 6, 2026, respectively. </w:t>
      </w:r>
    </w:p>
    <w:p>
      <w:pPr>
        <w:pStyle w:val="TextBody"/>
        <w:bidi w:val="0"/>
        <w:spacing w:before="240" w:after="283"/>
        <w:jc w:val="both"/>
        <w:rPr>
          <w:rFonts w:ascii="Times New Roman" w:hAnsi="Times New Roman"/>
          <w:sz w:val="20"/>
        </w:rPr>
      </w:pPr>
      <w:r>
        <w:rPr>
          <w:rFonts w:ascii="Arial" w:hAnsi="Arial"/>
          <w:color w:val="000000"/>
          <w:sz w:val="20"/>
        </w:rPr>
        <w:t>As of March 31, 2026</w:t>
      </w:r>
      <w:r>
        <w:rPr>
          <w:rFonts w:ascii="Times New Roman" w:hAnsi="Times New Roman"/>
          <w:color w:val="000000"/>
          <w:sz w:val="20"/>
        </w:rPr>
        <w:t xml:space="preserve"> </w:t>
      </w:r>
      <w:r>
        <w:rPr>
          <w:rFonts w:ascii="Arial" w:hAnsi="Arial"/>
          <w:color w:val="000000"/>
          <w:sz w:val="20"/>
        </w:rPr>
        <w:t>and December 31, 2025, there was approximately $0.9</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0.37</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NOTE 10. SEGMENT REPORTING</w:t>
      </w:r>
    </w:p>
    <w:p>
      <w:pPr>
        <w:pStyle w:val="TextBody"/>
        <w:bidi w:val="0"/>
        <w:spacing w:before="240" w:after="283"/>
        <w:jc w:val="both"/>
        <w:rPr>
          <w:rFonts w:ascii="Times New Roman" w:hAnsi="Times New Roman"/>
          <w:sz w:val="20"/>
        </w:rPr>
      </w:pPr>
      <w:r>
        <w:rPr>
          <w:rFonts w:ascii="Arial" w:hAnsi="Arial"/>
          <w:color w:val="000000"/>
          <w:sz w:val="20"/>
        </w:rPr>
        <w:t>The Company has been concentrated on developing treatments for cancers caused by dysregulated gene expression. The current pipeline consists of two small molecule drugs: (1) SP-3164, a targeted protein degrader, (2) seclidemstat (“SP-2577”), a targeted protein inhibitor, as well as (3) IMP</w:t>
      </w:r>
      <w:r>
        <w:rPr>
          <w:rFonts w:ascii="Arial" w:hAnsi="Arial"/>
          <w:color w:val="000000"/>
          <w:sz w:val="13"/>
        </w:rPr>
        <w:t>3</w:t>
      </w:r>
      <w:r>
        <w:rPr>
          <w:rFonts w:ascii="Arial" w:hAnsi="Arial"/>
          <w:color w:val="000000"/>
          <w:sz w:val="20"/>
        </w:rPr>
        <w:t>ACT Platform, a single molecule that can activate or inhibit multiple targets/receptors in an additive or synergistic manner to achieve superior or multi-indication efficacy. The Company does not have any revenue generating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the three months end March 31, 2026 and 2025, the Company identified one</w:t>
      </w:r>
      <w:r>
        <w:rPr>
          <w:rFonts w:ascii="Times New Roman" w:hAnsi="Times New Roman"/>
          <w:color w:val="000000"/>
          <w:sz w:val="20"/>
        </w:rPr>
        <w:t xml:space="preserve"> </w:t>
      </w:r>
      <w:r>
        <w:rPr>
          <w:rFonts w:ascii="Arial" w:hAnsi="Arial"/>
          <w:color w:val="000000"/>
          <w:sz w:val="20"/>
        </w:rPr>
        <w:t>operating and reportable segment relating to its operations. The Company defines its operating segment based on internally reported financial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information that is regularly reviewed by the Chief Operating Decision Maker (the CODM), its Chief Executive Officer. The CODM reviews the segment’s loss based on net loss reported on the consolidated statement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pStyle w:val="TextBody"/>
        <w:bidi w:val="0"/>
        <w:jc w:val="left"/>
        <w:rPr/>
      </w:pPr>
      <w:r>
        <w:rPr/>
        <w:t> </w:t>
      </w:r>
    </w:p>
    <w:p>
      <w:pPr>
        <w:pStyle w:val="TextBody"/>
        <w:bidi w:val="0"/>
        <w:jc w:val="both"/>
        <w:rPr/>
      </w:pPr>
      <w:r>
        <w:rPr/>
        <w:t> </w:t>
      </w:r>
    </w:p>
    <w:tbl>
      <w:tblPr>
        <w:tblW w:w="6555" w:type="dxa"/>
        <w:jc w:val="left"/>
        <w:tblInd w:w="0" w:type="dxa"/>
        <w:tblLayout w:type="fixed"/>
        <w:tblCellMar>
          <w:top w:w="28" w:type="dxa"/>
          <w:left w:w="28" w:type="dxa"/>
          <w:bottom w:w="28" w:type="dxa"/>
          <w:right w:w="28" w:type="dxa"/>
        </w:tblCellMar>
      </w:tblPr>
      <w:tblGrid>
        <w:gridCol w:w="3436"/>
        <w:gridCol w:w="211"/>
        <w:gridCol w:w="146"/>
        <w:gridCol w:w="961"/>
        <w:gridCol w:w="146"/>
        <w:gridCol w:w="211"/>
        <w:gridCol w:w="146"/>
        <w:gridCol w:w="961"/>
        <w:gridCol w:w="14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SP-3164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SP-2577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IMP</w:t>
            </w:r>
            <w:r>
              <w:rPr>
                <w:rFonts w:ascii="Arial" w:hAnsi="Arial"/>
                <w:color w:val="000000"/>
                <w:sz w:val="13"/>
              </w:rPr>
              <w:t>3</w:t>
            </w:r>
            <w:r>
              <w:rPr>
                <w:rFonts w:ascii="Arial" w:hAnsi="Arial"/>
                <w:color w:val="000000"/>
                <w:sz w:val="20"/>
              </w:rPr>
              <w:t>ACT (Designable Multi-Antivirals)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Consulting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902,563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 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 cost and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2,283,739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1,718,695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2,224,628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1,709,533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10" w:name="part_1_2"/>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sz w:val="20"/>
        </w:rPr>
      </w:pPr>
      <w:r>
        <w:rPr>
          <w:rFonts w:ascii="Arial" w:hAnsi="Arial"/>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hAnsi="Arial"/>
          <w:color w:val="000000"/>
          <w:sz w:val="20"/>
        </w:rPr>
        <w:t>Annual Report</w:t>
      </w:r>
      <w:r>
        <w:rPr>
          <w:rFonts w:ascii="Times New Roman" w:hAnsi="Times New Roman"/>
          <w:color w:val="000000"/>
          <w:sz w:val="20"/>
        </w:rPr>
        <w:t xml:space="preserve"> </w:t>
      </w:r>
      <w:r>
        <w:rPr>
          <w:rFonts w:ascii="Arial" w:hAnsi="Arial"/>
          <w:i/>
          <w:color w:val="000000"/>
          <w:sz w:val="20"/>
        </w:rPr>
        <w:t xml:space="preserve">on Form 10-K for the year ended December 31, 2025, filed with the SEC on March 31, 2026.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hAnsi="Arial"/>
          <w:color w:val="000000"/>
          <w:sz w:val="20"/>
        </w:rPr>
        <w:t>Annual Report</w:t>
      </w:r>
      <w:r>
        <w:rPr>
          <w:rFonts w:ascii="Times New Roman" w:hAnsi="Times New Roman"/>
          <w:color w:val="000000"/>
          <w:sz w:val="20"/>
        </w:rPr>
        <w:t xml:space="preserve"> </w:t>
      </w:r>
      <w:r>
        <w:rPr>
          <w:rFonts w:ascii="Arial" w:hAnsi="Arial"/>
          <w:i/>
          <w:color w:val="000000"/>
          <w:sz w:val="20"/>
        </w:rPr>
        <w:t>on Form 10-K for the year ended December 31, 2025,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We are a pre-clinical stage biotechnology company focused on advancing our pipeline of peptide conjugate therapeutics engineered through our proprietary IMP</w:t>
      </w:r>
      <w:r>
        <w:rPr>
          <w:rFonts w:ascii="Arial" w:hAnsi="Arial"/>
          <w:color w:val="000000"/>
          <w:sz w:val="13"/>
        </w:rPr>
        <w:t>3</w:t>
      </w:r>
      <w:r>
        <w:rPr>
          <w:rFonts w:ascii="Arial" w:hAnsi="Arial"/>
          <w:color w:val="000000"/>
          <w:sz w:val="20"/>
        </w:rPr>
        <w:t>ACT platform. Our IMP</w:t>
      </w:r>
      <w:r>
        <w:rPr>
          <w:rFonts w:ascii="Arial" w:hAnsi="Arial"/>
          <w:color w:val="000000"/>
          <w:sz w:val="13"/>
        </w:rPr>
        <w:t>3</w:t>
      </w:r>
      <w:r>
        <w:rPr>
          <w:rFonts w:ascii="Arial" w:hAnsi="Arial"/>
          <w:color w:val="000000"/>
          <w:sz w:val="20"/>
        </w:rPr>
        <w:t>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Peptide conjugates are emerging as a major therapeutic drug modality, with the potential to transform multiple therapeutic areas. Utilizing our novel IMP</w:t>
      </w:r>
      <w:r>
        <w:rPr>
          <w:rFonts w:ascii="Arial" w:hAnsi="Arial"/>
          <w:color w:val="000000"/>
          <w:sz w:val="13"/>
        </w:rPr>
        <w:t>3</w:t>
      </w:r>
      <w:r>
        <w:rPr>
          <w:rFonts w:ascii="Arial" w:hAnsi="Arial"/>
          <w:color w:val="000000"/>
          <w:sz w:val="20"/>
        </w:rPr>
        <w:t>ACT platform that increases the drug development speed and reduces the complexity of variant synthesis, we aim to build a robust portfolio of novel peptide conjugate therapeutics, initially focusing on infectious diseases and oncology, with the goal of becoming a fully integrated biopharmaceutical company at the forefront of this field. Through this approach, we intend to revolutionize the design, development, and commercialization of peptide conjugate therapeutics. We have no products approved for commercial sales and have not generated any revenue from product sales.</w:t>
      </w:r>
    </w:p>
    <w:p>
      <w:pPr>
        <w:pStyle w:val="TextBody"/>
        <w:bidi w:val="0"/>
        <w:spacing w:before="240" w:after="283"/>
        <w:jc w:val="both"/>
        <w:rPr>
          <w:rFonts w:ascii="Times New Roman" w:hAnsi="Times New Roman"/>
          <w:sz w:val="20"/>
        </w:rPr>
      </w:pPr>
      <w:r>
        <w:rPr>
          <w:rFonts w:ascii="Arial" w:hAnsi="Arial"/>
          <w:color w:val="000000"/>
          <w:sz w:val="20"/>
        </w:rPr>
        <w:t>Prior to January 8, 2026, we were known as Salarius Pharmaceuticals, Inc. (“Salarius”). In November 2025, Salarius completed a merger (the “Merger”) with Legacy Decoy and conducted financings to raise capital for its business (together, along with future steps set forth elsewhere in this report,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Except where the context otherwise requires or where otherwise indicated, all historical references to “Salarius” in this report refer to the Company prior to the Name Change. Prior to the Name Change, the Combined Company’s shares of common stock traded on the Nasdaq Capital Market (“Nasdaq”) under the symbol “SLRX.” Following the Name Change, the Combined Company’s shares of common stock now trade on the Nasdaq under the symbol “DCOY.”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Merger combined our complementary approaches to create a comprehensive drug development platform. The Decoy IMP³ACT platform is generating a pipeline of Designable Multi-Antivirals ("D-MAV") candidates across respiratory viruses, designed to be extended, not rebuilt, when the next threat emerges. Additionally, two small molecule drugs that address gene dysregulation: (1) SP-3164, a targeted protein degrader, and (2) seclidemstat (“SP-2577”), a targeted protein inhibitor are legacy Salarius clinical candidates. We supported The University of Texas MD Anderson Cancer Center (“MDACC”) in MDACC’s sponsored clinical trial evaluating SP-2577 in combination with azacytidine in adult patients with myelodysplastic syndromes and chronic myelomonocytic leukemia through December, 2025. No further enrollment is planned. We intend to seek strategic alternatives for this program including potential out-licensing.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plan to integrate SP-3164 to expand our opportunities in creating a novel class of peptide conjugates called peptide-based proteolysis targeting chimeras (“P-PROTACs”). We believe the synergies from the Merger are evident in our combined approach to drug development, integrating expertise in peptide conjugates with our small molecule assets. This combination enables us to address a wider range of diseases and potentially “undruggable” targets.</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left"/>
        <w:rPr/>
      </w:pPr>
      <w:r>
        <w:rPr/>
        <w:t> </w:t>
      </w:r>
    </w:p>
    <w:p>
      <w:pPr>
        <w:pStyle w:val="TextBody"/>
        <w:bidi w:val="0"/>
        <w:spacing w:before="40" w:after="283"/>
        <w:jc w:val="both"/>
        <w:rPr>
          <w:rFonts w:ascii="Arial" w:hAnsi="Arial"/>
          <w:b/>
          <w:color w:val="000000"/>
          <w:sz w:val="20"/>
        </w:rPr>
      </w:pPr>
      <w:r>
        <w:rPr>
          <w:rFonts w:ascii="Arial" w:hAnsi="Arial"/>
          <w:b/>
          <w:color w:val="000000"/>
          <w:sz w:val="20"/>
        </w:rPr>
        <w:t>Recent Developments</w:t>
      </w:r>
    </w:p>
    <w:p>
      <w:pPr>
        <w:pStyle w:val="TextBody"/>
        <w:bidi w:val="0"/>
        <w:spacing w:before="240" w:after="283"/>
        <w:jc w:val="both"/>
        <w:rPr>
          <w:rFonts w:ascii="Arial" w:hAnsi="Arial"/>
          <w:i/>
          <w:color w:val="000000"/>
          <w:sz w:val="20"/>
        </w:rPr>
      </w:pPr>
      <w:r>
        <w:rPr>
          <w:rFonts w:ascii="Arial" w:hAnsi="Arial"/>
          <w:i/>
          <w:color w:val="000000"/>
          <w:sz w:val="20"/>
        </w:rPr>
        <w:t>Nasdaq Listing</w:t>
      </w:r>
    </w:p>
    <w:p>
      <w:pPr>
        <w:pStyle w:val="TextBody"/>
        <w:bidi w:val="0"/>
        <w:spacing w:before="240" w:after="283"/>
        <w:jc w:val="both"/>
        <w:rPr>
          <w:rFonts w:ascii="Times New Roman" w:hAnsi="Times New Roman"/>
          <w:sz w:val="20"/>
        </w:rPr>
      </w:pPr>
      <w:r>
        <w:rPr>
          <w:rFonts w:ascii="Arial" w:hAnsi="Arial"/>
          <w:color w:val="000000"/>
          <w:sz w:val="20"/>
        </w:rPr>
        <w:t>On December 31, 2025, the Company received written notice from Nasdaq that it was not in compliance with Nasdaq Listing Rule 5550(a)(2) because the closing bid price of the Company’s Common Stock for the last 30 consecutive business days was below the $1.00 per share minimum bid price requirement (the “Minimum Bid Price Requirement”). As the Company effected the 2025 Reverse Stock Split (as defined below) during the prior one-year period and remains subject to a mandatory panel monitor, the Company is not eligible for a 180-calendar day compliance period under Nasdaq listing rule 5810(c)(3)(A). The Company appealed the delisting determination by requesting a hearing before a Nasdaq Hearings Panel (the “Hearings Panel”). The Company presented its appeal to the Hearings Panel in early February 2026 and submitted a plan to regain compliance by March 20, 2026, including conducting a reverse stock split.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March 31, 2026, the Company received a written notice from NASDAQ notifying the Company that it regained compliance with Listing Rule 5550(a)(2), the “Bid Price Rule.”</w:t>
      </w:r>
    </w:p>
    <w:p>
      <w:pPr>
        <w:pStyle w:val="TextBody"/>
        <w:bidi w:val="0"/>
        <w:spacing w:before="40" w:after="283"/>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b/>
          <w:i/>
          <w:color w:val="000000"/>
          <w:sz w:val="20"/>
        </w:rPr>
      </w:pPr>
      <w:r>
        <w:rPr>
          <w:rFonts w:ascii="Arial" w:hAnsi="Arial"/>
          <w:b/>
          <w:i/>
          <w:color w:val="000000"/>
          <w:sz w:val="20"/>
        </w:rPr>
        <w:t>Three months ended March 31, 2026 Compared to the three months ended March 31, 2025</w:t>
      </w:r>
    </w:p>
    <w:p>
      <w:pPr>
        <w:pStyle w:val="TextBody"/>
        <w:bidi w:val="0"/>
        <w:spacing w:before="240" w:after="283"/>
        <w:jc w:val="both"/>
        <w:rPr>
          <w:rFonts w:ascii="Times New Roman" w:hAnsi="Times New Roman"/>
          <w:sz w:val="20"/>
        </w:rPr>
      </w:pPr>
      <w:r>
        <w:rPr>
          <w:rFonts w:ascii="Arial" w:hAnsi="Arial"/>
          <w:color w:val="000000"/>
          <w:sz w:val="20"/>
        </w:rPr>
        <w:t>The following table sets forth the condensed consolidated results of our operations for the three months ended March 31, 2026 compared to March 31, 2025.</w:t>
      </w:r>
      <w:r>
        <w:rPr>
          <w:rFonts w:ascii="Times New Roman" w:hAnsi="Times New Roman"/>
          <w:color w:val="000000"/>
          <w:sz w:val="20"/>
        </w:rPr>
        <w:t xml:space="preserve"> </w:t>
      </w:r>
    </w:p>
    <w:p>
      <w:pPr>
        <w:pStyle w:val="TextBody"/>
        <w:bidi w:val="0"/>
        <w:jc w:val="both"/>
        <w:rPr/>
      </w:pPr>
      <w:r>
        <w:rPr/>
        <w:t> </w:t>
      </w:r>
    </w:p>
    <w:tbl>
      <w:tblPr>
        <w:tblW w:w="8930" w:type="dxa"/>
        <w:jc w:val="left"/>
        <w:tblInd w:w="0" w:type="dxa"/>
        <w:tblLayout w:type="fixed"/>
        <w:tblCellMar>
          <w:top w:w="28" w:type="dxa"/>
          <w:left w:w="28" w:type="dxa"/>
          <w:bottom w:w="28" w:type="dxa"/>
          <w:right w:w="28" w:type="dxa"/>
        </w:tblCellMar>
      </w:tblPr>
      <w:tblGrid>
        <w:gridCol w:w="3391"/>
        <w:gridCol w:w="323"/>
        <w:gridCol w:w="1471"/>
        <w:gridCol w:w="223"/>
        <w:gridCol w:w="223"/>
        <w:gridCol w:w="323"/>
        <w:gridCol w:w="1471"/>
        <w:gridCol w:w="146"/>
        <w:gridCol w:w="146"/>
        <w:gridCol w:w="146"/>
        <w:gridCol w:w="856"/>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749,813</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1,533,926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1,643,163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(109,237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 and other</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59,111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2,224,628</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1,709,533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515,095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Research and Development Expenses</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increased during the three months ended March 31, 2026 compared to the same period in 2025 primarily related to the Company’s merger in November 2025 and the resulting addition of the IMP</w:t>
      </w:r>
      <w:r>
        <w:rPr>
          <w:rFonts w:ascii="Arial" w:hAnsi="Arial"/>
          <w:color w:val="000000"/>
          <w:sz w:val="13"/>
        </w:rPr>
        <w:t>3</w:t>
      </w:r>
      <w:r>
        <w:rPr>
          <w:rFonts w:ascii="Arial" w:hAnsi="Arial"/>
          <w:color w:val="000000"/>
          <w:sz w:val="20"/>
        </w:rPr>
        <w:t>ACT (</w:t>
      </w:r>
      <w:r>
        <w:rPr>
          <w:rFonts w:ascii="Arial" w:hAnsi="Arial"/>
          <w:color w:val="1A1918"/>
          <w:sz w:val="20"/>
        </w:rPr>
        <w:t>Designable Multi-Antivirals)</w:t>
      </w:r>
      <w:r>
        <w:rPr>
          <w:rFonts w:ascii="Times New Roman" w:hAnsi="Times New Roman"/>
          <w:color w:val="000000"/>
          <w:sz w:val="20"/>
        </w:rPr>
        <w:t xml:space="preserve"> </w:t>
      </w:r>
      <w:r>
        <w:rPr>
          <w:rFonts w:ascii="Arial" w:hAnsi="Arial"/>
          <w:color w:val="000000"/>
          <w:sz w:val="20"/>
        </w:rPr>
        <w:t>program. We anticipate higher research and development expense in upcoming quarters as the Company continues on its intended path to file an IND application with the FDA or the European equivalent CTA during the first half of 2027.</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41"/>
        <w:gridCol w:w="146"/>
        <w:gridCol w:w="211"/>
        <w:gridCol w:w="586"/>
        <w:gridCol w:w="146"/>
        <w:gridCol w:w="146"/>
        <w:gridCol w:w="211"/>
        <w:gridCol w:w="691"/>
        <w:gridCol w:w="146"/>
        <w:gridCol w:w="146"/>
        <w:gridCol w:w="211"/>
        <w:gridCol w:w="691"/>
        <w:gridCol w:w="146"/>
        <w:gridCol w:w="146"/>
        <w:gridCol w:w="211"/>
        <w:gridCol w:w="691"/>
        <w:gridCol w:w="146"/>
        <w:gridCol w:w="146"/>
        <w:gridCol w:w="211"/>
        <w:gridCol w:w="796"/>
        <w:gridCol w:w="146"/>
        <w:gridCol w:w="146"/>
        <w:gridCol w:w="211"/>
        <w:gridCol w:w="346"/>
        <w:gridCol w:w="191"/>
      </w:tblGrid>
      <w:tr>
        <w:trPr/>
        <w:tc>
          <w:tcPr>
            <w:tcW w:w="3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SP-2577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SP-3164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IMP3ACT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Research and development costs by</w:t>
              <w:br/>
              <w:t>   candidates and by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Outsourced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Manufacturing and laboratory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726,343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were $1.5 million during the three months ended March 31, 2026, compared to $1.6 million for the three months ended March 31, 2025. The Company incurred higher professional expense related to the acquisition in 2025 and included Legacy Decoy operations during the current quarter. On January 10, 2025, the Company entered into an Agreement and Plan of Merger and incurred substantial legal and professional fees during the first quarter of 2025, all attributable to Salarius. Current period spending includes combined Company costs, including increased personnel costs, as well as professional fees associated with the Company’s special meeting of Shareholders held in February 2026 in connection with the stock split.</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b/>
          <w:i/>
          <w:color w:val="000000"/>
          <w:sz w:val="20"/>
        </w:rPr>
      </w:pPr>
      <w:r>
        <w:rPr>
          <w:rFonts w:ascii="Arial" w:hAnsi="Arial"/>
          <w:b/>
          <w:i/>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Since inception, we have incurred operating losses and we anticipate that we will continue to incur losses for the foreseeable future. We have not generated any cash inflows from product sales. We do not know when, or if, we will generate any revenue from product sales. We do not expect to generate any revenue from product sales unless and until we obtain regulatory approval for and commercializes any of our potential product candidates, all of which are in early stages of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March 31, 2026, cash, cash equivalents, and restricted cash totaled $7.8 million, which were held in bank deposit accounts and a money market account. Approximately $3.0 million of our March 31, 2026 cash position is restricted for use under our Gates Foundation Grant Agreement and can only be used for specific development purposes, not for general or administrative purposes. Working capital totaled $3.8 million as of March 31, 2026. Our cash, cash equivalents, and restricted cash balance decreased during the three months ended March 31, 2026, primarily due to cash used in operating activities. We believe our current cash and cash equivalents will be sufficient to fund our current and restructured operations into late 2026.</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2025 the Company sold 1,966 shares of common stock in an "at the market offering" with gross proceeds of $0.4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issued 1,593 shares of common stock with proceeds of $0.7 million during the three months ended March 31, 2025 pursuant to the ELOC Agreement. No sales of common stock under either program were made during the three months ended March 31, 2026.</w:t>
      </w:r>
    </w:p>
    <w:p>
      <w:pPr>
        <w:pStyle w:val="TextBody"/>
        <w:bidi w:val="0"/>
        <w:spacing w:before="240" w:after="283"/>
        <w:jc w:val="both"/>
        <w:rPr>
          <w:rFonts w:ascii="Arial" w:hAnsi="Arial"/>
          <w:color w:val="000000"/>
          <w:sz w:val="20"/>
        </w:rPr>
      </w:pPr>
      <w:r>
        <w:rPr>
          <w:rFonts w:ascii="Arial" w:hAnsi="Arial"/>
          <w:color w:val="000000"/>
          <w:sz w:val="20"/>
        </w:rPr>
        <w:t>We will need to raise additional capital to continue to fund the further development of product candidates and our operations. We may be unable to raise additional funds or enter into such agreements or arrangements on favorable terms, or at all. Additionally, equity or debt financings may have a dilutive effect on the holdings of our existing stockholders. If we are unable to maintain sufficient financial resources, our business, financial condition and results of operations could be materially and adversely affected. If we are unable to raise additional funds when needed, we may be required to delay, reduce or eliminate our product development or future commercialization efforts.</w:t>
      </w:r>
    </w:p>
    <w:p>
      <w:pPr>
        <w:pStyle w:val="TextBody"/>
        <w:bidi w:val="0"/>
        <w:spacing w:before="240" w:after="283"/>
        <w:jc w:val="both"/>
        <w:rPr>
          <w:rFonts w:ascii="Arial" w:hAnsi="Arial"/>
          <w:b/>
          <w:i/>
          <w:color w:val="000000"/>
          <w:sz w:val="20"/>
        </w:rPr>
      </w:pPr>
      <w:r>
        <w:rPr>
          <w:rFonts w:ascii="Arial" w:hAnsi="Arial"/>
          <w:b/>
          <w:i/>
          <w:color w:val="000000"/>
          <w:sz w:val="20"/>
        </w:rPr>
        <w:t>Cash Flows</w:t>
      </w:r>
    </w:p>
    <w:p>
      <w:pPr>
        <w:pStyle w:val="TextBody"/>
        <w:bidi w:val="0"/>
        <w:jc w:val="left"/>
        <w:rPr/>
      </w:pPr>
      <w:r>
        <w:rPr/>
        <w:t> </w:t>
      </w:r>
    </w:p>
    <w:tbl>
      <w:tblPr>
        <w:tblW w:w="9234" w:type="dxa"/>
        <w:jc w:val="left"/>
        <w:tblInd w:w="0" w:type="dxa"/>
        <w:tblLayout w:type="fixed"/>
        <w:tblCellMar>
          <w:top w:w="28" w:type="dxa"/>
          <w:left w:w="28" w:type="dxa"/>
          <w:bottom w:w="28" w:type="dxa"/>
          <w:right w:w="28" w:type="dxa"/>
        </w:tblCellMar>
      </w:tblPr>
      <w:tblGrid>
        <w:gridCol w:w="5461"/>
        <w:gridCol w:w="249"/>
        <w:gridCol w:w="1208"/>
        <w:gridCol w:w="196"/>
        <w:gridCol w:w="172"/>
        <w:gridCol w:w="249"/>
        <w:gridCol w:w="1208"/>
        <w:gridCol w:w="491"/>
      </w:tblGrid>
      <w:tr>
        <w:trPr/>
        <w:tc>
          <w:tcPr>
            <w:tcW w:w="54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(2,889,329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(1,181,714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545,566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(2,889,329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(636,148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Operating Activities</w:t>
      </w:r>
    </w:p>
    <w:p>
      <w:pPr>
        <w:pStyle w:val="TextBody"/>
        <w:bidi w:val="0"/>
        <w:spacing w:before="240" w:after="283"/>
        <w:jc w:val="both"/>
        <w:rPr>
          <w:rFonts w:ascii="Times New Roman" w:hAnsi="Times New Roman"/>
          <w:sz w:val="20"/>
        </w:rPr>
      </w:pPr>
      <w:r>
        <w:rPr>
          <w:rFonts w:ascii="Arial" w:hAnsi="Arial"/>
          <w:color w:val="000000"/>
          <w:sz w:val="20"/>
        </w:rPr>
        <w:t>Net cash used in operating activities was $2.9 million in the current period, an increase of approximately $1.7 million from the same period in 2025. The increase is primarily due to higher operating expenses during the current period compared to the same period in 2025, including research and development associated with the development of the IMP</w:t>
      </w:r>
      <w:r>
        <w:rPr>
          <w:rFonts w:ascii="Arial" w:hAnsi="Arial"/>
          <w:color w:val="000000"/>
          <w:sz w:val="13"/>
        </w:rPr>
        <w:t>3</w:t>
      </w:r>
      <w:r>
        <w:rPr>
          <w:rFonts w:ascii="Arial" w:hAnsi="Arial"/>
          <w:color w:val="000000"/>
          <w:sz w:val="20"/>
        </w:rPr>
        <w:t>ACT Platform, professional costs associated with our Special Meeting of Shareholders in February 2026 and current period payments to lower accrued expense balances.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for the three months ended March 31, 2025 was $0.5 million, mainly resulting from the Company's sale of common shares under the ATM and ELOC program offset by the repayments on notes payable for D&amp;O insurance. The Company did not complete any financing activities in the current period.</w:t>
      </w:r>
    </w:p>
    <w:p>
      <w:pPr>
        <w:pStyle w:val="TextBody"/>
        <w:bidi w:val="0"/>
        <w:spacing w:before="240" w:after="283"/>
        <w:jc w:val="both"/>
        <w:rPr>
          <w:rFonts w:ascii="Arial" w:hAnsi="Arial"/>
          <w:b/>
          <w:i/>
          <w:color w:val="000000"/>
          <w:sz w:val="20"/>
        </w:rPr>
      </w:pPr>
      <w:r>
        <w:rPr>
          <w:rFonts w:ascii="Arial" w:hAnsi="Arial"/>
          <w:b/>
          <w:i/>
          <w:color w:val="000000"/>
          <w:sz w:val="20"/>
        </w:rPr>
        <w:t>Critical Accounting Policies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pStyle w:val="TextBody"/>
        <w:bidi w:val="0"/>
        <w:spacing w:before="240" w:after="283"/>
        <w:jc w:val="both"/>
        <w:rPr>
          <w:rFonts w:ascii="Arial" w:hAnsi="Arial"/>
          <w:color w:val="000000"/>
          <w:sz w:val="20"/>
        </w:rPr>
      </w:pPr>
      <w:r>
        <w:rPr>
          <w:rFonts w:ascii="Arial" w:hAnsi="Arial"/>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31, 2026.</w:t>
      </w:r>
    </w:p>
    <w:p>
      <w:pPr>
        <w:pStyle w:val="TextBody"/>
        <w:bidi w:val="0"/>
        <w:spacing w:before="240" w:after="283"/>
        <w:jc w:val="both"/>
        <w:rPr>
          <w:rFonts w:ascii="Arial" w:hAnsi="Arial"/>
          <w:color w:val="000000"/>
          <w:sz w:val="20"/>
        </w:rPr>
      </w:pPr>
      <w:r>
        <w:rPr>
          <w:rFonts w:ascii="Arial" w:hAnsi="Arial"/>
          <w:color w:val="000000"/>
          <w:sz w:val="20"/>
        </w:rPr>
        <w:t>Readers should refer to our Annual Report on Form 10-K, Note 2, Basis of Presentation and Significant Accounting Policies to the accompanying financial statements for descriptions of these policies and estimates.</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11" w:name="part_1_3"/>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We are a smaller reporting company as defined by Rule 12b-2 of the Securities Exchange Act of 1934, as amended, and are not required to provide the information under this item.</w:t>
      </w:r>
    </w:p>
    <w:p>
      <w:pPr>
        <w:pStyle w:val="TextBody"/>
        <w:bidi w:val="0"/>
        <w:spacing w:before="240" w:after="283"/>
        <w:jc w:val="left"/>
        <w:rPr>
          <w:rFonts w:ascii="Arial" w:hAnsi="Arial"/>
          <w:b/>
          <w:color w:val="000000"/>
          <w:sz w:val="20"/>
        </w:rPr>
      </w:pPr>
      <w:bookmarkStart w:id="12" w:name="part_1_4"/>
      <w:bookmarkEnd w:id="12"/>
      <w:r>
        <w:rPr>
          <w:rFonts w:ascii="Arial" w:hAnsi="Arial"/>
          <w:b/>
          <w:color w:val="000000"/>
          <w:sz w:val="20"/>
        </w:rPr>
        <w:t>Item 4. Controls and Procedures</w:t>
      </w:r>
    </w:p>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March 31, 2026.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2026, there was no significant change in our internal control over financial reporting that has materially affected, or is reasonably likely to materially affect, our internal control over financial reporting.</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spacing w:before="240" w:after="283"/>
        <w:jc w:val="both"/>
        <w:rPr>
          <w:rFonts w:ascii="Arial" w:hAnsi="Arial"/>
          <w:b/>
          <w:color w:val="000000"/>
          <w:sz w:val="20"/>
        </w:rPr>
      </w:pPr>
      <w:bookmarkStart w:id="14" w:name="part_ii_1"/>
      <w:bookmarkEnd w:id="14"/>
      <w:r>
        <w:rPr>
          <w:rFonts w:ascii="Arial" w:hAnsi="Arial"/>
          <w:b/>
          <w:color w:val="000000"/>
          <w:sz w:val="20"/>
        </w:rPr>
        <w:t>Item 1. Legal Proceedings</w:t>
      </w:r>
    </w:p>
    <w:p>
      <w:pPr>
        <w:pStyle w:val="TextBody"/>
        <w:bidi w:val="0"/>
        <w:spacing w:before="240" w:after="283"/>
        <w:jc w:val="both"/>
        <w:rPr>
          <w:rFonts w:ascii="Arial" w:hAnsi="Arial"/>
          <w:color w:val="212529"/>
          <w:sz w:val="20"/>
        </w:rPr>
      </w:pPr>
      <w:r>
        <w:rPr>
          <w:rFonts w:ascii="Arial" w:hAnsi="Arial"/>
          <w:color w:val="212529"/>
          <w:sz w:val="20"/>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bidi w:val="0"/>
        <w:spacing w:before="240" w:after="283"/>
        <w:jc w:val="left"/>
        <w:rPr>
          <w:rFonts w:ascii="Arial" w:hAnsi="Arial"/>
          <w:b/>
          <w:color w:val="000000"/>
          <w:sz w:val="20"/>
        </w:rPr>
      </w:pPr>
      <w:bookmarkStart w:id="15" w:name="part_ii_1a"/>
      <w:bookmarkEnd w:id="15"/>
      <w:r>
        <w:rPr>
          <w:rFonts w:ascii="Arial" w:hAnsi="Arial"/>
          <w:b/>
          <w:color w:val="000000"/>
          <w:sz w:val="20"/>
        </w:rPr>
        <w:t>Item 1A. Risk Factors</w:t>
      </w:r>
    </w:p>
    <w:p>
      <w:pPr>
        <w:pStyle w:val="TextBody"/>
        <w:bidi w:val="0"/>
        <w:spacing w:before="240" w:after="283"/>
        <w:jc w:val="both"/>
        <w:rPr>
          <w:rFonts w:ascii="Arial" w:hAnsi="Arial"/>
          <w:color w:val="000000"/>
          <w:sz w:val="20"/>
        </w:rPr>
      </w:pPr>
      <w:r>
        <w:rPr>
          <w:rFonts w:ascii="Arial" w:hAnsi="Arial"/>
          <w:color w:val="000000"/>
          <w:sz w:val="20"/>
        </w:rPr>
        <w:t>There have been no material changes from the risk factors set forth under Item 1A of Part I of our Annual Report on Form 10-K for the year ended December 31, 2025.</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left"/>
        <w:rPr>
          <w:rFonts w:ascii="Arial" w:hAnsi="Arial"/>
          <w:b/>
          <w:color w:val="000000"/>
          <w:sz w:val="20"/>
        </w:rPr>
      </w:pPr>
      <w:bookmarkStart w:id="16" w:name="part_ii_2"/>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color w:val="212529"/>
          <w:sz w:val="20"/>
        </w:rPr>
      </w:pPr>
      <w:r>
        <w:rPr>
          <w:rFonts w:ascii="Arial" w:hAnsi="Arial"/>
          <w:color w:val="212529"/>
          <w:sz w:val="20"/>
        </w:rPr>
        <w:t>None.</w:t>
      </w:r>
    </w:p>
    <w:p>
      <w:pPr>
        <w:pStyle w:val="TextBody"/>
        <w:bidi w:val="0"/>
        <w:spacing w:before="240" w:after="283"/>
        <w:jc w:val="left"/>
        <w:rPr>
          <w:rFonts w:ascii="Arial" w:hAnsi="Arial"/>
          <w:b/>
          <w:color w:val="000000"/>
          <w:sz w:val="20"/>
        </w:rPr>
      </w:pPr>
      <w:bookmarkStart w:id="17" w:name="part_ii_3"/>
      <w:bookmarkEnd w:id="17"/>
      <w:r>
        <w:rPr>
          <w:rFonts w:ascii="Arial" w:hAnsi="Arial"/>
          <w:b/>
          <w:color w:val="000000"/>
          <w:sz w:val="20"/>
        </w:rPr>
        <w:t>Item 3. Defaults Upon Senior Securities</w:t>
      </w:r>
    </w:p>
    <w:p>
      <w:pPr>
        <w:pStyle w:val="TextBody"/>
        <w:bidi w:val="0"/>
        <w:spacing w:before="240" w:after="283"/>
        <w:jc w:val="both"/>
        <w:rPr>
          <w:rFonts w:ascii="Arial" w:hAnsi="Arial"/>
          <w:color w:val="212529"/>
          <w:sz w:val="20"/>
        </w:rPr>
      </w:pPr>
      <w:r>
        <w:rPr>
          <w:rFonts w:ascii="Arial" w:hAnsi="Arial"/>
          <w:color w:val="212529"/>
          <w:sz w:val="20"/>
        </w:rPr>
        <w:t>None.</w:t>
      </w:r>
    </w:p>
    <w:p>
      <w:pPr>
        <w:pStyle w:val="TextBody"/>
        <w:bidi w:val="0"/>
        <w:spacing w:before="240" w:after="283"/>
        <w:jc w:val="left"/>
        <w:rPr>
          <w:rFonts w:ascii="Arial" w:hAnsi="Arial"/>
          <w:b/>
          <w:color w:val="000000"/>
          <w:sz w:val="20"/>
        </w:rPr>
      </w:pPr>
      <w:bookmarkStart w:id="18" w:name="part_ii_4"/>
      <w:bookmarkEnd w:id="18"/>
      <w:r>
        <w:rPr>
          <w:rFonts w:ascii="Arial" w:hAnsi="Arial"/>
          <w:b/>
          <w:color w:val="000000"/>
          <w:sz w:val="20"/>
        </w:rPr>
        <w:t>Item 4. Mine Safety Disclosures</w:t>
      </w:r>
    </w:p>
    <w:p>
      <w:pPr>
        <w:pStyle w:val="TextBody"/>
        <w:bidi w:val="0"/>
        <w:spacing w:before="240" w:after="283"/>
        <w:jc w:val="both"/>
        <w:rPr>
          <w:rFonts w:ascii="Arial" w:hAnsi="Arial"/>
          <w:color w:val="212529"/>
          <w:sz w:val="20"/>
        </w:rPr>
      </w:pPr>
      <w:r>
        <w:rPr>
          <w:rFonts w:ascii="Arial" w:hAnsi="Arial"/>
          <w:color w:val="212529"/>
          <w:sz w:val="20"/>
        </w:rPr>
        <w:t>Not Applicable</w:t>
      </w:r>
    </w:p>
    <w:p>
      <w:pPr>
        <w:pStyle w:val="TextBody"/>
        <w:bidi w:val="0"/>
        <w:spacing w:before="240" w:after="283"/>
        <w:jc w:val="left"/>
        <w:rPr>
          <w:rFonts w:ascii="Times New Roman" w:hAnsi="Times New Roman"/>
          <w:sz w:val="20"/>
        </w:rPr>
      </w:pPr>
      <w:bookmarkStart w:id="19" w:name="part_ii_5"/>
      <w:bookmarkEnd w:id="19"/>
      <w:r>
        <w:rPr>
          <w:rFonts w:ascii="Arial" w:hAnsi="Arial"/>
          <w:b/>
          <w:color w:val="000000"/>
          <w:sz w:val="20"/>
        </w:rPr>
        <w:t>Item 5. Other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fiscal quarter ended March 31, 2026,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(in each case, as defined in Item 408 of Regulation S-K).</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9218"/>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000000"/>
            </w:tcBorders>
            <w:tcMar>
              <w:top w:w="0" w:type="dxa"/>
              <w:left w:w="0" w:type="dxa"/>
              <w:right w:w="0"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t>Exhibit</w:t>
            </w:r>
          </w:p>
          <w:p>
            <w:pPr>
              <w:pStyle w:val="TableContents"/>
              <w:bidi w:val="0"/>
              <w:spacing w:before="0" w:after="60"/>
              <w:jc w:val="center"/>
              <w:rPr>
                <w:rFonts w:ascii="Arial" w:hAnsi="Arial"/>
                <w:b/>
                <w:color w:val="000000"/>
                <w:sz w:val="20"/>
              </w:rPr>
            </w:pPr>
            <w:r>
              <w:rPr>
                <w:rFonts w:ascii="Arial" w:hAnsi="Arial"/>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8" w:type="dxa"/>
            <w:tcBorders>
              <w:bottom w:val="single" w:sz="8" w:space="0" w:color="000000"/>
            </w:tcBorders>
            <w:tcMar>
              <w:top w:w="0" w:type="dxa"/>
              <w:left w:w="0" w:type="dxa"/>
              <w:right w:w="0"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t>Description of Document</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2">
              <w:r>
                <w:rPr>
                  <w:rStyle w:val="InternetLink"/>
                  <w:rFonts w:ascii="Arial" w:hAnsi="Arial"/>
                  <w:color w:val="0000FF"/>
                  <w:sz w:val="20"/>
                  <w:u w:val="single"/>
                </w:rPr>
                <w:t>Amended and Restated Certificate of Incorporation of the Registrant, incorporated by reference to Exhibit 3.1 of the Form 8-K filed on February 9, 2015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3">
              <w:r>
                <w:rPr>
                  <w:rStyle w:val="InternetLink"/>
                  <w:rFonts w:ascii="Arial" w:hAnsi="Arial"/>
                  <w:color w:val="0000FF"/>
                  <w:sz w:val="20"/>
                  <w:u w:val="single"/>
                </w:rPr>
                <w:t>Certificate of Amendment to the Amended and Restated Certificate of Incorporation of the Registrant filed with the Secretary of State of Delaware on July 18, 2019, incorporated by reference to Exhibit 3.1 of the Form 8-K filed on July 22, 2019</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3.3</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4">
              <w:r>
                <w:rPr>
                  <w:rStyle w:val="InternetLink"/>
                  <w:rFonts w:ascii="Arial" w:hAnsi="Arial"/>
                  <w:color w:val="0000FF"/>
                  <w:sz w:val="20"/>
                  <w:u w:val="single"/>
                </w:rPr>
                <w:t>Certificate of Amendment to the Amended and Restated Certificate of Incorporation filed with the Secretary of State of Delaware on October 14, 2022, incorporated by reference to Exhibit 3.1 of the Form 8-K filed on October 14, 2022</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5">
              <w:r>
                <w:rPr>
                  <w:rStyle w:val="InternetLink"/>
                  <w:rFonts w:ascii="Arial" w:hAnsi="Arial"/>
                  <w:color w:val="0000FF"/>
                  <w:sz w:val="20"/>
                  <w:u w:val="single"/>
                </w:rPr>
                <w:t>Amended and Restated Bylaws of the Registrant, effective July 19, 2019, incorporated by reference to Exhibit 3.2 of the Form 8-K filed on July 22, 2019</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3.5</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6">
              <w:r>
                <w:rPr>
                  <w:rStyle w:val="InternetLink"/>
                  <w:rFonts w:ascii="Arial" w:hAnsi="Arial"/>
                  <w:color w:val="0000FF"/>
                  <w:sz w:val="20"/>
                  <w:u w:val="single"/>
                </w:rPr>
                <w:t>Amendment to Amended and Restated Bylaws of the Registrant, effective April 1, 2022, incorporated by reference to Exhibit 3.1 of the Form 8-K filed on April 1, 2022</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3.6</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7">
              <w:r>
                <w:rPr>
                  <w:rStyle w:val="InternetLink"/>
                  <w:rFonts w:ascii="Arial" w:hAnsi="Arial"/>
                  <w:color w:val="0000FF"/>
                  <w:sz w:val="20"/>
                  <w:u w:val="single"/>
                </w:rPr>
                <w:t>Certificate of Amendment to the Amended and Restated Certificate of Incorporation of Salarius Pharmaceuticals, Inc., effective June 14, 2024, incorporated by reference to Exhibit 3.1 of the Form 8-K filed on June 14, 2024</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3.7</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8">
              <w:r>
                <w:rPr>
                  <w:rStyle w:val="InternetLink"/>
                  <w:rFonts w:ascii="Arial" w:hAnsi="Arial"/>
                  <w:color w:val="0000FF"/>
                  <w:sz w:val="20"/>
                  <w:u w:val="single"/>
                </w:rPr>
                <w:t>Certificate of Amendment to the Amended and Restated Certificate of Incorporation of Salarius Pharmaceuticals, Inc., effective August 15, 2025 (incorporated by reference to Exhibit 3.1 to the Registrant’s Current Report on Form 8-K filed with the SEC on August 15, 2025)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3.8</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9">
              <w:r>
                <w:rPr>
                  <w:rStyle w:val="InternetLink"/>
                  <w:rFonts w:ascii="Arial" w:hAnsi="Arial"/>
                  <w:color w:val="0000FF"/>
                  <w:sz w:val="20"/>
                  <w:u w:val="single"/>
                </w:rPr>
                <w:t>Form of Certificate of Designation of Series A Non-Voting Convertible Preferred Stock (incorporated by reference to Exhibit 2.2 to the Registrant’s Current Report on Form 8-K filed with the SEC on September 18, 2025)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3.9</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10">
              <w:r>
                <w:rPr>
                  <w:rStyle w:val="InternetLink"/>
                  <w:rFonts w:ascii="Arial" w:hAnsi="Arial"/>
                  <w:color w:val="0000FF"/>
                  <w:sz w:val="20"/>
                  <w:u w:val="single"/>
                </w:rPr>
                <w:t>Form of Certificate of Designation of Series B Non-Voting Convertible Preferred Stock (incorporated by reference to Exhibit 2.3 to the Registrant’s Current Report on Form 8-K filed with the SEC on September 18, 2025).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3.13</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Second Amended and Restated Bylaws of the Registrant, effective January 8, 2026 (incorporated by reference to Exhibit 3.2 to the Registrant’s Current Report on Form 8-K filed with the SEC on January 8, 2026)</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Certificate of Amendment to the Amended and Restated Certificate of Incorporation of Decoy Therapeutics Inc., effective March 6, 2026 (incorporated by reference to Exhibit 3.1 to the Registrant’s Current Report on Form 8-K filed with the SEC on March 5, 2026).</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w:anchor="dcoy-ex31_1.htm">
              <w:r>
                <w:rPr>
                  <w:rStyle w:val="InternetLink"/>
                  <w:rFonts w:ascii="Arial" w:hAnsi="Arial"/>
                  <w:color w:val="0000FF"/>
                  <w:sz w:val="20"/>
                  <w:u w:val="single"/>
                </w:rPr>
                <w:t>Certification of the Principal Executive Officer pursuant to Rule 13a-14(a) or 15d-14(a) of the Securities Exchange Act of 1934</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w:anchor="dcoy-ex31_2.htm">
              <w:r>
                <w:rPr>
                  <w:rStyle w:val="InternetLink"/>
                  <w:rFonts w:ascii="Arial" w:hAnsi="Arial"/>
                  <w:color w:val="0000FF"/>
                  <w:sz w:val="20"/>
                  <w:u w:val="single"/>
                </w:rPr>
                <w:t>Certification of the Principal Financial Officer pursuant to Rule 13a-14(a) or 15d-14(a) of the Securities Exchange Act of 1934</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w:anchor="dcoy-ex32_1.htm">
              <w:r>
                <w:rPr>
                  <w:rStyle w:val="InternetLink"/>
                  <w:rFonts w:ascii="Arial" w:hAnsi="Arial"/>
                  <w:color w:val="0000FF"/>
                  <w:sz w:val="20"/>
                  <w:u w:val="single"/>
                </w:rPr>
                <w:t>Certification of Principal Executive Officer and Principal Financial Officer pursuant to Rule 13a-14(b) or 15d-14(b) of the Exchange Act and 18 U.S.C. Section 1350</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rFonts w:ascii="Arial" w:hAnsi="Arial"/>
                <w:color w:val="000000"/>
                <w:sz w:val="20"/>
              </w:rPr>
            </w:pPr>
            <w:r>
              <w:rPr>
                <w:rFonts w:ascii="Arial" w:hAnsi="Arial"/>
                <w:color w:val="000000"/>
                <w:sz w:val="20"/>
              </w:rPr>
              <w:t>The following materials from Salarius Pharmaceuticals, Inc.'s Quarterly Report on Form 10-Q for the quarter ended March 31, 2026,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rFonts w:ascii="Arial" w:hAnsi="Arial"/>
                <w:color w:val="000000"/>
                <w:sz w:val="20"/>
              </w:rPr>
            </w:pPr>
            <w:r>
              <w:rPr>
                <w:rFonts w:ascii="Arial" w:hAnsi="Arial"/>
                <w:color w:val="000000"/>
                <w:sz w:val="20"/>
              </w:rPr>
              <w:t>Cover Page Interactive Data File (embedded within the inline XBRL document and included in Exhibit 101)</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pBdr>
          <w:bottom w:val="single" w:sz="6"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and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7"/>
        <w:gridCol w:w="958"/>
        <w:gridCol w:w="146"/>
        <w:gridCol w:w="406"/>
        <w:gridCol w:w="146"/>
        <w:gridCol w:w="7952"/>
      </w:tblGrid>
      <w:tr>
        <w:trPr/>
        <w:tc>
          <w:tcPr>
            <w:tcW w:w="59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2" w:type="dxa"/>
            <w:tcBorders/>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SALARIUS PHARMACEUTICALS, INC.</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Frederick E. Pierce</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2"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Frederick E. Pierce</w:t>
            </w:r>
          </w:p>
          <w:p>
            <w:pPr>
              <w:pStyle w:val="TableContents"/>
              <w:bidi w:val="0"/>
              <w:spacing w:before="0" w:after="283"/>
              <w:jc w:val="left"/>
              <w:rPr>
                <w:rFonts w:ascii="Arial" w:hAnsi="Arial"/>
                <w:i/>
                <w:color w:val="000000"/>
                <w:sz w:val="20"/>
              </w:rPr>
            </w:pPr>
            <w:r>
              <w:rPr>
                <w:rFonts w:ascii="Arial" w:hAnsi="Arial"/>
                <w:i/>
                <w:color w:val="000000"/>
                <w:sz w:val="20"/>
              </w:rPr>
              <w:t>Chief Executive Officer (Principal Executive Officer)</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J. Rosenblum</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2"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Mark J. Rosenblum</w:t>
            </w:r>
          </w:p>
          <w:p>
            <w:pPr>
              <w:pStyle w:val="TableContents"/>
              <w:bidi w:val="0"/>
              <w:spacing w:before="0" w:after="283"/>
              <w:jc w:val="left"/>
              <w:rPr>
                <w:rFonts w:ascii="Arial" w:hAnsi="Arial"/>
                <w:i/>
                <w:color w:val="000000"/>
                <w:sz w:val="20"/>
              </w:rPr>
            </w:pPr>
            <w:r>
              <w:rPr>
                <w:rFonts w:ascii="Arial" w:hAnsi="Arial"/>
                <w:i/>
                <w:color w:val="000000"/>
                <w:sz w:val="20"/>
              </w:rPr>
              <w:t>Chief Financial Officer and Executive Vice President of Finance (Principal Financial Officer and Principal Accounting Officer)</w:t>
            </w:r>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Date:</w:t>
            </w:r>
            <w:r>
              <w:rPr>
                <w:rFonts w:ascii="Times New Roman" w:hAnsi="Times New Roman"/>
                <w:color w:val="000000"/>
                <w:sz w:val="20"/>
              </w:rPr>
              <w:t xml:space="preserve"> </w:t>
            </w:r>
          </w:p>
        </w:tc>
        <w:tc>
          <w:tcPr>
            <w:tcW w:w="95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bookmarkStart w:id="22" w:name="dcoy-ex31_1.htm"/>
      <w:bookmarkStart w:id="23" w:name="ksdcoyex31_1"/>
      <w:bookmarkEnd w:id="22"/>
      <w:bookmarkEnd w:id="23"/>
      <w:r>
        <w:rPr/>
        <w:t> </w:t>
      </w:r>
      <w:r>
        <w:br w:type="page"/>
      </w:r>
    </w:p>
    <w:p>
      <w:pPr>
        <w:pStyle w:val="TextBody"/>
        <w:bidi w:val="0"/>
        <w:jc w:val="right"/>
        <w:rPr>
          <w:rFonts w:ascii="Arial" w:hAnsi="Arial"/>
          <w:b/>
          <w:color w:val="000000"/>
          <w:sz w:val="20"/>
        </w:rPr>
      </w:pPr>
      <w:bookmarkStart w:id="24" w:name="section1"/>
      <w:bookmarkEnd w:id="24"/>
      <w:r>
        <w:rPr>
          <w:rFonts w:ascii="Arial" w:hAnsi="Arial"/>
          <w:b/>
          <w:color w:val="000000"/>
          <w:sz w:val="20"/>
        </w:rPr>
        <w:t>Exhibit 31.1</w:t>
      </w:r>
    </w:p>
    <w:p>
      <w:pPr>
        <w:pStyle w:val="TextBody"/>
        <w:bidi w:val="0"/>
        <w:spacing w:before="200" w:after="283"/>
        <w:jc w:val="center"/>
        <w:rPr>
          <w:rFonts w:ascii="Arial" w:hAnsi="Arial"/>
          <w:b/>
          <w:color w:val="000000"/>
          <w:sz w:val="20"/>
        </w:rPr>
      </w:pPr>
      <w:r>
        <w:rPr>
          <w:rFonts w:ascii="Arial" w:hAnsi="Arial"/>
          <w:b/>
          <w:color w:val="000000"/>
          <w:sz w:val="20"/>
        </w:rPr>
        <w:t>Certification Pursuant to Securities Exchange Act Rules 13a-14(a) and 15d-14(a) as adopted Pursuant to Section 302 of the Sarbanes-Oxley Act of 2002</w:t>
      </w:r>
    </w:p>
    <w:p>
      <w:pPr>
        <w:pStyle w:val="TextBody"/>
        <w:bidi w:val="0"/>
        <w:spacing w:before="200" w:after="283"/>
        <w:jc w:val="both"/>
        <w:rPr>
          <w:rFonts w:ascii="Arial" w:hAnsi="Arial"/>
          <w:color w:val="000000"/>
          <w:sz w:val="20"/>
        </w:rPr>
      </w:pPr>
      <w:r>
        <w:rPr>
          <w:rFonts w:ascii="Arial" w:hAnsi="Arial"/>
          <w:color w:val="000000"/>
          <w:sz w:val="20"/>
        </w:rPr>
        <w:t>I,Frederick E. Pierce, Chief Executive Officer, certify that:</w:t>
      </w:r>
    </w:p>
    <w:p>
      <w:pPr>
        <w:pStyle w:val="TextBody"/>
        <w:bidi w:val="0"/>
        <w:spacing w:before="200" w:after="283"/>
        <w:jc w:val="both"/>
        <w:rPr>
          <w:rFonts w:ascii="Arial" w:hAnsi="Arial"/>
          <w:color w:val="000000"/>
          <w:sz w:val="20"/>
        </w:rPr>
      </w:pPr>
      <w:r>
        <w:rPr>
          <w:rFonts w:ascii="Arial" w:hAnsi="Arial"/>
          <w:color w:val="000000"/>
          <w:sz w:val="20"/>
        </w:rPr>
        <w:t>1. I have reviewed this Quarterly Report on Form 10-Q of Decoy Therapeutics Inc.;</w:t>
      </w:r>
    </w:p>
    <w:p>
      <w:pPr>
        <w:pStyle w:val="TextBody"/>
        <w:bidi w:val="0"/>
        <w:spacing w:before="200" w:after="283"/>
        <w:jc w:val="both"/>
        <w:rPr>
          <w:rFonts w:ascii="Arial" w:hAnsi="Arial"/>
          <w:color w:val="000000"/>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Arial" w:hAnsi="Arial"/>
          <w:color w:val="000000"/>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Arial" w:hAnsi="Arial"/>
          <w:color w:val="000000"/>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00" w:after="283"/>
        <w:jc w:val="both"/>
        <w:rPr>
          <w:rFonts w:ascii="Arial" w:hAnsi="Arial"/>
          <w:color w:val="000000"/>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28" w:type="dxa"/>
        <w:jc w:val="left"/>
        <w:tblInd w:w="0" w:type="dxa"/>
        <w:tblLayout w:type="fixed"/>
        <w:tblCellMar>
          <w:top w:w="28" w:type="dxa"/>
          <w:left w:w="28" w:type="dxa"/>
          <w:bottom w:w="28" w:type="dxa"/>
          <w:right w:w="28" w:type="dxa"/>
        </w:tblCellMar>
      </w:tblPr>
      <w:tblGrid>
        <w:gridCol w:w="1201"/>
        <w:gridCol w:w="146"/>
        <w:gridCol w:w="468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Frederick E. Pierce</w:t>
            </w:r>
            <w:r>
              <w:rPr>
                <w:rFonts w:ascii="Times New Roman" w:hAnsi="Times New Roman"/>
                <w:color w:val="000000"/>
                <w:sz w:val="20"/>
              </w:rPr>
              <w:t xml:space="preserve">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Frederick E. Pierce</w:t>
            </w:r>
            <w:r>
              <w:rPr>
                <w:rFonts w:ascii="Times New Roman" w:hAnsi="Times New Roman"/>
                <w:color w:val="000000"/>
                <w:sz w:val="20"/>
              </w:rPr>
              <w:t xml:space="preserve">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dcoy-ex31_2.htm"/>
      <w:bookmarkStart w:id="26" w:name="ksdcoyex31_2"/>
      <w:bookmarkEnd w:id="25"/>
      <w:bookmarkEnd w:id="26"/>
      <w:r>
        <w:rPr/>
        <w:t> </w:t>
      </w:r>
      <w:r>
        <w:br w:type="page"/>
      </w:r>
    </w:p>
    <w:p>
      <w:pPr>
        <w:pStyle w:val="TextBody"/>
        <w:bidi w:val="0"/>
        <w:jc w:val="right"/>
        <w:rPr>
          <w:rFonts w:ascii="Arial" w:hAnsi="Arial"/>
          <w:b/>
          <w:color w:val="000000"/>
          <w:sz w:val="20"/>
        </w:rPr>
      </w:pPr>
      <w:bookmarkStart w:id="27" w:name="section11"/>
      <w:bookmarkEnd w:id="27"/>
      <w:r>
        <w:rPr>
          <w:rFonts w:ascii="Arial" w:hAnsi="Arial"/>
          <w:b/>
          <w:color w:val="000000"/>
          <w:sz w:val="20"/>
        </w:rPr>
        <w:t>Exhibit 31.2</w:t>
      </w:r>
    </w:p>
    <w:p>
      <w:pPr>
        <w:pStyle w:val="TextBody"/>
        <w:bidi w:val="0"/>
        <w:spacing w:before="200" w:after="283"/>
        <w:jc w:val="center"/>
        <w:rPr>
          <w:rFonts w:ascii="Arial" w:hAnsi="Arial"/>
          <w:b/>
          <w:color w:val="000000"/>
          <w:sz w:val="20"/>
        </w:rPr>
      </w:pPr>
      <w:r>
        <w:rPr>
          <w:rFonts w:ascii="Arial" w:hAnsi="Arial"/>
          <w:b/>
          <w:color w:val="000000"/>
          <w:sz w:val="20"/>
        </w:rPr>
        <w:t>Certification Pursuant to Securities Exchange Act Rules 13a-14(a) and 15d-14(a) as adopted Pursuant to Section 302 of the Sarbanes-Oxley Act of 2002</w:t>
      </w:r>
    </w:p>
    <w:p>
      <w:pPr>
        <w:pStyle w:val="TextBody"/>
        <w:bidi w:val="0"/>
        <w:spacing w:before="200" w:after="283"/>
        <w:jc w:val="left"/>
        <w:rPr>
          <w:rFonts w:ascii="Arial" w:hAnsi="Arial"/>
          <w:color w:val="000000"/>
          <w:sz w:val="20"/>
        </w:rPr>
      </w:pPr>
      <w:r>
        <w:rPr>
          <w:rFonts w:ascii="Arial" w:hAnsi="Arial"/>
          <w:color w:val="000000"/>
          <w:sz w:val="20"/>
        </w:rPr>
        <w:t>I, Mark J. Rosenblum, Executive Vice President and Chief Financial Officer, certify that:</w:t>
      </w:r>
    </w:p>
    <w:p>
      <w:pPr>
        <w:pStyle w:val="TextBody"/>
        <w:bidi w:val="0"/>
        <w:spacing w:before="200" w:after="283"/>
        <w:jc w:val="both"/>
        <w:rPr>
          <w:rFonts w:ascii="Arial" w:hAnsi="Arial"/>
          <w:color w:val="000000"/>
          <w:sz w:val="20"/>
        </w:rPr>
      </w:pPr>
      <w:r>
        <w:rPr>
          <w:rFonts w:ascii="Arial" w:hAnsi="Arial"/>
          <w:color w:val="000000"/>
          <w:sz w:val="20"/>
        </w:rPr>
        <w:t>1. I have reviewed this Quarterly Report on Form 10-Q of Decoy Therapeutics Inc.;</w:t>
      </w:r>
    </w:p>
    <w:p>
      <w:pPr>
        <w:pStyle w:val="TextBody"/>
        <w:bidi w:val="0"/>
        <w:spacing w:before="200" w:after="283"/>
        <w:jc w:val="both"/>
        <w:rPr>
          <w:rFonts w:ascii="Arial" w:hAnsi="Arial"/>
          <w:color w:val="000000"/>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Arial" w:hAnsi="Arial"/>
          <w:color w:val="000000"/>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Arial" w:hAnsi="Arial"/>
          <w:color w:val="000000"/>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00" w:after="283"/>
        <w:jc w:val="both"/>
        <w:rPr>
          <w:rFonts w:ascii="Arial" w:hAnsi="Arial"/>
          <w:color w:val="000000"/>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18" w:type="dxa"/>
        <w:jc w:val="left"/>
        <w:tblInd w:w="0" w:type="dxa"/>
        <w:tblLayout w:type="fixed"/>
        <w:tblCellMar>
          <w:top w:w="28" w:type="dxa"/>
          <w:left w:w="28" w:type="dxa"/>
          <w:bottom w:w="28" w:type="dxa"/>
          <w:right w:w="28" w:type="dxa"/>
        </w:tblCellMar>
      </w:tblPr>
      <w:tblGrid>
        <w:gridCol w:w="1201"/>
        <w:gridCol w:w="146"/>
        <w:gridCol w:w="537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J. Rosenblum</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J. Rosenblum</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 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dcoy-ex32_1.htm"/>
      <w:bookmarkStart w:id="29" w:name="ksdcoyex32_1"/>
      <w:bookmarkEnd w:id="28"/>
      <w:bookmarkEnd w:id="29"/>
      <w:r>
        <w:rPr/>
        <w:t> </w:t>
      </w:r>
      <w:r>
        <w:br w:type="page"/>
      </w:r>
    </w:p>
    <w:p>
      <w:pPr>
        <w:pStyle w:val="TextBody"/>
        <w:bidi w:val="0"/>
        <w:jc w:val="right"/>
        <w:rPr>
          <w:rFonts w:ascii="Arial" w:hAnsi="Arial"/>
          <w:b/>
          <w:color w:val="000000"/>
          <w:sz w:val="20"/>
        </w:rPr>
      </w:pPr>
      <w:bookmarkStart w:id="30" w:name="section12"/>
      <w:bookmarkEnd w:id="30"/>
      <w:r>
        <w:rPr>
          <w:rFonts w:ascii="Arial" w:hAnsi="Arial"/>
          <w:b/>
          <w:color w:val="000000"/>
          <w:sz w:val="20"/>
        </w:rPr>
        <w:t>Exhibit 32.1</w:t>
      </w:r>
    </w:p>
    <w:p>
      <w:pPr>
        <w:pStyle w:val="TextBody"/>
        <w:bidi w:val="0"/>
        <w:spacing w:before="200" w:after="283"/>
        <w:jc w:val="center"/>
        <w:rPr>
          <w:rFonts w:ascii="Arial" w:hAnsi="Arial"/>
          <w:b/>
          <w:color w:val="000000"/>
          <w:sz w:val="20"/>
        </w:rPr>
      </w:pPr>
      <w:r>
        <w:rPr>
          <w:rFonts w:ascii="Arial" w:hAnsi="Arial"/>
          <w:b/>
          <w:color w:val="000000"/>
          <w:sz w:val="20"/>
        </w:rPr>
        <w:t>Certification Pursuant to 18 U.S.C. Section 1350, as Adopted Pursuant to Section 906 of the Sarbanes-Oxley Act of 2002</w:t>
      </w:r>
    </w:p>
    <w:p>
      <w:pPr>
        <w:pStyle w:val="TextBody"/>
        <w:bidi w:val="0"/>
        <w:spacing w:before="200" w:after="283"/>
        <w:jc w:val="both"/>
        <w:rPr>
          <w:rFonts w:ascii="Arial" w:hAnsi="Arial"/>
          <w:color w:val="000000"/>
          <w:sz w:val="20"/>
        </w:rPr>
      </w:pPr>
      <w:r>
        <w:rPr>
          <w:rFonts w:ascii="Arial" w:hAnsi="Arial"/>
          <w:color w:val="000000"/>
          <w:sz w:val="20"/>
        </w:rPr>
        <w:t>In connection with the Quarterly Report on Form 10-Q of Decoy Therapeutics Inc. (the "Company") for the fiscal quarter ended March 31, 2025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200" w:after="283"/>
        <w:jc w:val="both"/>
        <w:rPr>
          <w:rFonts w:ascii="Arial" w:hAnsi="Arial"/>
          <w:color w:val="000000"/>
          <w:sz w:val="20"/>
        </w:rPr>
      </w:pPr>
      <w:r>
        <w:rPr>
          <w:rFonts w:ascii="Arial" w:hAnsi="Arial"/>
          <w:color w:val="000000"/>
          <w:sz w:val="20"/>
        </w:rPr>
        <w:t>(1) The Report fully complies with the requirements of Section 13(a) or 15(d) of the Securities Exchange Act of 1934, as amended; and</w:t>
      </w:r>
    </w:p>
    <w:p>
      <w:pPr>
        <w:pStyle w:val="TextBody"/>
        <w:bidi w:val="0"/>
        <w:spacing w:before="200" w:after="283"/>
        <w:jc w:val="both"/>
        <w:rPr>
          <w:rFonts w:ascii="Arial" w:hAnsi="Arial"/>
          <w:color w:val="000000"/>
          <w:sz w:val="20"/>
        </w:rPr>
      </w:pPr>
      <w:r>
        <w:rPr>
          <w:rFonts w:ascii="Arial" w:hAnsi="Arial"/>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572" w:type="dxa"/>
        <w:jc w:val="left"/>
        <w:tblInd w:w="0" w:type="dxa"/>
        <w:tblLayout w:type="fixed"/>
        <w:tblCellMar>
          <w:top w:w="28" w:type="dxa"/>
          <w:left w:w="28" w:type="dxa"/>
          <w:bottom w:w="28" w:type="dxa"/>
          <w:right w:w="28" w:type="dxa"/>
        </w:tblCellMar>
      </w:tblPr>
      <w:tblGrid>
        <w:gridCol w:w="1201"/>
        <w:gridCol w:w="5371"/>
      </w:tblGrid>
      <w:tr>
        <w:trPr/>
        <w:tc>
          <w:tcPr>
            <w:tcW w:w="1201"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Frederick E. Pierce</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Frederick E. Pierce</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8, 2026</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 (Principal Executive Officer)</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J. Rosenblum</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J. Rosenblum</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8, 2026</w:t>
            </w:r>
          </w:p>
        </w:tc>
        <w:tc>
          <w:tcPr>
            <w:tcW w:w="537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 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0465915007801/a15-4061_1ex3d1.htm" TargetMode="External"/><Relationship Id="rId3" Type="http://schemas.openxmlformats.org/officeDocument/2006/relationships/hyperlink" Target="https://www.sec.gov/Archives/edgar/data/1615219/000119312519199074/d754556dex31.htm" TargetMode="External"/><Relationship Id="rId4" Type="http://schemas.openxmlformats.org/officeDocument/2006/relationships/hyperlink" Target="https://www.sec.gov/Archives/edgar/data/1615219/000161521922000135/exhibit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61521922000034/salarius-bylawsamendment33.htm" TargetMode="External"/><Relationship Id="rId7" Type="http://schemas.openxmlformats.org/officeDocument/2006/relationships/hyperlink" Target="https://www.sec.gov/Archives/edgar/data/1615219/000161521924000045/slrx-certificateofamendm.htm" TargetMode="External"/><Relationship Id="rId8" Type="http://schemas.openxmlformats.org/officeDocument/2006/relationships/hyperlink" Target="https://www.sec.gov/Archives/edgar/data/1615219/000161521925000101/slrx-reversestocksplitamen.htm" TargetMode="External"/><Relationship Id="rId9" Type="http://schemas.openxmlformats.org/officeDocument/2006/relationships/hyperlink" Target="https://www.sec.gov/Archives/edgar/data/1615219/000161521925000135/certificateofdesignations-a.htm" TargetMode="External"/><Relationship Id="rId10" Type="http://schemas.openxmlformats.org/officeDocument/2006/relationships/hyperlink" Target="https://www.sec.gov/Archives/edgar/data/1615219/000161521925000135/certificateofdesignations-.htm" TargetMode="External"/><Relationship Id="rId11" Type="http://schemas.openxmlformats.org/officeDocument/2006/relationships/hyperlink" Target="https://www.sec.gov/Archives/edgar/data/1615219/000161521926000013/exhibit31-delawarecertific.htm" TargetMode="External"/><Relationship Id="rId12" Type="http://schemas.openxmlformats.org/officeDocument/2006/relationships/hyperlink" Target="https://www.sec.gov/Archives/edgar/data/1615219/000161521926000013/exhibit32-secondamendedres.htm" TargetMode="External"/><Relationship Id="rId13" Type="http://schemas.openxmlformats.org/officeDocument/2006/relationships/hyperlink" Target="https://www.sec.gov/Archives/edgar/data/1615219/000119312526092748/dcoy-ex3_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11573</Words>
  <Characters>65097</Characters>
  <CharactersWithSpaces>76981</CharactersWithSpaces>
  <Paragraphs>2229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