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tbl>
      <w:tblPr>
        <w:tblW w:w="10205" w:type="dxa"/>
        <w:jc w:val="center"/>
        <w:tblInd w:w="0" w:type="dxa"/>
        <w:tblLayout w:type="fixed"/>
        <w:tblCellMar>
          <w:top w:w="28" w:type="dxa"/>
          <w:left w:w="28" w:type="dxa"/>
          <w:bottom w:w="28" w:type="dxa"/>
          <w:right w:w="28" w:type="dxa"/>
        </w:tblCellMar>
      </w:tblPr>
      <w:tblGrid>
        <w:gridCol w:w="191"/>
        <w:gridCol w:w="168"/>
        <w:gridCol w:w="168"/>
        <w:gridCol w:w="2816"/>
        <w:gridCol w:w="2816"/>
        <w:gridCol w:w="4046"/>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 One)</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quarterly period ended June 30, 2023</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OR</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001-36812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SALARIUS PHARMACEUTICALS,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971" w:type="dxa"/>
        <w:jc w:val="center"/>
        <w:tblInd w:w="0" w:type="dxa"/>
        <w:tblLayout w:type="fixed"/>
        <w:tblCellMar>
          <w:top w:w="28" w:type="dxa"/>
          <w:left w:w="28" w:type="dxa"/>
          <w:bottom w:w="28" w:type="dxa"/>
          <w:right w:w="28" w:type="dxa"/>
        </w:tblCellMar>
      </w:tblPr>
      <w:tblGrid>
        <w:gridCol w:w="124"/>
        <w:gridCol w:w="109"/>
        <w:gridCol w:w="109"/>
        <w:gridCol w:w="742"/>
        <w:gridCol w:w="742"/>
        <w:gridCol w:w="751"/>
        <w:gridCol w:w="109"/>
        <w:gridCol w:w="109"/>
        <w:gridCol w:w="109"/>
        <w:gridCol w:w="563"/>
        <w:gridCol w:w="563"/>
        <w:gridCol w:w="5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46-5087339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2450 Holcombe Blvd., Suite X, Houston, TX 77021</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offices)(Zip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(832)804-9144</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270"/>
        <w:jc w:val="left"/>
        <w:rPr/>
      </w:pPr>
      <w:r>
        <w:rPr/>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27" w:type="dxa"/>
        <w:jc w:val="left"/>
        <w:tblInd w:w="0" w:type="dxa"/>
        <w:tblLayout w:type="fixed"/>
        <w:tblCellMar>
          <w:top w:w="28" w:type="dxa"/>
          <w:left w:w="28" w:type="dxa"/>
          <w:bottom w:w="28" w:type="dxa"/>
          <w:right w:w="28" w:type="dxa"/>
        </w:tblCellMar>
      </w:tblPr>
      <w:tblGrid>
        <w:gridCol w:w="954"/>
        <w:gridCol w:w="838"/>
        <w:gridCol w:w="848"/>
        <w:gridCol w:w="109"/>
        <w:gridCol w:w="109"/>
        <w:gridCol w:w="109"/>
        <w:gridCol w:w="524"/>
        <w:gridCol w:w="524"/>
        <w:gridCol w:w="526"/>
        <w:gridCol w:w="109"/>
        <w:gridCol w:w="109"/>
        <w:gridCol w:w="109"/>
        <w:gridCol w:w="1071"/>
        <w:gridCol w:w="1071"/>
        <w:gridCol w:w="1517"/>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60" w:after="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No</w:t>
      </w:r>
      <w:r>
        <w:rPr>
          <w:color w:val="000000"/>
        </w:rPr>
        <w: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11"/>
        <w:gridCol w:w="537"/>
        <w:gridCol w:w="540"/>
        <w:gridCol w:w="109"/>
        <w:gridCol w:w="109"/>
        <w:gridCol w:w="109"/>
        <w:gridCol w:w="425"/>
        <w:gridCol w:w="425"/>
        <w:gridCol w:w="427"/>
        <w:gridCol w:w="109"/>
        <w:gridCol w:w="109"/>
        <w:gridCol w:w="109"/>
        <w:gridCol w:w="540"/>
        <w:gridCol w:w="540"/>
        <w:gridCol w:w="542"/>
        <w:gridCol w:w="109"/>
        <w:gridCol w:w="109"/>
        <w:gridCol w:w="109"/>
        <w:gridCol w:w="646"/>
        <w:gridCol w:w="646"/>
        <w:gridCol w:w="649"/>
        <w:gridCol w:w="109"/>
        <w:gridCol w:w="109"/>
        <w:gridCol w:w="109"/>
        <w:gridCol w:w="661"/>
        <w:gridCol w:w="661"/>
        <w:gridCol w:w="664"/>
        <w:gridCol w:w="109"/>
        <w:gridCol w:w="109"/>
        <w:gridCol w:w="165"/>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6"/>
              </w:rPr>
              <w:t>Emerging Growth Company</w:t>
            </w:r>
          </w:p>
        </w:tc>
        <w:tc>
          <w:tcPr>
            <w:tcW w:w="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As of August 7, 2023, there were 3,641,433 shares of common stock outstanding.</w:t>
      </w:r>
    </w:p>
    <w:p>
      <w:pPr>
        <w:pStyle w:val="TextBody"/>
        <w:bidi w:val="0"/>
        <w:spacing w:before="60" w:after="60"/>
        <w:jc w:val="left"/>
        <w:rPr/>
      </w:pPr>
      <w:r>
        <w:rPr/>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TABLE OF CONTENTS</w:t>
      </w:r>
    </w:p>
    <w:tbl>
      <w:tblPr>
        <w:tblW w:w="9781" w:type="dxa"/>
        <w:jc w:val="left"/>
        <w:tblInd w:w="0" w:type="dxa"/>
        <w:tblLayout w:type="fixed"/>
        <w:tblCellMar>
          <w:top w:w="28" w:type="dxa"/>
          <w:left w:w="28" w:type="dxa"/>
          <w:bottom w:w="28" w:type="dxa"/>
          <w:right w:w="28" w:type="dxa"/>
        </w:tblCellMar>
      </w:tblPr>
      <w:tblGrid>
        <w:gridCol w:w="505"/>
        <w:gridCol w:w="443"/>
        <w:gridCol w:w="448"/>
        <w:gridCol w:w="2613"/>
        <w:gridCol w:w="2613"/>
        <w:gridCol w:w="2618"/>
        <w:gridCol w:w="158"/>
        <w:gridCol w:w="158"/>
        <w:gridCol w:w="22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7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13">
              <w:r>
                <w:rPr>
                  <w:rStyle w:val="InternetLink"/>
                  <w:rFonts w:ascii="Arial;sans-serif" w:hAnsi="Arial;sans-serif"/>
                  <w:b w:val="false"/>
                  <w:color w:val="0000FF"/>
                  <w:sz w:val="20"/>
                  <w:u w:val="single"/>
                </w:rPr>
                <w:t xml:space="preserve">PART I. </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13">
              <w:r>
                <w:rPr>
                  <w:rStyle w:val="InternetLink"/>
                  <w:rFonts w:ascii="Arial;sans-serif" w:hAnsi="Arial;sans-serif"/>
                  <w:b w:val="false"/>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16">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13">
              <w:r>
                <w:rPr>
                  <w:rStyle w:val="InternetLink"/>
                  <w:rFonts w:ascii="Arial;sans-serif" w:hAnsi="Arial;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16">
              <w:r>
                <w:rPr>
                  <w:rStyle w:val="InternetLink"/>
                  <w:rFonts w:ascii="Arial;sans-serif" w:hAnsi="Arial;sans-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19">
              <w:r>
                <w:rPr>
                  <w:rStyle w:val="InternetLink"/>
                  <w:rFonts w:ascii="Arial;sans-serif" w:hAnsi="Arial;sans-serif"/>
                  <w:b w:val="false"/>
                  <w:color w:val="000080"/>
                  <w:sz w:val="20"/>
                  <w:u w:val="single"/>
                </w:rPr>
                <w:t xml:space="preserve">Condensed </w:t>
              </w:r>
            </w:hyperlink>
            <w:hyperlink w:anchor="i5856fd3044214fc2aed32b02fe24d963_19">
              <w:r>
                <w:rPr>
                  <w:rStyle w:val="InternetLink"/>
                  <w:rFonts w:ascii="Arial;sans-serif" w:hAnsi="Arial;sans-serif"/>
                  <w:b w:val="false"/>
                  <w:color w:val="000080"/>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19">
              <w:r>
                <w:rPr>
                  <w:rStyle w:val="InternetLink"/>
                  <w:rFonts w:ascii="Arial;sans-serif" w:hAnsi="Arial;sans-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22">
              <w:r>
                <w:rPr>
                  <w:rStyle w:val="InternetLink"/>
                  <w:rFonts w:ascii="Arial;sans-serif" w:hAnsi="Arial;sans-serif"/>
                  <w:b w:val="false"/>
                  <w:color w:val="000080"/>
                  <w:sz w:val="20"/>
                  <w:u w:val="single"/>
                </w:rPr>
                <w:t xml:space="preserve">Condensed </w:t>
              </w:r>
            </w:hyperlink>
            <w:hyperlink w:anchor="i5856fd3044214fc2aed32b02fe24d963_22">
              <w:r>
                <w:rPr>
                  <w:rStyle w:val="InternetLink"/>
                  <w:rFonts w:ascii="Arial;sans-serif" w:hAnsi="Arial;sans-serif"/>
                  <w:b w:val="false"/>
                  <w:color w:val="000080"/>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22">
              <w:r>
                <w:rPr>
                  <w:rStyle w:val="InternetLink"/>
                  <w:rFonts w:ascii="Arial;sans-serif" w:hAnsi="Arial;sans-serif"/>
                  <w:b w:val="false"/>
                  <w:color w:val="0000FF"/>
                  <w:sz w:val="20"/>
                  <w:u w:val="single"/>
                </w:rPr>
                <w:t>6</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25">
              <w:r>
                <w:rPr>
                  <w:rStyle w:val="InternetLink"/>
                  <w:rFonts w:ascii="Arial;sans-serif" w:hAnsi="Arial;sans-serif"/>
                  <w:b w:val="false"/>
                  <w:color w:val="000080"/>
                  <w:sz w:val="20"/>
                  <w:u w:val="single"/>
                </w:rPr>
                <w:t xml:space="preserve">Condensed </w:t>
              </w:r>
            </w:hyperlink>
            <w:hyperlink w:anchor="i5856fd3044214fc2aed32b02fe24d963_25">
              <w:r>
                <w:rPr>
                  <w:rStyle w:val="InternetLink"/>
                  <w:rFonts w:ascii="Arial;sans-serif" w:hAnsi="Arial;sans-serif"/>
                  <w:b w:val="false"/>
                  <w:color w:val="000080"/>
                  <w:sz w:val="20"/>
                  <w:u w:val="single"/>
                </w:rPr>
                <w:t xml:space="preserve">Consolidated Statements of Cash Flows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25">
              <w:r>
                <w:rPr>
                  <w:rStyle w:val="InternetLink"/>
                  <w:rFonts w:ascii="Arial;sans-serif" w:hAnsi="Arial;sans-serif"/>
                  <w:b w:val="false"/>
                  <w:color w:val="0000FF"/>
                  <w:sz w:val="20"/>
                  <w:u w:val="single"/>
                </w:rPr>
                <w:t>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28">
              <w:r>
                <w:rPr>
                  <w:rStyle w:val="InternetLink"/>
                  <w:rFonts w:ascii="Arial;sans-serif" w:hAnsi="Arial;sans-serif"/>
                  <w:b w:val="false"/>
                  <w:color w:val="000080"/>
                  <w:sz w:val="20"/>
                  <w:u w:val="single"/>
                </w:rPr>
                <w:t xml:space="preserve">Condensed </w:t>
              </w:r>
            </w:hyperlink>
            <w:hyperlink w:anchor="i5856fd3044214fc2aed32b02fe24d963_28">
              <w:r>
                <w:rPr>
                  <w:rStyle w:val="InternetLink"/>
                  <w:rFonts w:ascii="Arial;sans-serif" w:hAnsi="Arial;sans-serif"/>
                  <w:b w:val="false"/>
                  <w:color w:val="000080"/>
                  <w:sz w:val="20"/>
                  <w:u w:val="single"/>
                </w:rPr>
                <w:t>Consolidated Statement</w:t>
              </w:r>
            </w:hyperlink>
            <w:hyperlink w:anchor="i5856fd3044214fc2aed32b02fe24d963_28">
              <w:r>
                <w:rPr>
                  <w:rStyle w:val="InternetLink"/>
                  <w:rFonts w:ascii="Arial;sans-serif" w:hAnsi="Arial;sans-serif"/>
                  <w:b w:val="false"/>
                  <w:color w:val="000080"/>
                  <w:sz w:val="20"/>
                  <w:u w:val="single"/>
                </w:rPr>
                <w:t>s</w:t>
              </w:r>
            </w:hyperlink>
            <w:hyperlink w:anchor="i5856fd3044214fc2aed32b02fe24d963_28">
              <w:r>
                <w:rPr>
                  <w:rStyle w:val="InternetLink"/>
                  <w:rFonts w:ascii="Arial;sans-serif" w:hAnsi="Arial;sans-serif"/>
                  <w:b w:val="false"/>
                  <w:color w:val="000080"/>
                  <w:sz w:val="20"/>
                  <w:u w:val="single"/>
                </w:rPr>
                <w:t xml:space="preserve">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28">
              <w:r>
                <w:rPr>
                  <w:rStyle w:val="InternetLink"/>
                  <w:rFonts w:ascii="Arial;sans-serif" w:hAnsi="Arial;sans-serif"/>
                  <w:b w:val="false"/>
                  <w:color w:val="0000FF"/>
                  <w:sz w:val="20"/>
                  <w:u w:val="single"/>
                </w:rPr>
                <w:t>8</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31">
              <w:r>
                <w:rPr>
                  <w:rStyle w:val="InternetLink"/>
                  <w:rFonts w:ascii="Arial;sans-serif" w:hAnsi="Arial;sans-serif"/>
                  <w:b w:val="false"/>
                  <w:color w:val="000080"/>
                  <w:sz w:val="20"/>
                  <w:u w:val="single"/>
                </w:rPr>
                <w:t>Notes to</w:t>
              </w:r>
            </w:hyperlink>
            <w:hyperlink w:anchor="i5856fd3044214fc2aed32b02fe24d963_31">
              <w:r>
                <w:rPr>
                  <w:rStyle w:val="InternetLink"/>
                  <w:rFonts w:ascii="Arial;sans-serif" w:hAnsi="Arial;sans-serif"/>
                  <w:b w:val="false"/>
                  <w:color w:val="000080"/>
                  <w:sz w:val="20"/>
                  <w:u w:val="single"/>
                </w:rPr>
                <w:t xml:space="preserve"> Condensed </w:t>
              </w:r>
            </w:hyperlink>
            <w:hyperlink w:anchor="i5856fd3044214fc2aed32b02fe24d963_31">
              <w:r>
                <w:rPr>
                  <w:rStyle w:val="InternetLink"/>
                  <w:rFonts w:ascii="Arial;sans-serif" w:hAnsi="Arial;sans-serif"/>
                  <w:b w:val="false"/>
                  <w:color w:val="000080"/>
                  <w:sz w:val="20"/>
                  <w:u w:val="single"/>
                </w:rPr>
                <w:t>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31">
              <w:r>
                <w:rPr>
                  <w:rStyle w:val="InternetLink"/>
                  <w:rFonts w:ascii="Arial;sans-serif" w:hAnsi="Arial;sans-serif"/>
                  <w:b w:val="false"/>
                  <w:color w:val="0000FF"/>
                  <w:sz w:val="20"/>
                  <w:u w:val="single"/>
                </w:rPr>
                <w:t>9</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70">
              <w:r>
                <w:rPr>
                  <w:rStyle w:val="InternetLink"/>
                  <w:rFonts w:ascii="Arial;sans-serif" w:hAnsi="Arial;sans-serif"/>
                  <w:b w:val="false"/>
                  <w:color w:val="0000FF"/>
                  <w:sz w:val="20"/>
                  <w:u w:val="singl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70">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70">
              <w:r>
                <w:rPr>
                  <w:rStyle w:val="InternetLink"/>
                  <w:rFonts w:ascii="Arial;sans-serif" w:hAnsi="Arial;sans-serif"/>
                  <w:b w:val="false"/>
                  <w:color w:val="0000FF"/>
                  <w:sz w:val="20"/>
                  <w:u w:val="single"/>
                </w:rPr>
                <w:t>18</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79">
              <w:r>
                <w:rPr>
                  <w:rStyle w:val="InternetLink"/>
                  <w:rFonts w:ascii="Arial;sans-serif" w:hAnsi="Arial;sans-serif"/>
                  <w:b w:val="false"/>
                  <w:color w:val="0000FF"/>
                  <w:sz w:val="20"/>
                  <w:u w:val="singl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79">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79">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82">
              <w:r>
                <w:rPr>
                  <w:rStyle w:val="InternetLink"/>
                  <w:rFonts w:ascii="Arial;sans-serif" w:hAnsi="Arial;sans-serif"/>
                  <w:b w:val="false"/>
                  <w:color w:val="0000FF"/>
                  <w:sz w:val="20"/>
                  <w:u w:val="singl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82">
              <w:r>
                <w:rPr>
                  <w:rStyle w:val="InternetLink"/>
                  <w:rFonts w:ascii="Arial;sans-serif" w:hAnsi="Arial;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82">
              <w:r>
                <w:rPr>
                  <w:rStyle w:val="InternetLink"/>
                  <w:rFonts w:ascii="Arial;sans-serif" w:hAnsi="Arial;sans-serif"/>
                  <w:b w:val="false"/>
                  <w:color w:val="0000FF"/>
                  <w:sz w:val="20"/>
                  <w:u w:val="single"/>
                </w:rPr>
                <w:t>23</w:t>
              </w:r>
            </w:hyperlink>
          </w:p>
        </w:tc>
      </w:tr>
      <w:tr>
        <w:trPr/>
        <w:tc>
          <w:tcPr>
            <w:tcW w:w="97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85">
              <w:r>
                <w:rPr>
                  <w:rStyle w:val="InternetLink"/>
                  <w:rFonts w:ascii="Arial;sans-serif" w:hAnsi="Arial;sans-serif"/>
                  <w:b w:val="false"/>
                  <w:color w:val="0000FF"/>
                  <w:sz w:val="20"/>
                  <w:u w:val="singl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85">
              <w:r>
                <w:rPr>
                  <w:rStyle w:val="InternetLink"/>
                  <w:rFonts w:ascii="Arial;sans-serif" w:hAnsi="Arial;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88">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88">
              <w:r>
                <w:rPr>
                  <w:rStyle w:val="InternetLink"/>
                  <w:rFonts w:ascii="Arial;sans-serif" w:hAnsi="Arial;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88">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91">
              <w:r>
                <w:rPr>
                  <w:rStyle w:val="InternetLink"/>
                  <w:rFonts w:ascii="Arial;sans-serif" w:hAnsi="Arial;sans-serif"/>
                  <w:b w:val="false"/>
                  <w:color w:val="0000FF"/>
                  <w:sz w:val="20"/>
                  <w:u w:val="singl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91">
              <w:r>
                <w:rPr>
                  <w:rStyle w:val="InternetLink"/>
                  <w:rFonts w:ascii="Arial;sans-serif" w:hAnsi="Arial;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91">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94">
              <w:r>
                <w:rPr>
                  <w:rStyle w:val="InternetLink"/>
                  <w:rFonts w:ascii="Arial;sans-serif" w:hAnsi="Arial;sans-serif"/>
                  <w:b w:val="false"/>
                  <w:color w:val="0000FF"/>
                  <w:sz w:val="20"/>
                  <w:u w:val="singl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94">
              <w:r>
                <w:rPr>
                  <w:rStyle w:val="InternetLink"/>
                  <w:rFonts w:ascii="Arial;sans-serif" w:hAnsi="Arial;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94">
              <w:r>
                <w:rPr>
                  <w:rStyle w:val="InternetLink"/>
                  <w:rFonts w:ascii="Arial;sans-serif" w:hAnsi="Arial;sans-serif"/>
                  <w:b w:val="false"/>
                  <w:color w:val="0000FF"/>
                  <w:sz w:val="20"/>
                  <w:u w:val="single"/>
                </w:rPr>
                <w:t>26</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56fd3044214fc2aed32b02fe24d963_97">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56fd3044214fc2aed32b02fe24d963_97">
              <w:r>
                <w:rPr>
                  <w:rStyle w:val="InternetLink"/>
                  <w:rFonts w:ascii="Arial;sans-serif" w:hAnsi="Arial;sans-serif"/>
                  <w:b w:val="false"/>
                  <w:color w:val="0000FF"/>
                  <w:sz w:val="20"/>
                  <w:u w:val="single"/>
                </w:rPr>
                <w:t>27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Company's expectation regarding the exploration of strategic alternatives;</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 xml:space="preserve">the Company's planned strategy; including reducing its expenditures on research and development activities and taking other cost savings measures in connection with the decision to evaluate strategic alternatives;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Company's ability to continue as a going concern and its ability to obtain additional capital to support its operations beyond the fourth quarter of 2023;</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 xml:space="preserve">estimated costs associated with the Company’s cost savings plan;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expected timing of implementing and completing the the Company’s cost savings plan;</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Company’s ability to preserve capital while it continues to assess potential strategic alternatives;</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expected timing for incurring costs associated with the cost savings plan;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Company's clinical trials, including expected costs, goals, timing and other expectations related thereto;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potential advantages of its lead compound, seclidemstat or SP-2577, as a treatment for Ewing sarcoma, and other cancers and its ability to improve the life of patients;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potential for seclidemstat to target the epigenetic dysregulation underlying Ewing sarcoma and advanced solid tumors;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the future of the company’s Phase 1/2 trial of seclidemstat as a treatment for Ewing sarcoma and FET-rearranged sarcomas;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potential advantages of protein degraders including the value of SP-3164 as a cancer treatment;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commercial or market opportunity and expansion for each therapeutic option, including the availability and value of a pediatric priority review voucher for in-clinic treatments and potential for accelerated approval;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expectations as to revenue, cash flow, and expenses;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liquidity position, the expected insufficiency of such position to support anticipated operating and capital requirements;</w:t>
      </w:r>
    </w:p>
    <w:p>
      <w:pPr>
        <w:pStyle w:val="TextBody"/>
        <w:bidi w:val="0"/>
        <w:spacing w:before="0" w:after="240"/>
        <w:jc w:val="both"/>
        <w:rPr/>
      </w:pPr>
      <w:r>
        <w:rPr/>
      </w:r>
    </w:p>
    <w:p>
      <w:pPr>
        <w:pStyle w:val="TextBody"/>
        <w:bidi w:val="0"/>
        <w:spacing w:lineRule="auto" w:line="276" w:before="0" w:after="240"/>
        <w:jc w:val="both"/>
        <w:rPr/>
      </w:pPr>
      <w:r>
        <w:rPr>
          <w:rFonts w:ascii="Arial;sans-serif" w:hAnsi="Arial;sans-serif"/>
          <w:b w:val="false"/>
          <w:color w:val="000000"/>
          <w:sz w:val="20"/>
        </w:rPr>
        <w:t>Forward-looking statements also include statements other than statements of current or historical fact, including, without limitation, all statements</w:t>
      </w:r>
      <w:r>
        <w:rPr>
          <w:color w:val="000000"/>
        </w:rPr>
        <w:t xml:space="preserve"> </w:t>
      </w:r>
      <w:r>
        <w:rPr>
          <w:rFonts w:ascii="Arial;sans-serif" w:hAnsi="Arial;sans-serif"/>
          <w:b w:val="false"/>
          <w:color w:val="000000"/>
          <w:sz w:val="20"/>
        </w:rPr>
        <w:t>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w:t>
      </w:r>
      <w:r>
        <w:rPr>
          <w:color w:val="000000"/>
        </w:rPr>
        <w:t xml:space="preserve"> “</w:t>
      </w:r>
      <w:r>
        <w:rPr>
          <w:rFonts w:ascii="Arial;sans-serif" w:hAnsi="Arial;sans-serif"/>
          <w:b w:val="false"/>
          <w:color w:val="000000"/>
          <w:sz w:val="20"/>
        </w:rPr>
        <w:t>target”,</w:t>
      </w:r>
      <w:r>
        <w:rPr>
          <w:color w:val="000000"/>
        </w:rPr>
        <w:t xml:space="preserve"> “</w:t>
      </w:r>
      <w:r>
        <w:rPr>
          <w:rFonts w:ascii="Arial;sans-serif" w:hAnsi="Arial;sans-serif"/>
          <w:b w:val="false"/>
          <w:color w:val="000000"/>
          <w:sz w:val="20"/>
        </w:rPr>
        <w:t>potential,” “evaluate,” “proceeding.”</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uncertainties about the exploration and evaluation of strategic alternatives, including that they may not result in a definitive transaction or enhance stockholder value and may create a distraction or uncertainty that may adversely affect our operating results, business or investor perceptions;</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potential adverse impacts resulting from our recent announcement regarding our board of directors’ review of potential strategic alternatives for the Company;</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we may not be able to implement the cost savings plan as currently anticipated or within the timing currently anticipated;</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the impact of the workforce reduction on the Company’s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the risk that the Company’s cost saving initiatives may not be successful;</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 xml:space="preserve">unanticipated difficulties with preserving capital; </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 xml:space="preserve">unanticipated charges not currently contemplated that may occur as a result of the Company’s cost savings plan; </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our ability to raise additional capital;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effectiveness and timeliness of our preclinical studies and possible future clinical trials, and the usefulness of the data;</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adequacy of our capital to support our future operations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fluctuations in our operating results;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success of current and future license and collaboration agreements;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dependence on contract research organizations, vendors and investigators;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effects of competition and other developments affecting development of products;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market acceptance of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protection of intellectual property and avoiding intellectual property infringement;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product liability;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other factors described in our filings with the SEC. </w:t>
      </w:r>
    </w:p>
    <w:p>
      <w:pPr>
        <w:pStyle w:val="TextBody"/>
        <w:bidi w:val="0"/>
        <w:spacing w:before="0" w:after="0"/>
        <w:jc w:val="left"/>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cannot guarantee that the results and other expectations expressed, anticipated or implied in any forward-looking statement will be realized. The risks set forth under Item 1A of our Annual Report on Form 10-K for the fiscal year ended December 31, 2022,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49" w:type="dxa"/>
        <w:jc w:val="center"/>
        <w:tblInd w:w="0" w:type="dxa"/>
        <w:tblLayout w:type="fixed"/>
        <w:tblCellMar>
          <w:top w:w="28" w:type="dxa"/>
          <w:left w:w="28" w:type="dxa"/>
          <w:bottom w:w="28" w:type="dxa"/>
          <w:right w:w="28" w:type="dxa"/>
        </w:tblCellMar>
      </w:tblPr>
      <w:tblGrid>
        <w:gridCol w:w="271"/>
        <w:gridCol w:w="238"/>
        <w:gridCol w:w="241"/>
        <w:gridCol w:w="614"/>
        <w:gridCol w:w="614"/>
        <w:gridCol w:w="87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80"/>
        <w:gridCol w:w="2142"/>
        <w:gridCol w:w="2117"/>
        <w:gridCol w:w="211"/>
        <w:gridCol w:w="1126"/>
        <w:gridCol w:w="109"/>
        <w:gridCol w:w="109"/>
        <w:gridCol w:w="109"/>
        <w:gridCol w:w="109"/>
        <w:gridCol w:w="211"/>
        <w:gridCol w:w="1126"/>
        <w:gridCol w:w="156"/>
      </w:tblGrid>
      <w:tr>
        <w:trPr/>
        <w:tc>
          <w:tcPr>
            <w:tcW w:w="268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12/31/2022</w:t>
            </w:r>
          </w:p>
        </w:tc>
      </w:tr>
      <w:tr>
        <w:trPr/>
        <w:tc>
          <w:tcPr>
            <w:tcW w:w="6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(Audited)</w:t>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Grants receivable from CPRIT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11,956,250 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14,520,298 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12,055,298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14,650,799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Liabilities and stockholders' equity </w:t>
            </w:r>
          </w:p>
        </w:tc>
        <w:tc>
          <w:tcPr>
            <w:tcW w:w="14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4,266,191 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5)</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$0.0001 par value; 10,000,000 shares authorized; 0 issued and outstanding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100,000,000 shares authorized; 3,352,069 and 2,255,899 shares issued and outstanding at June 30, 2023 and December 31, 2022,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81,436,696 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74,189,531 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(73,023,229)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(63,805,148)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10,384,608 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12,055,298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14,650,799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58"/>
        <w:gridCol w:w="823"/>
        <w:gridCol w:w="825"/>
        <w:gridCol w:w="211"/>
        <w:gridCol w:w="1037"/>
        <w:gridCol w:w="109"/>
        <w:gridCol w:w="109"/>
        <w:gridCol w:w="109"/>
        <w:gridCol w:w="109"/>
        <w:gridCol w:w="211"/>
        <w:gridCol w:w="1037"/>
        <w:gridCol w:w="109"/>
        <w:gridCol w:w="109"/>
        <w:gridCol w:w="109"/>
        <w:gridCol w:w="109"/>
        <w:gridCol w:w="211"/>
        <w:gridCol w:w="1037"/>
        <w:gridCol w:w="109"/>
        <w:gridCol w:w="109"/>
        <w:gridCol w:w="109"/>
        <w:gridCol w:w="109"/>
        <w:gridCol w:w="211"/>
        <w:gridCol w:w="1142"/>
        <w:gridCol w:w="109"/>
        <w:gridCol w:w="109"/>
        <w:gridCol w:w="109"/>
        <w:gridCol w:w="109"/>
        <w:gridCol w:w="158"/>
      </w:tblGrid>
      <w:tr>
        <w:trPr/>
        <w:tc>
          <w:tcPr>
            <w:tcW w:w="155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9,392,058 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other income (expense)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(10,875,196)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continuing operations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(3,877,308)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(4,718,338)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(9,218,081)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(10,827,563)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(3,877,308)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(4,718,338)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(9,218,081)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(10,827,563)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common share —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 basic and diluted</w:t>
            </w:r>
          </w:p>
        </w:tc>
        <w:tc>
          <w:tcPr>
            <w:tcW w:w="12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999" w:type="dxa"/>
        <w:jc w:val="left"/>
        <w:tblInd w:w="0" w:type="dxa"/>
        <w:tblLayout w:type="fixed"/>
        <w:tblCellMar>
          <w:top w:w="28" w:type="dxa"/>
          <w:left w:w="28" w:type="dxa"/>
          <w:bottom w:w="28" w:type="dxa"/>
          <w:right w:w="28" w:type="dxa"/>
        </w:tblCellMar>
      </w:tblPr>
      <w:tblGrid>
        <w:gridCol w:w="2418"/>
        <w:gridCol w:w="2125"/>
        <w:gridCol w:w="2132"/>
        <w:gridCol w:w="211"/>
        <w:gridCol w:w="1126"/>
        <w:gridCol w:w="109"/>
        <w:gridCol w:w="109"/>
        <w:gridCol w:w="109"/>
        <w:gridCol w:w="109"/>
        <w:gridCol w:w="211"/>
        <w:gridCol w:w="1186"/>
        <w:gridCol w:w="154"/>
      </w:tblGrid>
      <w:tr>
        <w:trPr/>
        <w:tc>
          <w:tcPr>
            <w:tcW w:w="2418"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(9,218,081)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(10,827,563)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In-process research and development technology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Grants receivable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(7,585,882)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(7,140,445)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in-process research and development technology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equity securities,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2,073,070 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2,073,070 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(6,567,375)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29,214,380 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11,541,443 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22,647,005 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in-process research and development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issuance costs for issuance of equity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08"/>
        <w:gridCol w:w="580"/>
        <w:gridCol w:w="584"/>
        <w:gridCol w:w="510"/>
        <w:gridCol w:w="511"/>
        <w:gridCol w:w="323"/>
        <w:gridCol w:w="109"/>
        <w:gridCol w:w="109"/>
        <w:gridCol w:w="109"/>
        <w:gridCol w:w="211"/>
        <w:gridCol w:w="481"/>
        <w:gridCol w:w="109"/>
        <w:gridCol w:w="109"/>
        <w:gridCol w:w="109"/>
        <w:gridCol w:w="109"/>
        <w:gridCol w:w="226"/>
        <w:gridCol w:w="1210"/>
        <w:gridCol w:w="117"/>
        <w:gridCol w:w="109"/>
        <w:gridCol w:w="109"/>
        <w:gridCol w:w="109"/>
        <w:gridCol w:w="217"/>
        <w:gridCol w:w="1171"/>
        <w:gridCol w:w="112"/>
        <w:gridCol w:w="109"/>
        <w:gridCol w:w="109"/>
        <w:gridCol w:w="109"/>
        <w:gridCol w:w="247"/>
        <w:gridCol w:w="1195"/>
        <w:gridCol w:w="185"/>
      </w:tblGrid>
      <w:tr>
        <w:trPr/>
        <w:tc>
          <w:tcPr>
            <w:tcW w:w="90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 (Deficit)</w:t>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1,809,593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70,919,996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(32,197,192)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38,722,985</w:t>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in-process research and development technology</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487,900</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313,903</w:t>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(6,109,225)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(6,109,225)</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1,867,808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71,721,793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(38,306,417)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33,415,563</w:t>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373,577 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1,987,339 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1,987,376 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174,528 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174,528 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for services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(4,718,338)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(4,718,338)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2022</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2,244,569</w:t>
            </w:r>
            <w:r>
              <w:rPr>
                <w:color w:val="000000"/>
              </w:rPr>
              <w:t>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73,908,660</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(43,024,755)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30,884,129</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2,255,899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74,189,531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(63,805,148)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10,384,608</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311,681</w:t>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203,345</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(5,340,773)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(5,340,773)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2,468,297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74,704,536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(69,145,921)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5,558,861</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883,772 </w:t>
            </w:r>
          </w:p>
        </w:tc>
        <w:tc>
          <w:tcPr>
            <w:tcW w:w="3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6,608,701 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6,608,790 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(3,877,308)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(3,877,308)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2023</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3,352,069</w:t>
            </w:r>
            <w:r>
              <w:rPr>
                <w:color w:val="000000"/>
              </w:rPr>
              <w:t>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81,436,696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(73,023,229)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8,413,802</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
        <w:jc w:val="left"/>
        <w:rPr>
          <w:rFonts w:ascii="Arial;sans-serif" w:hAnsi="Arial;sans-serif"/>
          <w:b/>
          <w:color w:val="000000"/>
          <w:sz w:val="20"/>
        </w:rPr>
      </w:pPr>
      <w:r>
        <w:rPr>
          <w:rFonts w:ascii="Arial;sans-serif" w:hAnsi="Arial;sans-serif"/>
          <w:b/>
          <w:color w:val="000000"/>
          <w:sz w:val="20"/>
        </w:rPr>
        <w:t>NOTE 1. ORGANIZATION AND OPERATIONS</w:t>
      </w:r>
    </w:p>
    <w:p>
      <w:pPr>
        <w:pStyle w:val="TextBody"/>
        <w:bidi w:val="0"/>
        <w:spacing w:before="0" w:after="20"/>
        <w:jc w:val="left"/>
        <w:rPr/>
      </w:pPr>
      <w:r>
        <w:rPr/>
      </w:r>
    </w:p>
    <w:p>
      <w:pPr>
        <w:pStyle w:val="TextBody"/>
        <w:bidi w:val="0"/>
        <w:spacing w:lineRule="auto" w:line="288" w:before="0" w:after="20"/>
        <w:jc w:val="left"/>
        <w:rPr>
          <w:rFonts w:ascii="Arial;sans-serif" w:hAnsi="Arial;sans-serif"/>
          <w:b/>
          <w:color w:val="000000"/>
          <w:sz w:val="20"/>
        </w:rPr>
      </w:pPr>
      <w:r>
        <w:rPr>
          <w:rFonts w:ascii="Arial;sans-serif" w:hAnsi="Arial;sans-serif"/>
          <w:b/>
          <w:color w:val="000000"/>
          <w:sz w:val="20"/>
        </w:rPr>
        <w:t>Nature of Business</w:t>
      </w:r>
    </w:p>
    <w:p>
      <w:pPr>
        <w:pStyle w:val="TextBody"/>
        <w:bidi w:val="0"/>
        <w:spacing w:before="0" w:after="2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Company is developing two classes of drugs that address gene dysregulation: targeted protein inhibitors and targeted protein degraders. The Company's technologies have the potential to work in both liquid and solid tumors. The Company's current pipeline consists of two small molecule drugs: 1) SP-3164, a targeted protein degrader, and 2) seclidemstat (SP-2577), a targeted protein inhibitor. The Company is located in Houston, Texas.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Going Concern</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pipeline including SP-3164 and seclidemstat.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 </w:t>
      </w:r>
    </w:p>
    <w:p>
      <w:pPr>
        <w:pStyle w:val="TextBody"/>
        <w:bidi w:val="0"/>
        <w:spacing w:before="16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which became effective on October 14, 2022. All historical share and per share amounts reflected throughout this report have been adjusted to reflect the Reverse Stock Split.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the Company and its wholly owned subsidiaries. All significant intercompany balances and transactions have been eliminated in consolidation.</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Unaudited Interim Financial Information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accompanying interim financial statements are unaudited. These unaudited interim financial statements have been prepared in accordance with the rules and regulations of the U.S. Securities and Exchange Commission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2022 included elsewhere in the Company's Annual Report on Form 10-K filed with the SEC on March 27, 2023. In the opinion of management, the unaudited interim financial statements reflect all the adjustments (consisting of normal recurring adjustments) necessary to state fairly the Company’s financial position as of June 30, 2023 and the results of operations for the three and six months ended June 30, 2023 and 2022. The interim results of operations are not necessarily indicative of the results that may occur for the full fiscal year. The December 31, 2022 balance sheet included herein was derived from the audited financial statements, but does not include all disclosures, including notes, required by GAAP for complete financial statements.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Salarius considers all highly liquid investments with original maturities of three months or less to be cash equivalents.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Impairment of Long-Lived Assets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and six months ended June 30, 2023 and 2022.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Instruments and Credit Risks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Warrants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Clinical Trial Accruals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status and cost of the studies, and may not match the actual services performed by the organizations. This could result in adjustments to the Company’s research and development expenses in future periods. To date the Company has had no significant adjustments.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Grants Receivable and Revenue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Research and Development Costs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Costs incurred in obtaining in-process research and development ("IPRD") that has no alternative future use are charged to research and development expense as acquired, and presented as investing activity cash outflows on the Statement of Cash Flow.</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Equity-Based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Salarius measures equity-based compensation based on the grant date fair value of the awards and recognizes the associated expense in the financial statements over the requisite service period of the award, which is generally the vesting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the Black-Scholes option valuation model to estimate the fair value of stock options granted to employees and directors. Assumptions utilized in these models including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Loss Per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11,550,477 and 712,311 shares as of June 30, 2023 and 2022, respectively.</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2023 and December 31, 2022,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Acquisition and Strategic Collaboration Agreement - DeuteRx</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January 12, 2022, the Company entered into an Acquisition and Strategic Collaboration Agreement (the “ASCA”), with DeuteRx, LLC, a Delaware limited liability company (the “DeuteRx”), pursuant to which DeuteRx agreed to sell, and the Company agreed to purchase and assume from DeuteRx, all of DeuteRx’s rights, title, and interest in and to certain assets of DeuteRx, including SP-3164, DeuteRx’s intellectual property, information and data related to SP-3164, tangible materials or reagents related to SP-3164, goodwill, rights and claims, other than certain excluded assets (collectively, the “Purchased Assets”), all as more specifically set forth in the ASCA, and assume certain assumed liabilities, upon the terms and subject to the conditions set forth in the ASCA. The Aggregate purchase price paid under the ASCA was $2.0 million consisting of $1.5 million cash payment and the delivery of 40,000 shares of the Company's common stock, valued at $0.5 million. Total costs incurred in obtaining IPRD that has no alternative future use are charged to research and development expense as acquired, and presented as investing activity cash outflow on the Statement of Cash Flow. In addition, the Company agreed to pay to DeuteRx potential future milestone payments upon the occurrence of an applicable Milestone Event (as defined in the ASCA) and potential future royalty payments. A member of the Company’s Board of Directors also serves as a consultant to DeuteRx and is employed by an affiliate of DeuteRx.</w:t>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Recently Adopted Accounting Standard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 - Credit Losses, Derivatives and Hedging (Topic 815), and Financial Instruments (Topic 825),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was effective for the Company on January 1, 2023. The adoption of this standard did not have a material impact to this Company's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3. GRANT RECEIVABLE FROM CPRIT</w:t>
      </w:r>
    </w:p>
    <w:p>
      <w:pPr>
        <w:pStyle w:val="TextBody"/>
        <w:bidi w:val="0"/>
        <w:spacing w:lineRule="auto" w:line="288" w:before="0" w:after="240"/>
        <w:jc w:val="both"/>
        <w:rPr/>
      </w:pPr>
      <w:r>
        <w:rPr>
          <w:rFonts w:ascii="Arial;sans-serif" w:hAnsi="Arial;sans-serif"/>
          <w:b w:val="false"/>
          <w:color w:val="000000"/>
          <w:sz w:val="20"/>
        </w:rPr>
        <w:t>Grants receivable represents qualifying costs incurred where there is reasonable assurance that conditions of the grant have been met but the corresponding funds have not been received as of the reporting date. Grants receivable balances are $0.1 million and $1.6 million at June 30, 2023 and December 31, 2022. During the three and six</w:t>
      </w:r>
      <w:r>
        <w:rPr>
          <w:color w:val="000000"/>
        </w:rPr>
        <w:t xml:space="preserve"> </w:t>
      </w:r>
      <w:r>
        <w:rPr>
          <w:rFonts w:ascii="Arial;sans-serif" w:hAnsi="Arial;sans-serif"/>
          <w:b w:val="false"/>
          <w:color w:val="000000"/>
          <w:sz w:val="20"/>
        </w:rPr>
        <w:t>months ended June 30, 2023</w:t>
      </w:r>
      <w:r>
        <w:rPr>
          <w:rFonts w:ascii="Times New Roman;sans-serif" w:hAnsi="Times New Roman;sans-serif"/>
          <w:b w:val="false"/>
          <w:color w:val="000000"/>
          <w:sz w:val="20"/>
        </w:rPr>
        <w:t xml:space="preserve">, the </w:t>
      </w:r>
      <w:r>
        <w:rPr>
          <w:rFonts w:ascii="Arial;sans-serif" w:hAnsi="Arial;sans-serif"/>
          <w:b w:val="false"/>
          <w:color w:val="000000"/>
          <w:sz w:val="20"/>
        </w:rPr>
        <w:t xml:space="preserve">Company received $0 million and $1.5 million from CPRIT,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NOTE 4. PREPAID EXPENSES AND OTHER 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at June 30, 2023 and December 31, 2022 consisted of the following: </w:t>
      </w:r>
    </w:p>
    <w:tbl>
      <w:tblPr>
        <w:tblW w:w="7900" w:type="dxa"/>
        <w:jc w:val="left"/>
        <w:tblInd w:w="0" w:type="dxa"/>
        <w:tblLayout w:type="fixed"/>
        <w:tblCellMar>
          <w:top w:w="28" w:type="dxa"/>
          <w:left w:w="28" w:type="dxa"/>
          <w:bottom w:w="28" w:type="dxa"/>
          <w:right w:w="28" w:type="dxa"/>
        </w:tblCellMar>
      </w:tblPr>
      <w:tblGrid>
        <w:gridCol w:w="1565"/>
        <w:gridCol w:w="1374"/>
        <w:gridCol w:w="1380"/>
        <w:gridCol w:w="245"/>
        <w:gridCol w:w="994"/>
        <w:gridCol w:w="126"/>
        <w:gridCol w:w="109"/>
        <w:gridCol w:w="109"/>
        <w:gridCol w:w="109"/>
        <w:gridCol w:w="326"/>
        <w:gridCol w:w="1325"/>
        <w:gridCol w:w="238"/>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clinical trial expenses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insurance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prepaid and current assets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167,576 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prepaid expenses and other current assets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284,807 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803,373 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Prepaid insurance is mainly comprised of prepaid directors' and officers' insurance.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License Agreement with the University of Utah Research Foundation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Cancer Prevention and Research Institute of Texas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June 2016, the Company entered into a Cancer Research Grant Contract with CPRIT. Pursuant to the contract, CPRIT awarded the Company a grant up to $18.7 million further modified to $16.1 million to fund development of LSD 1 inhibitor. This is a 3-year grant award that originally expired on May 31, 2019. The Company applied for a no- cost extension through November 30, 2023. Since inception, the Company has received approximately $16 million under the grant, the remaining $0.1 million is included on the balance sheet at June 30, 2023.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Lease Agreement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presently leases office space under operating lease agreements on a month-to-month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NOTE 6. FAIR VALUE OF FINANCIAL INSTRUMENTS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of unobservable inputs. A fair value hierarchy based on three levels of inputs, of which the first two are considered observable and the last is considered unobservable, are used to measure fair value:</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0" w:after="60"/>
        <w:ind w:left="0" w:right="0" w:hanging="810"/>
        <w:jc w:val="both"/>
        <w:rPr>
          <w:rFonts w:ascii="Arial;sans-serif" w:hAnsi="Arial;sans-serif"/>
          <w:b w:val="false"/>
          <w:color w:val="000000"/>
          <w:sz w:val="20"/>
        </w:rPr>
      </w:pPr>
      <w:r>
        <w:rPr>
          <w:rFonts w:ascii="Arial;sans-serif" w:hAnsi="Arial;sans-serif"/>
          <w:b w:val="false"/>
          <w:color w:val="000000"/>
          <w:sz w:val="20"/>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3 - Significant unobservable inputs including Salarius’ own assumptions in determining fair value.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believes the recorded values of its financial instruments, including cash and cash equivalents, accounts payable and note payable approximate their fair values due to the short-term nature of these instruments.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7. STOCKHOLDERS' EQUITY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Common Stock - Issuances</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During the six months ended June 30, 2023, the Company sold 696,271 ATM shares under the Sales Agreement, with gross proceeds of $1.7 million.</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On May 11, 2023, the Company entered into a Securities Purchase Agreement (the “Purchase Agreement”) with an accredited investor (the “Investor”), pursuant to which the Company agreed to issue and sell to the Investor in a private placement (the “Offering”) (i) 330,000 shares (the “Shares”) of the Company’s common stock, par value $0.0001 per share (the “Common Stock”), (ii) pre-funded warrants (the “Pre-Funded Warrants”) to purchase up to 3,306,364 shares of Common Stock, (iii) Series A-1 warrants (the “Series A-1 Warrants”) to purchase up to 3,636,364 shares of Common Stock and (iv) Series A-2 warrants (the “Series A-2 Warrants”) and together with the Series A-1 Warrants, the “Common Stock Warrants,” and together with the Pre-Funded Warrants, the “Warrants”) to purchase up to 3,636,364 shares of Common Stock, at a purchase price of (a) $1.65 per Share and accompanying Common Stock Warrants and (b) $1.6499 per Pre-Funded Warrant and accompanying Common Stock Warrants. The aggregate gross proceeds from the Offering were approximately $6.0 million, exclusive of placement agent fees and expenses and other offering expenses. The closing of the Offering occurred on May 16, 2023.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January 12, 2022, the Company issued 40,000 shares of the Company's common stock, valued at $0.5 million to purchase in-process research and development technology related to SP-3164, please refer to NOTE 2 for further discussion.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April 22, 2022, the Company entered into a securities purchase agreement with certain institutional and accredited investors for the sale by the Company of approximately 373,577 shares of the Company’s common stock, par value $0.0001 per share (the “Common Stock”) at a purchase price of $6.25 per share. Concurrently, the Company also sold unregistered warrants exercisable for an aggregate of approximately 280,183 shares of Common Stock, which represents 75% of the shares of Common Stock sold, with an exercise price of $8.4975 per share. The transaction closed on April 26, 2022 with gross proceeds of $2.3 million before deducting certain fees due to the placement agent and other estimated transaction expenses.</w:t>
      </w:r>
    </w:p>
    <w:p>
      <w:pPr>
        <w:pStyle w:val="TextBody"/>
        <w:bidi w:val="0"/>
        <w:spacing w:lineRule="auto" w:line="288" w:before="160" w:after="240"/>
        <w:jc w:val="left"/>
        <w:rPr>
          <w:rFonts w:ascii="Arial;sans-serif" w:hAnsi="Arial;sans-serif"/>
          <w:b/>
          <w:color w:val="000000"/>
          <w:sz w:val="20"/>
        </w:rPr>
      </w:pPr>
      <w:r>
        <w:rPr>
          <w:rFonts w:ascii="Arial;sans-serif" w:hAnsi="Arial;sans-serif"/>
          <w:b/>
          <w:color w:val="000000"/>
          <w:sz w:val="20"/>
        </w:rPr>
        <w:t xml:space="preserve">Warrants Exercisable for Cash </w:t>
      </w:r>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has five-year warrants outstanding that were issued in February 2020 and subsequently modified in December 2020 in connection with the issuance of additional inducement warrants. The warrants are exercisable at a price per share of $28.75. The inducement warrants expire on June 11, 2026, and are exercisable at a price per share of $29.55. The Company has 5.5 year warrants outstanding that were issued in April 2022, with an exercise price of $8.4975 per share. The warrants will be exercisable six months following the issuance date and will expire five and one-half years from the issuance date.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Series A-1 Warrants are exercisable for a period of five and one-half (5.5) years from the issuance date at an exercise price of $1.40 per share. Series A-2 Warrants are exercisable for a period of eighteen (18) months from the issuance date at an exercise price of $1.40 per share. Each Pre-Funded Warrant was sold in lieu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of shares of Common Stock, are exercisable immediately upon issuance, have an exercise price of $0.0001 per share and expire when exercised in full.</w:t>
      </w:r>
    </w:p>
    <w:p>
      <w:pPr>
        <w:pStyle w:val="TextBody"/>
        <w:bidi w:val="0"/>
        <w:spacing w:lineRule="auto" w:line="288" w:before="0" w:after="240"/>
        <w:jc w:val="both"/>
        <w:rPr/>
      </w:pPr>
      <w:r>
        <w:rPr>
          <w:rFonts w:ascii="Arial;sans-serif" w:hAnsi="Arial;sans-serif"/>
          <w:b w:val="false"/>
          <w:color w:val="000000"/>
          <w:sz w:val="20"/>
          <w:shd w:fill="FFFFFF" w:val="clear"/>
        </w:rPr>
        <w:t xml:space="preserve">In connection with the above mentioned Offering, the Company issued warrants to its exclusive placement agency </w:t>
      </w:r>
      <w:r>
        <w:rPr>
          <w:rFonts w:ascii="Arial;sans-serif" w:hAnsi="Arial;sans-serif"/>
          <w:b w:val="false"/>
          <w:color w:val="000000"/>
          <w:sz w:val="20"/>
        </w:rPr>
        <w:t xml:space="preserve">H.C Wainwright &amp; Co., LLC to purchase up to 254,454 shares of common stock at an exercise price per share of $2.0625 and a term of five and one-half (5.5) years.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As of June 30, 2023 and 2022, approximately 11,431,149 and 597,512 warrants remain outstanding.</w:t>
      </w:r>
    </w:p>
    <w:p>
      <w:pPr>
        <w:pStyle w:val="TextBody"/>
        <w:bidi w:val="0"/>
        <w:spacing w:lineRule="auto" w:line="276"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terms of the outstanding warrants require the Company, upon the consummation of any fundamental transaction to, among other obligations, cause any successor entity resulting from the fundamental transaction to assume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NOTE 8. EQUITY-BASED COMPENSATION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Equity Incentive Plans</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June 30, 2023, there were approximately 55,365 shares remaining available for the grant of option awards under the 2015 Plan.</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2023, the Company awarded 12,220 restricted stock units to its employees and 36,640 restricted stock awards to its officers and directors, pursuant to the plan described above. Both the restricted stock units and restricted stock awards are valued at the closing price $1.57 of the Company's common stock on the grant date, and generally vest over one to four years. Total fair value of the restricted stock awards and restricted stock units awarded during the six - month period ended June 30, 2023 is $76,679. </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During the six-month periods ended June 30, 2023 and 2022, the Company awarded 0 and 51,360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the six - month period ended June 30, 2022 was $0.5 million, which has been estimated with the following assumptions on the grant date.</w:t>
      </w:r>
    </w:p>
    <w:tbl>
      <w:tblPr>
        <w:tblW w:w="5531" w:type="dxa"/>
        <w:jc w:val="center"/>
        <w:tblInd w:w="0" w:type="dxa"/>
        <w:tblLayout w:type="fixed"/>
        <w:tblCellMar>
          <w:top w:w="28" w:type="dxa"/>
          <w:left w:w="28" w:type="dxa"/>
          <w:bottom w:w="28" w:type="dxa"/>
          <w:right w:w="28" w:type="dxa"/>
        </w:tblCellMar>
      </w:tblPr>
      <w:tblGrid>
        <w:gridCol w:w="880"/>
        <w:gridCol w:w="773"/>
        <w:gridCol w:w="777"/>
        <w:gridCol w:w="565"/>
        <w:gridCol w:w="565"/>
        <w:gridCol w:w="565"/>
        <w:gridCol w:w="411"/>
        <w:gridCol w:w="411"/>
        <w:gridCol w:w="58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1.62%-1.70%</w:t>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    </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125.19% 126.42%</w:t>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(years)    </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5.00-6.00</w:t>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    </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16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summarizes stock option activity for employees and non-employees for the six months ended June 30, 2023 and 2022: </w:t>
      </w:r>
    </w:p>
    <w:tbl>
      <w:tblPr>
        <w:tblW w:w="9905" w:type="dxa"/>
        <w:jc w:val="left"/>
        <w:tblInd w:w="0" w:type="dxa"/>
        <w:tblLayout w:type="fixed"/>
        <w:tblCellMar>
          <w:top w:w="28" w:type="dxa"/>
          <w:left w:w="28" w:type="dxa"/>
          <w:bottom w:w="28" w:type="dxa"/>
          <w:right w:w="28" w:type="dxa"/>
        </w:tblCellMar>
      </w:tblPr>
      <w:tblGrid>
        <w:gridCol w:w="1140"/>
        <w:gridCol w:w="1003"/>
        <w:gridCol w:w="1006"/>
        <w:gridCol w:w="427"/>
        <w:gridCol w:w="429"/>
        <w:gridCol w:w="251"/>
        <w:gridCol w:w="109"/>
        <w:gridCol w:w="109"/>
        <w:gridCol w:w="109"/>
        <w:gridCol w:w="351"/>
        <w:gridCol w:w="1252"/>
        <w:gridCol w:w="183"/>
        <w:gridCol w:w="109"/>
        <w:gridCol w:w="109"/>
        <w:gridCol w:w="109"/>
        <w:gridCol w:w="595"/>
        <w:gridCol w:w="595"/>
        <w:gridCol w:w="596"/>
        <w:gridCol w:w="109"/>
        <w:gridCol w:w="109"/>
        <w:gridCol w:w="109"/>
        <w:gridCol w:w="299"/>
        <w:gridCol w:w="577"/>
        <w:gridCol w:w="220"/>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Aggregate</w:t>
              <w:br/>
              <w:t>Intrinsic</w:t>
              <w:br/>
              <w:t>Value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2021</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2022</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114,799 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2022</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2023</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107,128 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2023</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2023 and 2022, there was approximately $0.6 million and $1.2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1.7 years.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NOTE 10 SUBSEQUENT EVENTS </w: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Strategic Alternatives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August 8, 2023 the Company announced it had retained Canaccord Genuity, LLC to lead a comprehensive review of strategic alternatives focusing on maximizing shareholder value, including but not limited to, an acquisition, merger, reverse merger, divestiture of assets, licensing, or other strategic transactions involving the Company. However, there is no set timetable for this process and there can be no assurance that this process will result in the Company pursuing a transaction or that any transaction, if pursued, will be completed on attractive terms. If the Company is unable to complete a transaction, it may be necessary to seek other alternatives for restructuring and resolving its liabilities, including an orderly wind-down. Salarius does not expect to disclose developments with respect to this process unless and until the evaluation of strategic alternatives has been completed or the Board of Directors has concluded that disclosure is appropriate or legally required.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evaluation of strategic alternatives and in order to extend its resources, Salarius is implementing a cost-savings plan that includes a reduction in workforce by over 50% of its positions, with remaining employees focusing primarily on limited drug development activities, completing the US Food and Drug Administration process to determine the clinical trial registration requirements for the seclidemstat Ewing sarcoma program and supporting the exploration of strategic alternatives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FDA Clearance of SP-3164 Investigational New Drug (IND)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11, 2023 the Company announced that the FDA had completed its safety review of the Company's IND application and concluded that the Company may proceed with clinical investigations for Non-Hodgkin’s lymphoma.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tbl>
      <w:tblPr>
        <w:tblW w:w="9209" w:type="dxa"/>
        <w:jc w:val="center"/>
        <w:tblInd w:w="0" w:type="dxa"/>
        <w:tblLayout w:type="fixed"/>
        <w:tblCellMar>
          <w:top w:w="28" w:type="dxa"/>
          <w:left w:w="28" w:type="dxa"/>
          <w:bottom w:w="28" w:type="dxa"/>
          <w:right w:w="28" w:type="dxa"/>
        </w:tblCellMar>
      </w:tblPr>
      <w:tblGrid>
        <w:gridCol w:w="271"/>
        <w:gridCol w:w="238"/>
        <w:gridCol w:w="241"/>
        <w:gridCol w:w="2474"/>
        <w:gridCol w:w="2474"/>
        <w:gridCol w:w="351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8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tc>
      </w:tr>
    </w:tbl>
    <w:p>
      <w:pPr>
        <w:pStyle w:val="TextBody"/>
        <w:bidi w:val="0"/>
        <w:spacing w:lineRule="auto" w:line="276" w:before="240" w:after="240"/>
        <w:jc w:val="both"/>
        <w:rPr/>
      </w:pPr>
      <w:r>
        <w:rPr>
          <w:rFonts w:ascii="Arial;sans-serif" w:hAnsi="Arial;sans-serif"/>
          <w:b w:val="false"/>
          <w:i/>
          <w:color w:val="000000"/>
          <w:sz w:val="20"/>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 xml:space="preserve">on Form 10-K for the year ended December 31, 2022, filed with the SEC on March 27, 2023.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on Form 10-K for the year ended December 31, 2022,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August 8, 2023, we announced that we retained Canaccord Genuity, LLC to lead a comprehensive review of strategic alternatives focusing on maximizing shareholder value, including but not limited to, an acquisition, merger, reverse merger, divestiture of assets, licensing, or other strategic transactions involving our company. However, there is no set timetable for this process and there can be no assurance that this process will result in us pursuing a transaction or that any transaction, if pursued, will be completed on attractive terms. If we are unable to complete a transaction, it may be necessary to seek other alternatives for restructuring and resolving our liabilities, including an orderly wind-down. We do not expect to disclose developments with respect to this process unless and until the evaluation of strategic alternatives has been completed or our Board of Directors has concluded that disclosure is appropriate or legally required.</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In connection with the evaluation of strategic alternatives and in order to extend our resources, we are implementing a cost-savings plan that includes a reduction in workforce by over 50% of our positions, with remaining employees focusing primarily on limited drug development activities, completing the US Food and Drug Administration process to determine the clinical trial registration requirements for the seclidemstat Ewing sarcoma program and supporting the exploration of strategic alternatives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0" w:after="240"/>
        <w:jc w:val="both"/>
        <w:rPr/>
      </w:pPr>
      <w:r>
        <w:rPr>
          <w:rFonts w:ascii="Arial;sans-serif" w:hAnsi="Arial;sans-serif"/>
          <w:b w:val="false"/>
          <w:color w:val="000000"/>
          <w:sz w:val="20"/>
        </w:rPr>
        <w:t>We are a clinical-stage biopharmaceutical company focused on developing treatments for cancers with high, unmet medical need</w:t>
      </w:r>
      <w:r>
        <w:rPr>
          <w:rFonts w:ascii="Times New Roman;sans-serif" w:hAnsi="Times New Roman;sans-serif"/>
          <w:b w:val="false"/>
          <w:color w:val="000000"/>
          <w:sz w:val="24"/>
        </w:rPr>
        <w:t xml:space="preserve">. </w:t>
      </w:r>
      <w:r>
        <w:rPr>
          <w:rFonts w:ascii="Arial;sans-serif" w:hAnsi="Arial;sans-serif"/>
          <w:b w:val="false"/>
          <w:color w:val="000000"/>
          <w:sz w:val="20"/>
        </w:rPr>
        <w:t xml:space="preserve">Specifically, we are developing treatments for cancers caused by dysregulated gene expression, i.e., genes which are incorrectly turned on or off. We are developing two classes of drugs that address gene dysregulation: targeted protein degraders and inhibitors. Our technologies have the potential to work in both liquid and solid tumors. Our current pipeline includes the lead compounds: 1) SP-3164, a targeted protein degrader, and 2) seclidemstat (SP-2577), a targeted protein inhibitor. </w:t>
      </w:r>
    </w:p>
    <w:p>
      <w:pPr>
        <w:pStyle w:val="TextBody"/>
        <w:bidi w:val="0"/>
        <w:spacing w:lineRule="auto" w:line="276" w:before="160" w:after="240"/>
        <w:jc w:val="both"/>
        <w:rPr>
          <w:rFonts w:ascii="Arial;sans-serif" w:hAnsi="Arial;sans-serif"/>
          <w:b w:val="false"/>
          <w:color w:val="000000"/>
          <w:sz w:val="20"/>
        </w:rPr>
      </w:pPr>
      <w:r>
        <w:rPr>
          <w:rFonts w:ascii="Arial;sans-serif" w:hAnsi="Arial;sans-serif"/>
          <w:b w:val="false"/>
          <w:color w:val="000000"/>
          <w:sz w:val="20"/>
        </w:rPr>
        <w:t>We have no products approved for commercial sale and have not generated any revenue from product sales. We have never been profitable and have incurred operating losses in each year since inception. We had an accumulated deficit of $73.0 million as of June 30, 2023. Substantially all of our operating losses resulted from expenses incurred in connection with our research and development programs and from general and administrative costs associated with our operations. As of June 30, 2023, we had cash and cash equivalents of $11.5 million.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there is presently insufficient funding available to allow us to continue our current and planned clinical programs for a period exceeding 12 months from the date of this filing with the SEC.</w:t>
      </w:r>
    </w:p>
    <w:p>
      <w:pPr>
        <w:pStyle w:val="TextBody"/>
        <w:bidi w:val="0"/>
        <w:spacing w:before="0" w:after="0"/>
        <w:jc w:val="both"/>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The lack of revenue from product sales to date and recurring losses from operations since our inception raise substantial doubt as to our ability to continue as a going concern. We will continue to require substantial additional capital to continue our clinical development activities will likely need such additional capital sooner than 12 months and will need to raise substantial additional capital in the future to continue to fund our operations. The amount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timing of our future funding requirements will depend on many factors, including the results of our evaluation of strategic alternatives, the pace and results of our development, regulatory approvals and authorizations, commercialization efforts and market conditions. Failure to raise capital as and when needed, on favorable terms or at all, would have a negative impact on our financial condition and our ability to develop and commercialize our product candidates.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may attempt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 that we will be successful in accomplishing any of our plans to obtain additional capital or be able to do so on terms acceptable to us.</w:t>
      </w:r>
    </w:p>
    <w:p>
      <w:pPr>
        <w:pStyle w:val="TextBody"/>
        <w:bidi w:val="0"/>
        <w:spacing w:lineRule="auto" w:line="276" w:before="0" w:after="240"/>
        <w:jc w:val="both"/>
        <w:rPr>
          <w:rFonts w:ascii="Arial;sans-serif" w:hAnsi="Arial;sans-serif"/>
          <w:b/>
          <w:color w:val="000000"/>
          <w:sz w:val="20"/>
          <w:shd w:fill="FFFFFF" w:val="clear"/>
        </w:rPr>
      </w:pPr>
      <w:r>
        <w:rPr>
          <w:rFonts w:ascii="Arial;sans-serif" w:hAnsi="Arial;sans-serif"/>
          <w:b/>
          <w:color w:val="000000"/>
          <w:sz w:val="20"/>
          <w:shd w:fill="FFFFFF" w:val="clear"/>
        </w:rPr>
        <w:t>Program Development</w:t>
      </w:r>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goal has been to develop SP-3164 and SP-2577 for treatment of cancers while attempting to maximize return for investors. To achieve this goal, our strategy has consisted of a two-pronged approach: 1) speed-to-market by developing SP-3164 and SP-2577 in high unmet need indications and 2) expand the market by developing SP-3164 and SP-2577 in larger market indications. </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SP-3164 – Targeted Protein Degradation</w:t>
      </w:r>
    </w:p>
    <w:p>
      <w:pPr>
        <w:pStyle w:val="TextBody"/>
        <w:bidi w:val="0"/>
        <w:spacing w:lineRule="auto" w:line="268" w:before="0" w:after="240"/>
        <w:jc w:val="both"/>
        <w:rPr/>
      </w:pPr>
      <w:r>
        <w:rPr>
          <w:rFonts w:ascii="Arial;sans-serif" w:hAnsi="Arial;sans-serif"/>
          <w:b w:val="false"/>
          <w:color w:val="000000"/>
          <w:sz w:val="20"/>
        </w:rPr>
        <w:t>SP-3164 is a next-generation cereblon-binding molecular glue. Molecular glues are small molecules that commandeer the body’s normal protein degradation processes by causing proteins to stick to one another thereby inducing selective degradation of cancer-causing proteins. Derived from avadomide, SP-3164 is engineered using DECS (deuterium-enabled chiral switching), a process that replaces hydrogen atoms with deuterium to stabilize the molecule’s active enantiomer, resulting in a novel molecular entity with the potential for increased efficacy and improved safety compared to the 1st generation compound. SP-3164 degrades transcription factors Ikaros (IKZF1) and Aiolos (IKZF3), resulting in both direct anti-cancer activity and immune-modulating properties.</w:t>
      </w:r>
      <w:r>
        <w:rPr>
          <w:color w:val="000000"/>
        </w:rPr>
        <w:t xml:space="preserve"> </w:t>
      </w:r>
      <w:r>
        <w:rPr>
          <w:rFonts w:ascii="Arial;sans-serif" w:hAnsi="Arial;sans-serif"/>
          <w:b w:val="false"/>
          <w:color w:val="000000"/>
          <w:sz w:val="20"/>
        </w:rPr>
        <w:t xml:space="preserve">SP-3164 has potential to treat both hematologic and solid tumors. We have presented preclinical data of SP-3164 in hematological cancers at several scientific conferences highlighting its activity and differentiation. On July 11, 2023 we announced that the FDA had cleared our IND application to treat relapsed/refractory non-Hodgkin lymphoma patients with SP-3164. </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Seclidemstat - Targeted Protein Inhibition</w:t>
      </w:r>
    </w:p>
    <w:p>
      <w:pPr>
        <w:pStyle w:val="TextBody"/>
        <w:bidi w:val="0"/>
        <w:spacing w:lineRule="auto" w:line="276"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lead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shd w:fill="FFFFFF" w:val="clear"/>
        </w:rPr>
        <w:t xml:space="preserve">SP-2577 is being developed for both solid and liquid tumors. Our lead indication for SP-2577 is a devastating bone and soft-tissue cancer called Ewing sarcoma, which has a median age of diagnosis of 15. We are currently in a Phase 1/2 trial to treat relapsed/refractory Ewing sarcoma patients in combination with topotecan and cyclophosphamide. </w:t>
      </w:r>
      <w:r>
        <w:rPr>
          <w:rFonts w:ascii="Arial;sans-serif" w:hAnsi="Arial;sans-serif"/>
          <w:b w:val="false"/>
          <w:color w:val="000000"/>
          <w:sz w:val="20"/>
        </w:rPr>
        <w:t xml:space="preserve">In addition, as part of our market expansion strategy, in 2021 an Investigator Initiated Trial with the MD Anderson Cancer Center was initiated to study SP-2577 in combination with azacitidine for the treatment of patients with myelodysplastic syndromes (MDS) or chronic myelomonocytic leukemia (CMML). MDS and CMML can progress into Acute Myeloid Leukemia (AML), which the American Cancer Society estimates there were almost 20,000 new cases of AML in the US alone in 2020.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Three months ended June 30, 2023 Compared to the Three months ended June 30, 2022</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condensed consolidated results of our operations for the three months ended June 30, 2023 compared to June 30, 2022. </w:t>
      </w:r>
    </w:p>
    <w:p>
      <w:pPr>
        <w:pStyle w:val="TextBody"/>
        <w:bidi w:val="0"/>
        <w:spacing w:before="0" w:after="240"/>
        <w:jc w:val="both"/>
        <w:rPr/>
      </w:pPr>
      <w:r>
        <w:rPr/>
      </w:r>
    </w:p>
    <w:tbl>
      <w:tblPr>
        <w:tblW w:w="8453" w:type="dxa"/>
        <w:jc w:val="center"/>
        <w:tblInd w:w="0" w:type="dxa"/>
        <w:tblLayout w:type="fixed"/>
        <w:tblCellMar>
          <w:top w:w="28" w:type="dxa"/>
          <w:left w:w="28" w:type="dxa"/>
          <w:bottom w:w="28" w:type="dxa"/>
          <w:right w:w="28" w:type="dxa"/>
        </w:tblCellMar>
      </w:tblPr>
      <w:tblGrid>
        <w:gridCol w:w="1228"/>
        <w:gridCol w:w="1079"/>
        <w:gridCol w:w="1082"/>
        <w:gridCol w:w="211"/>
        <w:gridCol w:w="1081"/>
        <w:gridCol w:w="109"/>
        <w:gridCol w:w="109"/>
        <w:gridCol w:w="109"/>
        <w:gridCol w:w="109"/>
        <w:gridCol w:w="211"/>
        <w:gridCol w:w="1081"/>
        <w:gridCol w:w="109"/>
        <w:gridCol w:w="109"/>
        <w:gridCol w:w="109"/>
        <w:gridCol w:w="109"/>
        <w:gridCol w:w="211"/>
        <w:gridCol w:w="916"/>
        <w:gridCol w:w="109"/>
        <w:gridCol w:w="109"/>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(569,720)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(216,852)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(3,877,308)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(4,718,338)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841,030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lineRule="auto" w:line="288" w:before="160" w:after="24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Research and development expenses decreased during the three months ended June 30, 2023 compared to the same period in 2022 primarily due to lower spending on SP-2577 offset by higher spending in SP-3164 in 2023.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expect total research and development expenses and research and development expense for each of our research and development projects to decrease in the remainder of 2023 as compared to the prior year and into 2024 as compared to 2023 as we evaluate the development strategy for our product candidates, and explore and evaluate strategic alternatives.</w:t>
      </w:r>
    </w:p>
    <w:tbl>
      <w:tblPr>
        <w:tblW w:w="10205" w:type="dxa"/>
        <w:jc w:val="center"/>
        <w:tblInd w:w="0" w:type="dxa"/>
        <w:tblLayout w:type="fixed"/>
        <w:tblCellMar>
          <w:top w:w="28" w:type="dxa"/>
          <w:left w:w="28" w:type="dxa"/>
          <w:bottom w:w="28" w:type="dxa"/>
          <w:right w:w="28" w:type="dxa"/>
        </w:tblCellMar>
      </w:tblPr>
      <w:tblGrid>
        <w:gridCol w:w="1540"/>
        <w:gridCol w:w="1218"/>
        <w:gridCol w:w="1221"/>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856"/>
        <w:gridCol w:w="155"/>
      </w:tblGrid>
      <w:tr>
        <w:trPr/>
        <w:tc>
          <w:tcPr>
            <w:tcW w:w="154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39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62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3979"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544,937 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773,463 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341,626 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44,707 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433,222 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1,074,932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2,102,017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1,276,920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819,555</w:t>
            </w: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were $1.6 million during the three months ended June 30, 2023, compared to $1.8 million for the three months ended June 30, 2022, resulting from lower proxy service expense and overall compensation and benefit costs in current year. </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Six Months Ended June 30, 2023Compared to the Six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76" w:before="160" w:after="160"/>
        <w:jc w:val="both"/>
        <w:rPr>
          <w:rFonts w:ascii="Arial;sans-serif" w:hAnsi="Arial;sans-serif"/>
          <w:b w:val="false"/>
          <w:color w:val="000000"/>
          <w:sz w:val="20"/>
        </w:rPr>
      </w:pPr>
      <w:r>
        <w:rPr>
          <w:rFonts w:ascii="Arial;sans-serif" w:hAnsi="Arial;sans-serif"/>
          <w:b w:val="false"/>
          <w:color w:val="000000"/>
          <w:sz w:val="20"/>
        </w:rPr>
        <w:t xml:space="preserve">The following table sets forth the condensed consolidated results of our operations for the six months ended June 30, 2023 compared to June 30, 2022. </w:t>
      </w:r>
    </w:p>
    <w:tbl>
      <w:tblPr>
        <w:tblW w:w="8276" w:type="dxa"/>
        <w:jc w:val="left"/>
        <w:tblInd w:w="0" w:type="dxa"/>
        <w:tblLayout w:type="fixed"/>
        <w:tblCellMar>
          <w:top w:w="28" w:type="dxa"/>
          <w:left w:w="28" w:type="dxa"/>
          <w:bottom w:w="28" w:type="dxa"/>
          <w:right w:w="28" w:type="dxa"/>
        </w:tblCellMar>
      </w:tblPr>
      <w:tblGrid>
        <w:gridCol w:w="1228"/>
        <w:gridCol w:w="1079"/>
        <w:gridCol w:w="1082"/>
        <w:gridCol w:w="211"/>
        <w:gridCol w:w="1021"/>
        <w:gridCol w:w="109"/>
        <w:gridCol w:w="109"/>
        <w:gridCol w:w="109"/>
        <w:gridCol w:w="109"/>
        <w:gridCol w:w="211"/>
        <w:gridCol w:w="1126"/>
        <w:gridCol w:w="109"/>
        <w:gridCol w:w="109"/>
        <w:gridCol w:w="109"/>
        <w:gridCol w:w="109"/>
        <w:gridCol w:w="211"/>
        <w:gridCol w:w="1081"/>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6,077,440 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7,361,047 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(1,283,607)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3,314,618 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9,218,081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10,827,563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(1,609,482)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40"/>
        <w:jc w:val="both"/>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Research and development expenses decreased during the six months ended June 30, 2023 compared to the same period in 2022 primarily due to lower spending on SP-2577 offset by higher spending in SP-3164 in 2023.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expect total research and development expenses and research and development expense for each of our research and development projects to decrease in the remainder of 2023 as compared to the prior year and into 2024 as compared to 2023 as we evaluate the development strategy for our product candidates, and explore and evaluate strategic alternatives.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87"/>
        <w:gridCol w:w="1162"/>
        <w:gridCol w:w="1164"/>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6"/>
      </w:tblGrid>
      <w:tr>
        <w:trPr/>
        <w:tc>
          <w:tcPr>
            <w:tcW w:w="148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38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6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13"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1,257,762 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2,650,433 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2,543,587 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459,229 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456,589 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In-process research and development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1,987,900 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2,418,955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4,368,563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3,658,485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2,992,484</w:t>
            </w:r>
            <w:r>
              <w:rPr>
                <w:color w:val="000000"/>
              </w:rPr>
              <w:t>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General and administrative expenses were $3.3 million during the six months ended June 30, 2023, compared to $3.5 million for the six months ended June 30, 2022, resulting from lower proxy service expense, investor relations services expense and overall compensation and benefit costs in current year, partially offset by higher legal cost and business development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0" w:after="240"/>
        <w:jc w:val="both"/>
        <w:rPr/>
      </w:pPr>
      <w:r>
        <w:rPr>
          <w:rFonts w:ascii="Arial;sans-serif" w:hAnsi="Arial;sans-serif"/>
          <w:b w:val="false"/>
          <w:color w:val="000000"/>
          <w:sz w:val="20"/>
        </w:rPr>
        <w:t xml:space="preserve">Since inception, we have incurred operating losses and we anticipate that we will continue to incur losses for the foreseeable future. In August 2023, we commenced a process to explore and evaluate strategic alternatives to enhance shareholder value, which could result in a fundamental transaction as defined by the warrant agreement. </w:t>
      </w:r>
      <w:r>
        <w:rPr>
          <w:rFonts w:ascii="Arial;sans-serif" w:hAnsi="Arial;sans-serif"/>
          <w:b w:val="false"/>
          <w:color w:val="000000"/>
          <w:sz w:val="20"/>
          <w:shd w:fill="FFFFFF" w:val="clear"/>
        </w:rPr>
        <w:t>The terms of the outstanding warrants require us, upon the consummation of any fundamental transaction to, among other obligations, cause any successor entity resulting from the fundamental transaction to assume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w:t>
      </w:r>
      <w:r>
        <w:rPr>
          <w:color w:val="000000"/>
        </w:rPr>
        <w:t xml:space="preserve"> </w:t>
      </w:r>
      <w:r>
        <w:rPr>
          <w:rFonts w:ascii="Arial;sans-serif" w:hAnsi="Arial;sans-serif"/>
          <w:b w:val="false"/>
          <w:color w:val="000000"/>
          <w:sz w:val="20"/>
        </w:rPr>
        <w:t>In conjunction with our exploration of strategic alternatives, we are exploring opportunities to extend our resources.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June 30, 2023, we had $8.3 million of working capital and our cash and cash equivalents totaled $11.5 million, which were held in bank deposit accounts and a money market account. Our cash and cash equivalents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decreased during the six months ended June 30, 2023, primarily due to cash used in operating activities, partially offset by the cash received from financing activities. As recently announced, our cost savings plan extends our expected cash runway and enables evaluation and implementation of strategic alternatives. We believe that our $11.5 million in cash and cash equivalents on hand as of June 30, 2023, is sufficient to fund our current and restructured operations through the fourth quarter of 2023.</w:t>
      </w:r>
    </w:p>
    <w:p>
      <w:pPr>
        <w:pStyle w:val="TextBody"/>
        <w:bidi w:val="0"/>
        <w:spacing w:before="0" w:after="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To provide the maximum degree of financial flexibility, and subject to our exploration of strategic alternatives, we may consider various potential opportunities to fund future operations and/or modulate liquidity needs, including: (i) seeking various strategic transactions, including a merger , licensing arrangement or sale that provide funding for our programs; (ii) entering into one or more collaborations to offset costs; (iii) reducing our expenditures on all business activities and/or restructuring our operations and reducing staff. If we are unable to execute on these activities, we may be forced to evaluate additional alternatives including a wind down of our operations.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do not expect to generate any revenue from product sales unless and until we obtain regulatory approval for and commercialize our product candidate. At the same time, subject to our exploration of strategic alternatives, we expect to continue to incur significant expenses and increasing operating losses for at least the next several years as we initiate and continue the clinical development of, and seek regulatory approval for, our product candidate,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 discontinue the development or commercialization of our product candidate.</w:t>
      </w:r>
      <w:r>
        <w:rPr>
          <w:color w:val="000000"/>
        </w:rPr>
        <w:t xml:space="preserve"> </w:t>
      </w:r>
      <w:r>
        <w:rPr>
          <w:rFonts w:ascii="Arial;sans-serif" w:hAnsi="Arial;sans-serif"/>
          <w:b w:val="false"/>
          <w:color w:val="000000"/>
          <w:sz w:val="20"/>
        </w:rPr>
        <w:t xml:space="preserve">Furthermore, we may be unable to complete a collaboration, or if we do, we may be forced to relinquish valuable future product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Flows</w:t>
      </w:r>
    </w:p>
    <w:tbl>
      <w:tblPr>
        <w:tblW w:w="7044" w:type="dxa"/>
        <w:jc w:val="left"/>
        <w:tblInd w:w="0" w:type="dxa"/>
        <w:tblLayout w:type="fixed"/>
        <w:tblCellMar>
          <w:top w:w="28" w:type="dxa"/>
          <w:left w:w="28" w:type="dxa"/>
          <w:bottom w:w="28" w:type="dxa"/>
          <w:right w:w="28" w:type="dxa"/>
        </w:tblCellMar>
      </w:tblPr>
      <w:tblGrid>
        <w:gridCol w:w="1397"/>
        <w:gridCol w:w="1230"/>
        <w:gridCol w:w="1243"/>
        <w:gridCol w:w="211"/>
        <w:gridCol w:w="1081"/>
        <w:gridCol w:w="109"/>
        <w:gridCol w:w="109"/>
        <w:gridCol w:w="109"/>
        <w:gridCol w:w="109"/>
        <w:gridCol w:w="211"/>
        <w:gridCol w:w="1081"/>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(7,585,882)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(7,140,445)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2,073,070 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(564,992)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(6,567,375)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was $7.6 million in the current period, an increase of approximately $0.4 million from the same period a year ago. The increase is primarily due to a decrease in accounts payable balances during the current period. </w:t>
      </w:r>
    </w:p>
    <w:p>
      <w:pPr>
        <w:pStyle w:val="TextBody"/>
        <w:bidi w:val="0"/>
        <w:spacing w:before="0" w:after="0"/>
        <w:jc w:val="left"/>
        <w:rPr/>
      </w:pPr>
      <w:r>
        <w:rPr/>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Net cash used in investing activities was $1.5 million in the prior period, for the cash portion of the purchase price for the acquisition of in-process research and development technology SP-3164. There was no such transaction during the same period in 2023.</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Net cash provided by financing activities for the six months ended June 30, 2023 was $7.0 million, compared to $2.1 million for the same period of the year 2022. This results from the Company's sale of 696,271 common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under its ATM offering and 330,000 common shares and 3,306,364 Pre-Funded Warrants in a transaction that closed on May 16, 2023. Please refer to NOTE 7 for more detailed information.</w:t>
      </w:r>
    </w:p>
    <w:p>
      <w:pPr>
        <w:pStyle w:val="TextBody"/>
        <w:bidi w:val="0"/>
        <w:spacing w:before="0" w:after="0"/>
        <w:jc w:val="left"/>
        <w:rPr/>
      </w:pPr>
      <w:r>
        <w:rPr/>
      </w:r>
    </w:p>
    <w:p>
      <w:pPr>
        <w:pStyle w:val="TextBody"/>
        <w:bidi w:val="0"/>
        <w:spacing w:lineRule="auto" w:line="247" w:before="0" w:after="0"/>
        <w:jc w:val="left"/>
        <w:rPr>
          <w:rFonts w:ascii="Arial;sans-serif" w:hAnsi="Arial;sans-serif"/>
          <w:b/>
          <w:i/>
          <w:color w:val="000000"/>
          <w:sz w:val="20"/>
        </w:rPr>
      </w:pPr>
      <w:r>
        <w:rPr>
          <w:rFonts w:ascii="Arial;sans-serif" w:hAnsi="Arial;sans-serif"/>
          <w:b/>
          <w:i/>
          <w:color w:val="000000"/>
          <w:sz w:val="20"/>
        </w:rPr>
        <w:t>Critical Accounting Policies and Estimates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from those described in "Management's Discussion and Analysis of Financial Condition and Results of Operations" included in our Annual Report on Form 10-K filed with SEC on March 27, 2023.</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Readers should refer to our Annual Report on Form10-K filed with SEC on March 27, 2023, Note 2, Basis of Presentation and Significant Accounting Policies to the accompanying financial statements for descriptions of these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44" w:type="dxa"/>
        <w:jc w:val="center"/>
        <w:tblInd w:w="0" w:type="dxa"/>
        <w:tblLayout w:type="fixed"/>
        <w:tblCellMar>
          <w:top w:w="28" w:type="dxa"/>
          <w:left w:w="28" w:type="dxa"/>
          <w:bottom w:w="28" w:type="dxa"/>
          <w:right w:w="28" w:type="dxa"/>
        </w:tblCellMar>
      </w:tblPr>
      <w:tblGrid>
        <w:gridCol w:w="271"/>
        <w:gridCol w:w="238"/>
        <w:gridCol w:w="241"/>
        <w:gridCol w:w="1637"/>
        <w:gridCol w:w="1637"/>
        <w:gridCol w:w="232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are a smaller reporting company as defined by Rule 12b-2 of the Securities Exchange Act of 1934, as amended, and are not required to provide the information under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83" w:type="dxa"/>
        <w:jc w:val="center"/>
        <w:tblInd w:w="0" w:type="dxa"/>
        <w:tblLayout w:type="fixed"/>
        <w:tblCellMar>
          <w:top w:w="28" w:type="dxa"/>
          <w:left w:w="28" w:type="dxa"/>
          <w:bottom w:w="28" w:type="dxa"/>
          <w:right w:w="28" w:type="dxa"/>
        </w:tblCellMar>
      </w:tblPr>
      <w:tblGrid>
        <w:gridCol w:w="292"/>
        <w:gridCol w:w="257"/>
        <w:gridCol w:w="260"/>
        <w:gridCol w:w="724"/>
        <w:gridCol w:w="724"/>
        <w:gridCol w:w="1026"/>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June 30, 2023.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principal executive officer and principal financial officer concluded that, as of such date, our disclosure controls and procedures were effective at the reasonable assurance level.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June 30, 2023, there was no significant change in our internal control over financial reporting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98" w:type="dxa"/>
        <w:jc w:val="center"/>
        <w:tblInd w:w="0" w:type="dxa"/>
        <w:tblLayout w:type="fixed"/>
        <w:tblCellMar>
          <w:top w:w="28" w:type="dxa"/>
          <w:left w:w="28" w:type="dxa"/>
          <w:bottom w:w="28" w:type="dxa"/>
          <w:right w:w="28" w:type="dxa"/>
        </w:tblCellMar>
      </w:tblPr>
      <w:tblGrid>
        <w:gridCol w:w="292"/>
        <w:gridCol w:w="257"/>
        <w:gridCol w:w="260"/>
        <w:gridCol w:w="553"/>
        <w:gridCol w:w="553"/>
        <w:gridCol w:w="783"/>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We are not a party to any material legal proceedings on the date of this report. We may from time to time become involved in legal proceedings arising in the ordinary course of business, and the resolution of any such claims could be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90" w:type="dxa"/>
        <w:jc w:val="center"/>
        <w:tblInd w:w="0" w:type="dxa"/>
        <w:tblLayout w:type="fixed"/>
        <w:tblCellMar>
          <w:top w:w="28" w:type="dxa"/>
          <w:left w:w="28" w:type="dxa"/>
          <w:bottom w:w="28" w:type="dxa"/>
          <w:right w:w="28" w:type="dxa"/>
        </w:tblCellMar>
      </w:tblPr>
      <w:tblGrid>
        <w:gridCol w:w="320"/>
        <w:gridCol w:w="281"/>
        <w:gridCol w:w="284"/>
        <w:gridCol w:w="382"/>
        <w:gridCol w:w="382"/>
        <w:gridCol w:w="541"/>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Investing in our stock involves a high degree of risk. You should carefully consider the following discussion of risk factors in its entirety. In addition to the other information set forth in this report, you should carefully consider the information under “Part I, Item 1A- Risk Factors” in our Annual Report on Form 10-K for the year ended December 31, 2022, filed with the SEC on March 27, 2023.</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activities to evaluate and pursue strategic alternatives may not result in any definitive transaction or enhance shareholder value, and may create a distraction for our management and uncertainty that may adversely affect our operating results and business.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have commenced a process to evaluate strategic alternatives in order to enhance stockholder value, including the possibility of an acquisition, merger, reverse merger, other business combination, sales of assets, licensing, or other strategic transactions involving the Company. We have engaged Canaccord Genuity, LLC as our financial advisor to assist us in this process. In connection with the evaluation of strategic alternatives, we are evaluating opportunities to extend our resources and have reduced our headcount by more than 50% of our positions. We expect to devote significant time and resources to identifying and evaluating strategic transactions and this process may create a distraction, uncertainty or the loss of business opportunities, which may adversely affect our operating results and business. We have incurred, and may in the future incur, significant costs associated with identifying, evaluating and negotiating potential strategic alternatives, such as legal, financial advisor and accounting fees and expenses and other related charges. We may also incur additional unanticipated expenses in connection with this process. A considerable portion of these costs will be incurred regardless of whether any such course of action is implemented or transaction is completed, decreasing cash available for use in our business. There can be no assurance that the process to evaluate strategic alternatives will result in agreements or transactions. The current market price of our common stock may reflect a market assumption that a transaction will occur, and a failure to complete a transaction could result in a negative investor perceptions and could cause a decline in the market price of our common stock, which could adversely affect our ability to access the equity and financial markets, as well as our ability to explore and enter into different strategic alternatives. Even if we negotiate a definitive agreement, there can be no certainty that any transaction will be completed, be on attractive terms, enhance stockholder value or deliver the anticipated benefits, and successful integration or execution of the strategic alternatives will be subject to additional risks. In addition, potential strategic transactions that require stockholder approval may not be approved by our stockholders. 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If we do not successfully complete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There can be no guarantee that the process to identify a strategic transaction will result in a successfully completed transaction. If no transaction is completed, our board of directors may decide that it is in the best interest of our stockholders to dissolve our company and liquidate our assets. In that event, the amount of cash available for distribution to our stockholders will depend heavily on the timing of such decision and, ultimately, such liquidation, since the amount of cash available for distribution continues to decrease as we fund our operations and evaluate our strategic alternatives. In addition, if our board of directors were to approve and recommend, and our stockholders were to approve, a dissolution of our company,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dissolution, liquidation or winding up of our company.</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If we fail to comply with the continued listing standards of the Nasdaq Capital Market, our common stock could be delisted. If it is delisted, our common stock and the liquidity of our common stock would be impacted.</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continued listing of our common stock on Nasdaq is contingent on our continued compliance with a number of listing standards. On August 7, 2023, the closing price of our common stock was $0.86 per share, which is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minimum trading price required to maintain listing on Nasdaq. There is no assurance that we will remain in compliance with these standards. Delisting from Nasdaq would significantly affect the ability of investors to trade our securities and negatively affect the value and liquidity of our common stock. Delisting also could limit our strategic alternatives and attractiveness to potential counterparties and have other negative results, including the potential loss of employee confidence, the loss of institutional investors or interest in business development opportunities.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cost savings plans and the associated headcount reductions may not result in anticipated savings, could result in total costs and expenses that are greater than expected and could disrupt our business.</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On August 5, 2023, we approved a cost savings plan intended to preserve capital while we assess potential strategic alternatives. As of the filing of this Quarterly Report on Form 10-Q, the Company estimates that it will incur severance and other employee-related costs of approximately $1.2 million.</w:t>
      </w:r>
      <w:r>
        <w:rPr>
          <w:color w:val="000000"/>
        </w:rPr>
        <w:t xml:space="preserve"> </w:t>
      </w:r>
      <w:r>
        <w:rPr>
          <w:rFonts w:ascii="Arial;sans-serif" w:hAnsi="Arial;sans-serif"/>
          <w:b w:val="false"/>
          <w:color w:val="000000"/>
          <w:sz w:val="20"/>
        </w:rPr>
        <w:t>We may not realize, in full or in part, the anticipated benefits, savings and improvements in our cost structure from our cost savings efforts due to unforeseen difficulties, delays or unexpected costs. For example, we may incur unanticipated charges not currently contemplated as a result of the cost savings plans. If we are unable to realize the expected operational cost savings from the restructuring, our operating results and financial condition would be adversely affected.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5.Other Information.</w:t>
      </w:r>
    </w:p>
    <w:p>
      <w:pPr>
        <w:pStyle w:val="TextBody"/>
        <w:bidi w:val="0"/>
        <w:spacing w:before="0" w:after="0"/>
        <w:jc w:val="left"/>
        <w:rPr/>
      </w:pPr>
      <w:r>
        <w:rPr/>
      </w:r>
    </w:p>
    <w:p>
      <w:pPr>
        <w:pStyle w:val="TextBody"/>
        <w:bidi w:val="0"/>
        <w:spacing w:lineRule="auto" w:line="276" w:before="0" w:after="240"/>
        <w:jc w:val="both"/>
        <w:rPr/>
      </w:pPr>
      <w:r>
        <w:rPr>
          <w:rFonts w:ascii="Arial;sans-serif" w:hAnsi="Arial;sans-serif"/>
          <w:b/>
          <w:color w:val="000000"/>
          <w:sz w:val="20"/>
        </w:rPr>
        <w:t>Item 2.05</w:t>
      </w:r>
      <w:r>
        <w:rPr>
          <w:color w:val="000000"/>
        </w:rPr>
        <w:t xml:space="preserve"> </w:t>
      </w:r>
      <w:r>
        <w:rPr>
          <w:rFonts w:ascii="Arial;sans-serif" w:hAnsi="Arial;sans-serif"/>
          <w:b/>
          <w:color w:val="000000"/>
          <w:sz w:val="20"/>
        </w:rPr>
        <w:t>Costs Associated with Exit or Disposal Activities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August 5, 2023, the Company approved a cost savings plan to reduce operating expenses and better align its workforce with the needs of its business following the decision to explore strategic alternatives and limit its clinical development activities. Execution of the workforce reduction plan is expected to be substantially complete by the end of the fourth quarter of 2023.</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Company expects the charges and spending will be incurred primarily in the third and fourth quarters of 2023. The Company may also incur additional costs not currently contemplated due to events that may occur as a result of, or that are associated with, the cost savings plan. If the Company subsequently determines that it will incur additional significant costs and realignment charges, it will file a Current Report on Form 8-K to disclose such information.</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856fd3044214fc2aed32b02fe24d963_7">
        <w:r>
          <w:rPr>
            <w:rStyle w:val="InternetLink"/>
            <w:rFonts w:ascii="Arial;sans-serif" w:hAnsi="Arial;sans-serif"/>
            <w:b w:val="false"/>
            <w:color w:val="0000FF"/>
            <w:sz w:val="18"/>
            <w:u w:val="single"/>
          </w:rPr>
          <w:t>Table of Contents</w:t>
        </w:r>
      </w:hyperlink>
    </w:p>
    <w:tbl>
      <w:tblPr>
        <w:tblW w:w="1666" w:type="dxa"/>
        <w:jc w:val="left"/>
        <w:tblInd w:w="0" w:type="dxa"/>
        <w:tblLayout w:type="fixed"/>
        <w:tblCellMar>
          <w:top w:w="28" w:type="dxa"/>
          <w:left w:w="28" w:type="dxa"/>
          <w:bottom w:w="28" w:type="dxa"/>
          <w:right w:w="28" w:type="dxa"/>
        </w:tblCellMar>
      </w:tblPr>
      <w:tblGrid>
        <w:gridCol w:w="271"/>
        <w:gridCol w:w="238"/>
        <w:gridCol w:w="241"/>
        <w:gridCol w:w="268"/>
        <w:gridCol w:w="268"/>
        <w:gridCol w:w="3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351"/>
        <w:gridCol w:w="310"/>
        <w:gridCol w:w="269"/>
        <w:gridCol w:w="109"/>
        <w:gridCol w:w="109"/>
        <w:gridCol w:w="109"/>
        <w:gridCol w:w="2887"/>
        <w:gridCol w:w="2508"/>
        <w:gridCol w:w="3553"/>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 of Document</w:t>
            </w:r>
          </w:p>
        </w:tc>
      </w:tr>
      <w:tr>
        <w:trPr/>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 xml:space="preserve">Amended and Restated Certificate of Incorporation </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Certificate of Amendment to Certificate of Incorporation filed with the Secretary of State of Delaware on July 18, 2019</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Certificate of Amendment to Certificate of Incorporation filed with the Secretary of State of Delaware on October 14, 2022</w:t>
              </w:r>
            </w:hyperlink>
          </w:p>
          <w:p>
            <w:pPr>
              <w:pStyle w:val="TableContents"/>
              <w:bidi w:val="0"/>
              <w:spacing w:before="0" w:after="0"/>
              <w:jc w:val="left"/>
              <w:rPr/>
            </w:pPr>
            <w:r>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effective July 19, 2019</w:t>
              </w:r>
            </w:hyperlink>
            <w:r>
              <w:rPr>
                <w:color w:val="000000"/>
              </w:rPr>
              <w:t xml:space="preserve"> </w:t>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Amendment to Amended and Restated Bylaws of the Registrant, effective April 1, 2022</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Form of Securities Purchase Agreement</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Form of Registration Rights Agreement</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30630ex-311.htm">
              <w:r>
                <w:rPr>
                  <w:rStyle w:val="InternetLink"/>
                  <w:rFonts w:ascii="Arial;sans-serif" w:hAnsi="Arial;sans-serif"/>
                  <w:b w:val="false"/>
                  <w:color w:val="0000FF"/>
                  <w:sz w:val="20"/>
                  <w:u w:val="single"/>
                </w:rPr>
                <w:t>Certification of the Principal Executive Officer pursuant to Rule 13a-14(a) or 15d-14(a) of the Securities Exchange Act of 1934.</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30630ex-312.htm">
              <w:r>
                <w:rPr>
                  <w:rStyle w:val="InternetLink"/>
                  <w:rFonts w:ascii="Arial;sans-serif" w:hAnsi="Arial;sans-serif"/>
                  <w:b w:val="false"/>
                  <w:color w:val="0000FF"/>
                  <w:sz w:val="20"/>
                  <w:u w:val="single"/>
                </w:rPr>
                <w:t>Certification of the Principal Financial Officer pursuant to Rule 13a-14(a) or 15d-14(a) of the Securities Exchange Act of 1934.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30630ex-321.htm">
              <w:r>
                <w:rPr>
                  <w:rStyle w:val="InternetLink"/>
                  <w:rFonts w:ascii="Arial;sans-serif" w:hAnsi="Arial;sans-serif"/>
                  <w:b w:val="false"/>
                  <w:color w:val="0000FF"/>
                  <w:sz w:val="20"/>
                  <w:u w:val="single"/>
                </w:rPr>
                <w:t>Certification of Principal Executive Officer and Principal Financial Officer pursuant to Rule 13a-14(b) or 15d-14(b) of the Exchange Act and 18 U.S.C. Section 1350.</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materials from Salarius Pharmaceuticals, Inc.'s Quarterly Report on Form 10-Q for the quarter ended June 30, 2023,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 and included in Exhibit 101)</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5856fd3044214fc2aed32b02fe24d963_7">
        <w:r>
          <w:rPr>
            <w:rStyle w:val="InternetLink"/>
            <w:rFonts w:ascii="Arial;sans-serif" w:hAnsi="Arial;sans-serif"/>
            <w:b w:val="false"/>
            <w:color w:val="0000FF"/>
            <w:sz w:val="18"/>
            <w:u w:val="single"/>
          </w:rPr>
          <w:t>Table of Contents</w:t>
        </w:r>
      </w:hyperlink>
    </w:p>
    <w:p>
      <w:pPr>
        <w:pStyle w:val="TextBody"/>
        <w:bidi w:val="0"/>
        <w:spacing w:before="160" w:after="160"/>
        <w:jc w:val="center"/>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and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211"/>
        <w:gridCol w:w="186"/>
        <w:gridCol w:w="188"/>
        <w:gridCol w:w="377"/>
        <w:gridCol w:w="377"/>
        <w:gridCol w:w="378"/>
        <w:gridCol w:w="109"/>
        <w:gridCol w:w="109"/>
        <w:gridCol w:w="109"/>
        <w:gridCol w:w="333"/>
        <w:gridCol w:w="333"/>
        <w:gridCol w:w="333"/>
        <w:gridCol w:w="333"/>
        <w:gridCol w:w="333"/>
        <w:gridCol w:w="333"/>
        <w:gridCol w:w="1858"/>
        <w:gridCol w:w="1771"/>
        <w:gridCol w:w="253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61" w:type="dxa"/>
            <w:gridSpan w:val="9"/>
            <w:tcBorders/>
            <w:tcMar>
              <w:top w:w="0" w:type="dxa"/>
              <w:left w:w="0" w:type="dxa"/>
              <w:bottom w:w="0" w:type="dxa"/>
              <w:right w:w="0" w:type="dxa"/>
            </w:tcMar>
            <w:vAlign w:val="center"/>
          </w:tcPr>
          <w:p>
            <w:pPr>
              <w:pStyle w:val="TableContents"/>
              <w:bidi w:val="0"/>
              <w:spacing w:lineRule="auto" w:line="240" w:before="160" w:after="283"/>
              <w:jc w:val="center"/>
              <w:rPr>
                <w:rFonts w:ascii="Arial;sans-serif" w:hAnsi="Arial;sans-serif"/>
                <w:b/>
                <w:color w:val="000000"/>
                <w:sz w:val="20"/>
              </w:rPr>
            </w:pPr>
            <w:r>
              <w:rPr>
                <w:rFonts w:ascii="Arial;sans-serif" w:hAnsi="Arial;sans-serif"/>
                <w:b/>
                <w:color w:val="000000"/>
                <w:sz w:val="20"/>
              </w:rPr>
              <w:t>SALARIUS PHARMACEUTICALS,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J. Arthur</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 (Principal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 J. Rosenblum</w:t>
            </w:r>
          </w:p>
          <w:p>
            <w:pPr>
              <w:pStyle w:val="TableContents"/>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Chief Financial Officer and Executive Vice President of Finance (Principal Financial Officer and Principal Accounting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David J. Arthur, President and Chief Executive Officer,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7811" w:type="dxa"/>
        <w:jc w:val="left"/>
        <w:tblInd w:w="0" w:type="dxa"/>
        <w:tblLayout w:type="fixed"/>
        <w:tblCellMar>
          <w:top w:w="28" w:type="dxa"/>
          <w:left w:w="28" w:type="dxa"/>
          <w:bottom w:w="28" w:type="dxa"/>
          <w:right w:w="28" w:type="dxa"/>
        </w:tblCellMar>
      </w:tblPr>
      <w:tblGrid>
        <w:gridCol w:w="558"/>
        <w:gridCol w:w="491"/>
        <w:gridCol w:w="495"/>
        <w:gridCol w:w="109"/>
        <w:gridCol w:w="109"/>
        <w:gridCol w:w="109"/>
        <w:gridCol w:w="1738"/>
        <w:gridCol w:w="1738"/>
        <w:gridCol w:w="246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Mark J. Rosenblum, Executive Vice President and Interim Chief Financial Officer,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6595" w:type="dxa"/>
        <w:jc w:val="left"/>
        <w:tblInd w:w="0" w:type="dxa"/>
        <w:tblLayout w:type="fixed"/>
        <w:tblCellMar>
          <w:top w:w="28" w:type="dxa"/>
          <w:left w:w="28" w:type="dxa"/>
          <w:bottom w:w="28" w:type="dxa"/>
          <w:right w:w="28" w:type="dxa"/>
        </w:tblCellMar>
      </w:tblPr>
      <w:tblGrid>
        <w:gridCol w:w="558"/>
        <w:gridCol w:w="491"/>
        <w:gridCol w:w="495"/>
        <w:gridCol w:w="109"/>
        <w:gridCol w:w="109"/>
        <w:gridCol w:w="109"/>
        <w:gridCol w:w="1380"/>
        <w:gridCol w:w="1380"/>
        <w:gridCol w:w="196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Certification Pursuant to 18 U.S.C. Section 1350, as Adopted Pursuant to Section 906 of the Sarbanes-Oxley Act of 2002</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Salarius Pharmaceuticals, Inc. (the "Company") for the fiscal period ended June 30, 2023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7811"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1738"/>
        <w:gridCol w:w="1738"/>
        <w:gridCol w:w="2464"/>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tbl>
      <w:tblPr>
        <w:tblW w:w="7241"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1569"/>
        <w:gridCol w:w="1569"/>
        <w:gridCol w:w="223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br/>
              <w:t>(Principal Financial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10465915007801/a15-4061_1ex3d1.htm" TargetMode="External"/><Relationship Id="rId3" Type="http://schemas.openxmlformats.org/officeDocument/2006/relationships/hyperlink" Target="https://www.sec.gov/Archives/edgar/data/1615219/000119312519199074/d754556dex31.htm" TargetMode="External"/><Relationship Id="rId4" Type="http://schemas.openxmlformats.org/officeDocument/2006/relationships/hyperlink" Target="https://www.sec.gov/Archives/edgar/data/1615219/000161521922000135/exhibit31.htm" TargetMode="External"/><Relationship Id="rId5" Type="http://schemas.openxmlformats.org/officeDocument/2006/relationships/hyperlink" Target="https://www.sec.gov/Archives/edgar/data/1615219/000119312519199074/d754556dex32.htm" TargetMode="External"/><Relationship Id="rId6" Type="http://schemas.openxmlformats.org/officeDocument/2006/relationships/hyperlink" Target="https://www.sec.gov/Archives/edgar/data/1615219/000161521922000034/salarius-bylawsamendment33.htm" TargetMode="External"/><Relationship Id="rId7" Type="http://schemas.openxmlformats.org/officeDocument/2006/relationships/hyperlink" Target="https://www.sec.gov/Archives/edgar/data/1615219/000161521923000042/exhibit1011.htm" TargetMode="External"/><Relationship Id="rId8" Type="http://schemas.openxmlformats.org/officeDocument/2006/relationships/hyperlink" Target="https://www.sec.gov/Archives/edgar/data/1615219/000161521923000042/exhibit102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13323</Words>
  <Characters>75546</Characters>
  <CharactersWithSpaces>88210</CharactersWithSpaces>
  <Paragraphs>1090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