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6" w:space="1" w:color="000000"/>
        </w:pBdr>
        <w:bidi w:val="0"/>
        <w:jc w:val="left"/>
        <w:rPr/>
      </w:pPr>
      <w:bookmarkStart w:id="0" w:name="dcoy-20260922.htm"/>
      <w:bookmarkStart w:id="1" w:name="ksdcoy20260922"/>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pPr>
      <w:r>
        <w:rPr/>
        <w:t> </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September 22,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32"/>
        </w:rPr>
      </w:pPr>
      <w:r>
        <w:rPr>
          <w:rFonts w:ascii="Times New Roman" w:hAnsi="Times New Roman"/>
          <w:b/>
          <w:color w:val="000000"/>
          <w:sz w:val="32"/>
        </w:rPr>
        <w:t>DECOY THERAPEUTICS INC.</w:t>
      </w:r>
      <w:r>
        <w:rPr>
          <w:rFonts w:ascii="Times New Roman" w:hAnsi="Times New Roman"/>
          <w:color w:val="000000"/>
          <w:sz w:val="32"/>
        </w:rPr>
        <w:t xml:space="preserve"> </w:t>
      </w:r>
    </w:p>
    <w:p>
      <w:pPr>
        <w:pStyle w:val="TextBody"/>
        <w:bidi w:val="0"/>
        <w:spacing w:before="0" w:after="6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jc w:val="left"/>
        <w:rPr/>
      </w:pPr>
      <w:r>
        <w:rPr/>
        <w:t> </w:t>
      </w:r>
    </w:p>
    <w:tbl>
      <w:tblPr>
        <w:tblW w:w="5448" w:type="dxa"/>
        <w:jc w:val="left"/>
        <w:tblInd w:w="0" w:type="dxa"/>
        <w:tblLayout w:type="fixed"/>
        <w:tblCellMar>
          <w:top w:w="28" w:type="dxa"/>
          <w:left w:w="28" w:type="dxa"/>
          <w:bottom w:w="28" w:type="dxa"/>
          <w:right w:w="28" w:type="dxa"/>
        </w:tblCellMar>
      </w:tblPr>
      <w:tblGrid>
        <w:gridCol w:w="2926"/>
        <w:gridCol w:w="1066"/>
        <w:gridCol w:w="1456"/>
      </w:tblGrid>
      <w:tr>
        <w:trPr/>
        <w:tc>
          <w:tcPr>
            <w:tcW w:w="29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001-36812</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46-5087339</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18"/>
              </w:rPr>
              <w:t>(Commission</w:t>
            </w:r>
            <w:r>
              <w:rPr>
                <w:rFonts w:ascii="Times New Roman" w:hAnsi="Times New Roman"/>
                <w:color w:val="000000"/>
                <w:sz w:val="24"/>
              </w:rPr>
              <w:br/>
            </w:r>
            <w:r>
              <w:rPr>
                <w:rFonts w:ascii="Times New Roman" w:hAnsi="Times New Roman"/>
                <w:color w:val="000000"/>
                <w:sz w:val="18"/>
              </w:rPr>
              <w:t>File Number)</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18"/>
              </w:rPr>
              <w:t>(IRS Employer</w:t>
            </w:r>
            <w:r>
              <w:rPr>
                <w:rFonts w:ascii="Times New Roman" w:hAnsi="Times New Roman"/>
                <w:color w:val="000000"/>
                <w:sz w:val="24"/>
              </w:rPr>
              <w:br/>
            </w:r>
            <w:r>
              <w:rPr>
                <w:rFonts w:ascii="Times New Roman" w:hAnsi="Times New Roman"/>
                <w:color w:val="000000"/>
                <w:sz w:val="18"/>
              </w:rP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2450 Holcombe Blvd.</w:t>
            </w:r>
          </w:p>
          <w:p>
            <w:pPr>
              <w:pStyle w:val="TableContents"/>
              <w:bidi w:val="0"/>
              <w:jc w:val="center"/>
              <w:rPr>
                <w:rFonts w:ascii="Times New Roman" w:hAnsi="Times New Roman"/>
                <w:b/>
                <w:color w:val="000000"/>
                <w:sz w:val="18"/>
              </w:rPr>
            </w:pPr>
            <w:r>
              <w:rPr>
                <w:rFonts w:ascii="Times New Roman" w:hAnsi="Times New Roman"/>
                <w:b/>
                <w:color w:val="000000"/>
                <w:sz w:val="18"/>
              </w:rPr>
              <w:t>Suite X</w:t>
            </w:r>
          </w:p>
          <w:p>
            <w:pPr>
              <w:pStyle w:val="TableContents"/>
              <w:bidi w:val="0"/>
              <w:jc w:val="center"/>
              <w:rPr>
                <w:rFonts w:ascii="Times New Roman" w:hAnsi="Times New Roman"/>
                <w:sz w:val="18"/>
              </w:rPr>
            </w:pPr>
            <w:r>
              <w:rPr>
                <w:rFonts w:ascii="Times New Roman" w:hAnsi="Times New Roman"/>
                <w:b/>
                <w:color w:val="000000"/>
                <w:sz w:val="18"/>
              </w:rPr>
              <w:t>Houston, TX</w:t>
            </w:r>
            <w:r>
              <w:rPr>
                <w:rFonts w:ascii="Times New Roman" w:hAnsi="Times New Roman"/>
                <w:color w:val="000000"/>
                <w:sz w:val="18"/>
              </w:rPr>
              <w:t xml:space="preserve">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77021</w:t>
            </w:r>
            <w:r>
              <w:rPr>
                <w:rFonts w:ascii="Times New Roman" w:hAnsi="Times New Roman"/>
                <w:color w:val="000000"/>
                <w:sz w:val="18"/>
              </w:rPr>
              <w:b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(713) 913-5608</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N/A</w:t>
        <w:b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976" w:type="dxa"/>
        <w:jc w:val="left"/>
        <w:tblInd w:w="0" w:type="dxa"/>
        <w:tblLayout w:type="fixed"/>
        <w:tblCellMar>
          <w:top w:w="28" w:type="dxa"/>
          <w:left w:w="28" w:type="dxa"/>
          <w:bottom w:w="28" w:type="dxa"/>
          <w:right w:w="28" w:type="dxa"/>
        </w:tblCellMar>
      </w:tblPr>
      <w:tblGrid>
        <w:gridCol w:w="3616"/>
        <w:gridCol w:w="109"/>
        <w:gridCol w:w="826"/>
        <w:gridCol w:w="109"/>
        <w:gridCol w:w="3316"/>
      </w:tblGrid>
      <w:tr>
        <w:trPr/>
        <w:tc>
          <w:tcPr>
            <w:tcW w:w="3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Common Stock, </w:t>
            </w:r>
            <w:r>
              <w:rPr>
                <w:rFonts w:ascii="Times New Roman" w:hAnsi="Times New Roman"/>
                <w:b/>
                <w:color w:val="000000"/>
                <w:sz w:val="18"/>
              </w:rPr>
              <w:t>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DCOY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pBdr>
          <w:top w:val="single" w:sz="6" w:space="1" w:color="000000"/>
          <w:bottom w:val="single" w:sz="18" w:space="1" w:color="000000"/>
        </w:pBdr>
        <w:bidi w:val="0"/>
        <w:jc w:val="left"/>
        <w:rPr/>
      </w:pPr>
      <w:r>
        <w:rPr/>
        <w:t> </w:t>
      </w:r>
    </w:p>
    <w:p>
      <w:pPr>
        <w:pStyle w:val="TextBody"/>
        <w:pBdr>
          <w:bottom w:val="single" w:sz="6" w:space="1" w:color="000000"/>
        </w:pBdr>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September 22, 2026, Decoy Therapeutics Inc. (the “Company”) entered into a warrant inducement letter agreement (the “Inducement Letter”) with a holder (the “Holder”) of the Company’s outstanding Series A, Series B and Series C milestone-based common warrants issued on June 29, 2026 (the “Milestone Warrants”), pursuant to which the Holder agreed to exercise for cash, in full, the Series B Milestone Warrants (the “Existing Warrants”) to purchase an aggregate of 1,184,434 shares of the Company’s common stock, par value $0.0001 per share (the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Pursuant to the Inducement Letter, the Company agreed to reduce the exercise price of the Existing Warrants from $5.91 per share to $3.25 per share. In connection with the transaction, the exercise price of the Company's outstanding Series A Milestone Warrants and Series C Milestone Warrants was also reduced from $5.91 per share to $3.25 per share; the other terms of such warrants were not amended. The Existing Warrants were exercised in full on September 22, 2026, and the transaction closed on September 23, 2026, resulting in aggregate gross proceeds to the Company of approximately $3.85 million, before deducting placement agent fees and other expenses. The Company intends to use the net proceeds for working capital and other general corporate purposes.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consideration for the immediate exercise of the Existing Warrants, on September 23, 2026, the Company issued to the Holder in a private placement new unregistered warrants (the “New Warrants”) to purchase up to 2,368,868 shares of Common Stock, representing 200% of the number of shares underlying the exercised Existing Warrants. The New Warrants have an exercise price of $3.25 per share, are exercisable immediately upon issuance and will expire on the fifth anniversary of the date of issuance. The New Warrants contain customary anti-dilution adjustments, cashless exercise provisions and a beneficial ownership limitation of 9.99%. The issuance and exercise of the New Warrants are not subject to stockholder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agreed to file a registration statement covering the resale of the shares of Common Stock issuable upon exercise of the New Warrants within 15 calendar days following the date of the Inducement Letter and to use commercially reasonable efforts to cause such registration statement to become effective within the periods set forth in the Inducement Letter. The resale of the shares of Common Stock issuable upon exercise of the Existing Warrants has been registered pursuant to the Company’s effective registration statement on Form S-1 (File No. 333-297381). In the Inducement Letter, the Company also agreed, subject to certain exceptions, not to issue any shares of Common Stock or Common Stock equivalents, or file any registration statement, for 30 days following the date of the Inducement Letter, and, subject to certain exceptions, not to enter into any variable rate transaction until 180 days after the effective date of the resale registration statement covering the shares of Common Stock issuable upon exercise of the New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foregoing description of the Inducement Letter and the New Warrants does not purport to be complete and is qualified in its entirety by reference to the full text of the Inducement Letter and the form of New Warrant, copies of which are filed as Exhibits 10.1 and 4.1, respectively, to this Current Report on Form 8-K and are incorporated herein by reference.</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information set forth in Item 1.01 of this Current Report on Form 8-K is incorporated herein by reference. The New Warrants and the shares of Common Stock issuable upon exercise thereof have not been registered under the Securities Act of 1933, as amended (the “Securities Act”), and were offered and sold in reliance upon the exemption from registration afforded by Section 4(a)(2) of the Securities Act. The Holder represented that it is an “accredited investor” as defined in Rule 501(a) of Regulation D.</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September 22, 2026, the Company issued a press release announcing the transaction described in Item 1.01 of this Current Report on Form 8-K and subsequently issued a corrective press release clarifying that the New Warrants are not subject to stockholder approval and are exercisable immediately upon issuance. Copies of the original press release and the corrective press release are furnished as Exhibits 99.1 and 99.2 hereto,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information in this Item 7.01, including Exhibits 99.1 and 99.2, shall not be deemed “filed” for purposes of Section 18 of the Securities Exchange Act of 1934, as amended, or otherwise subject to the liabilities of that section, nor shall it be deemed incorporated by reference into any filing under the Securities Act or the Exchange Act, except as expressly set forth by specific reference in such a filing.</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Current Report on Form 8-K does not constitute an offer to sell or the solicitation of an offer to buy any securities, nor shall there be any sale of such securities in any jurisdiction in which such offer, solicitation or sale would be unlawful.</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(d) Exhibits.</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392"/>
        <w:gridCol w:w="146"/>
        <w:gridCol w:w="8667"/>
      </w:tblGrid>
      <w:tr>
        <w:trPr/>
        <w:tc>
          <w:tcPr>
            <w:tcW w:w="1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7" w:type="dxa"/>
            <w:tcBorders/>
            <w:vAlign w:val="center"/>
          </w:tcPr>
          <w:p>
            <w:pPr>
              <w:pStyle w:val="TableContents"/>
              <w:bidi w:val="0"/>
              <w:spacing w:before="0" w:after="283"/>
              <w:jc w:val="left"/>
              <w:rPr>
                <w:sz w:val="4"/>
                <w:szCs w:val="4"/>
              </w:rPr>
            </w:pPr>
            <w:r>
              <w:rPr>
                <w:sz w:val="4"/>
                <w:szCs w:val="4"/>
              </w:rPr>
            </w:r>
          </w:p>
        </w:tc>
      </w:tr>
      <w:tr>
        <w:trPr/>
        <w:tc>
          <w:tcPr>
            <w:tcW w:w="13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Description</w:t>
            </w:r>
          </w:p>
        </w:tc>
      </w:tr>
      <w:tr>
        <w:trPr/>
        <w:tc>
          <w:tcPr>
            <w:tcW w:w="1392" w:type="dxa"/>
            <w:tcBorders>
              <w:top w:val="single" w:sz="8"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8667" w:type="dxa"/>
            <w:tcBorders>
              <w:top w:val="single" w:sz="8" w:space="0" w:color="000000"/>
            </w:tcBorders>
            <w:shd w:fill="CCEEFF" w:val="clear"/>
            <w:tcMar>
              <w:top w:w="29" w:type="dxa"/>
              <w:left w:w="0" w:type="dxa"/>
              <w:bottom w:w="0" w:type="dxa"/>
              <w:right w:w="0" w:type="dxa"/>
            </w:tcMar>
            <w:vAlign w:val="center"/>
          </w:tcPr>
          <w:p>
            <w:pPr>
              <w:pStyle w:val="TableContents"/>
              <w:bidi w:val="0"/>
              <w:spacing w:before="0" w:after="283"/>
              <w:jc w:val="left"/>
              <w:rPr/>
            </w:pPr>
            <w:hyperlink w:anchor="dcoy-ex4_1.htm">
              <w:r>
                <w:rPr>
                  <w:rStyle w:val="InternetLink"/>
                  <w:rFonts w:ascii="Times New Roman" w:hAnsi="Times New Roman"/>
                  <w:color w:val="0000FF"/>
                  <w:sz w:val="20"/>
                  <w:u w:val="single"/>
                </w:rPr>
                <w:t>Form of Common Stock Purchase Warrant</w:t>
              </w:r>
            </w:hyperlink>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coy-ex10_1.htm">
              <w:r>
                <w:rPr>
                  <w:rStyle w:val="InternetLink"/>
                  <w:rFonts w:ascii="Times New Roman" w:hAnsi="Times New Roman"/>
                  <w:color w:val="0000FF"/>
                  <w:sz w:val="20"/>
                  <w:u w:val="single"/>
                </w:rPr>
                <w:t>Form of Warrant Inducement Letter Agreement, dated September 22, 2026, by and between the Company and the Holder</w:t>
              </w:r>
            </w:hyperlink>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coy-ex99_1.htm">
              <w:r>
                <w:rPr>
                  <w:rStyle w:val="InternetLink"/>
                  <w:rFonts w:ascii="Times New Roman" w:hAnsi="Times New Roman"/>
                  <w:color w:val="0000FF"/>
                  <w:sz w:val="20"/>
                  <w:u w:val="single"/>
                </w:rPr>
                <w:t>Press Release announcing the warrant inducement transaction, dated September 22, 2026</w:t>
              </w:r>
            </w:hyperlink>
          </w:p>
        </w:tc>
      </w:tr>
      <w:tr>
        <w:trPr/>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coy-ex99_2.htm">
              <w:r>
                <w:rPr>
                  <w:rStyle w:val="InternetLink"/>
                  <w:rFonts w:ascii="Times New Roman" w:hAnsi="Times New Roman"/>
                  <w:color w:val="0000FF"/>
                  <w:sz w:val="20"/>
                  <w:u w:val="single"/>
                </w:rPr>
                <w:t>Corrective Press Release relating to the warrant inducement transaction, dated September 22, 2026</w:t>
              </w:r>
            </w:hyperlink>
          </w:p>
        </w:tc>
      </w:tr>
      <w:tr>
        <w:trPr/>
        <w:tc>
          <w:tcPr>
            <w:tcW w:w="1392"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068" w:type="dxa"/>
        <w:jc w:val="left"/>
        <w:tblInd w:w="0" w:type="dxa"/>
        <w:tblLayout w:type="fixed"/>
        <w:tblCellMar>
          <w:top w:w="28" w:type="dxa"/>
          <w:left w:w="28" w:type="dxa"/>
          <w:bottom w:w="28" w:type="dxa"/>
          <w:right w:w="28" w:type="dxa"/>
        </w:tblCellMar>
      </w:tblPr>
      <w:tblGrid>
        <w:gridCol w:w="2221"/>
        <w:gridCol w:w="406"/>
        <w:gridCol w:w="4441"/>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0"/>
              </w:rPr>
            </w:pPr>
            <w:r>
              <w:rPr>
                <w:rFonts w:ascii="Times New Roman" w:hAnsi="Times New Roman"/>
                <w:smallCaps/>
                <w:color w:val="000000"/>
                <w:sz w:val="20"/>
              </w:rPr>
              <w:t>Decoy Therapeutics inc.</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Mark J. Rosenblum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 Rosenblum</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dcoy-ex4_1.htm"/>
      <w:bookmarkStart w:id="3" w:name="ksdcoyex4_1"/>
      <w:bookmarkEnd w:id="2"/>
      <w:bookmarkEnd w:id="3"/>
      <w:r>
        <w:rPr>
          <w:rFonts w:ascii="Times New Roman" w:hAnsi="Times New Roman"/>
          <w:b/>
          <w:color w:val="000000"/>
          <w:sz w:val="20"/>
        </w:rPr>
        <w:t>Exhibit 4.1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WARRANT</w:t>
      </w:r>
    </w:p>
    <w:p>
      <w:pPr>
        <w:pStyle w:val="TextBody"/>
        <w:bidi w:val="0"/>
        <w:jc w:val="center"/>
        <w:rPr>
          <w:rFonts w:ascii="Times New Roman" w:hAnsi="Times New Roman"/>
          <w:b/>
          <w:color w:val="000000"/>
          <w:sz w:val="20"/>
        </w:rPr>
      </w:pPr>
      <w:r>
        <w:rPr>
          <w:rFonts w:ascii="Times New Roman" w:hAnsi="Times New Roman"/>
          <w:b/>
          <w:color w:val="000000"/>
          <w:sz w:val="20"/>
        </w:rPr>
        <w:t>TO PURCHASE SHARES OF COMMON STOCK</w:t>
      </w:r>
    </w:p>
    <w:p>
      <w:pPr>
        <w:pStyle w:val="TextBody"/>
        <w:bidi w:val="0"/>
        <w:jc w:val="center"/>
        <w:rPr>
          <w:rFonts w:ascii="Times New Roman" w:hAnsi="Times New Roman"/>
          <w:b/>
          <w:caps/>
          <w:color w:val="000000"/>
          <w:sz w:val="20"/>
        </w:rPr>
      </w:pPr>
      <w:r>
        <w:rPr>
          <w:rFonts w:ascii="Times New Roman" w:hAnsi="Times New Roman"/>
          <w:b/>
          <w:caps/>
          <w:color w:val="000000"/>
          <w:sz w:val="20"/>
        </w:rPr>
        <w:t>DECOY THERAPEUTICS INC.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Warrant Shares: 2,368,868 Initial Exercise Date: September 23, 2026</w:t>
      </w:r>
    </w:p>
    <w:p>
      <w:pPr>
        <w:pStyle w:val="TextBody"/>
        <w:bidi w:val="0"/>
        <w:jc w:val="both"/>
        <w:rPr>
          <w:rFonts w:ascii="Times New Roman" w:hAnsi="Times New Roman"/>
          <w:sz w:val="20"/>
        </w:rPr>
      </w:pPr>
      <w:r>
        <w:rPr>
          <w:rFonts w:ascii="Times New Roman" w:hAnsi="Times New Roman"/>
          <w:color w:val="000000"/>
          <w:sz w:val="20"/>
        </w:rPr>
        <w:t>THIS WARRANT TO PURCHASE SHARES OF COMMON STOCK (the “</w:t>
      </w:r>
      <w:r>
        <w:rPr>
          <w:rFonts w:ascii="Times New Roman" w:hAnsi="Times New Roman"/>
          <w:color w:val="000000"/>
          <w:sz w:val="20"/>
          <w:u w:val="single"/>
        </w:rPr>
        <w:t>Warrant</w:t>
      </w:r>
      <w:r>
        <w:rPr>
          <w:rFonts w:ascii="Times New Roman" w:hAnsi="Times New Roman"/>
          <w:color w:val="000000"/>
          <w:sz w:val="20"/>
        </w:rPr>
        <w:t>”) certifies that, for value received, Armistice Capital Master Fund Ltd. or its assigns (the “</w:t>
      </w:r>
      <w:r>
        <w:rPr>
          <w:rFonts w:ascii="Times New Roman" w:hAnsi="Times New Roman"/>
          <w:color w:val="000000"/>
          <w:sz w:val="20"/>
          <w:u w:val="single"/>
        </w:rPr>
        <w:t>Holder</w:t>
      </w:r>
      <w:r>
        <w:rPr>
          <w:rFonts w:ascii="Times New Roman" w:hAnsi="Times New Roman"/>
          <w:color w:val="000000"/>
          <w:sz w:val="20"/>
        </w:rPr>
        <w:t>”) is entitled, upon the terms and subject to the limitations on exercise and the conditions hereinafter set forth, at any time on or after the date hereof (the “</w:t>
      </w:r>
      <w:r>
        <w:rPr>
          <w:rFonts w:ascii="Times New Roman" w:hAnsi="Times New Roman"/>
          <w:color w:val="000000"/>
          <w:sz w:val="20"/>
          <w:u w:val="single"/>
        </w:rPr>
        <w:t>Initial Exercise Date</w:t>
      </w:r>
      <w:r>
        <w:rPr>
          <w:rFonts w:ascii="Times New Roman" w:hAnsi="Times New Roman"/>
          <w:color w:val="000000"/>
          <w:sz w:val="20"/>
        </w:rPr>
        <w:t>”) and on or prior to 5:00 p.m. (New York City time) on the fifth anniversary of the Initial Exercise Date (the “</w:t>
      </w:r>
      <w:r>
        <w:rPr>
          <w:rFonts w:ascii="Times New Roman" w:hAnsi="Times New Roman"/>
          <w:color w:val="000000"/>
          <w:sz w:val="20"/>
          <w:u w:val="single"/>
        </w:rPr>
        <w:t>Termination Date</w:t>
      </w:r>
      <w:r>
        <w:rPr>
          <w:rFonts w:ascii="Times New Roman" w:hAnsi="Times New Roman"/>
          <w:color w:val="000000"/>
          <w:sz w:val="20"/>
        </w:rPr>
        <w:t>”) but not thereafter, to subscribe for and purchase from Decoy Therapeutics Inc., a Delaware corporation (the “</w:t>
      </w:r>
      <w:r>
        <w:rPr>
          <w:rFonts w:ascii="Times New Roman" w:hAnsi="Times New Roman"/>
          <w:color w:val="000000"/>
          <w:sz w:val="20"/>
          <w:u w:val="single"/>
        </w:rPr>
        <w:t>Company</w:t>
      </w:r>
      <w:r>
        <w:rPr>
          <w:rFonts w:ascii="Times New Roman" w:hAnsi="Times New Roman"/>
          <w:color w:val="000000"/>
          <w:sz w:val="20"/>
        </w:rPr>
        <w:t>”), up to 2,368,868 shares (as subject to adjustment hereunder, the “</w:t>
      </w:r>
      <w:r>
        <w:rPr>
          <w:rFonts w:ascii="Times New Roman" w:hAnsi="Times New Roman"/>
          <w:color w:val="000000"/>
          <w:sz w:val="20"/>
          <w:u w:val="single"/>
        </w:rPr>
        <w:t>Warrant Shares</w:t>
      </w:r>
      <w:r>
        <w:rPr>
          <w:rFonts w:ascii="Times New Roman" w:hAnsi="Times New Roman"/>
          <w:color w:val="000000"/>
          <w:sz w:val="20"/>
        </w:rPr>
        <w:t>”) of Common Stock. The purchase price of one share of Common Stock under this Warrant shall be equal to the Exercise Price, as defined in Section 2(b).</w:t>
      </w:r>
    </w:p>
    <w:p>
      <w:pPr>
        <w:pStyle w:val="TextBody"/>
        <w:bidi w:val="0"/>
        <w:jc w:val="both"/>
        <w:rPr>
          <w:rFonts w:ascii="Times New Roman" w:hAnsi="Times New Roman"/>
          <w:sz w:val="20"/>
        </w:rPr>
      </w:pPr>
      <w:r>
        <w:rPr>
          <w:rFonts w:ascii="Times New Roman" w:hAnsi="Times New Roman"/>
          <w:color w:val="000000"/>
          <w:sz w:val="20"/>
          <w:u w:val="single"/>
        </w:rPr>
        <w:t>Section 1</w:t>
      </w:r>
      <w:r>
        <w:rPr>
          <w:rFonts w:ascii="Times New Roman" w:hAnsi="Times New Roman"/>
          <w:color w:val="000000"/>
          <w:sz w:val="20"/>
        </w:rPr>
        <w:t xml:space="preserve">. </w:t>
      </w:r>
      <w:r>
        <w:rPr>
          <w:rFonts w:ascii="Times New Roman" w:hAnsi="Times New Roman"/>
          <w:color w:val="000000"/>
          <w:sz w:val="20"/>
          <w:u w:val="single"/>
        </w:rPr>
        <w:t>Definitions</w:t>
      </w:r>
      <w:r>
        <w:rPr>
          <w:rFonts w:ascii="Times New Roman" w:hAnsi="Times New Roman"/>
          <w:color w:val="000000"/>
          <w:sz w:val="20"/>
        </w:rPr>
        <w:t>. In addition to the terms defined elsewhere in this Warrant, the following terms have the meanings indicated in this Section 1.</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Affiliate</w:t>
      </w:r>
      <w:r>
        <w:rPr>
          <w:rFonts w:ascii="Times New Roman" w:hAnsi="Times New Roman"/>
          <w:color w:val="000000"/>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 day other than a Saturday, Sunday or any other day which is a federal legal holiday in the United States or any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Commission</w:t>
      </w:r>
      <w:r>
        <w:rPr>
          <w:rFonts w:ascii="Times New Roman" w:hAnsi="Times New Roman"/>
          <w:color w:val="000000"/>
          <w:sz w:val="20"/>
        </w:rPr>
        <w:t>” means the United States Securities and Exchange Commission.</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Common Stock</w:t>
      </w:r>
      <w:r>
        <w:rPr>
          <w:rFonts w:ascii="Times New Roman" w:hAnsi="Times New Roman"/>
          <w:color w:val="000000"/>
          <w:sz w:val="20"/>
        </w:rPr>
        <w:t>” means the common stock of the Company, $0.0001 par value per share, and any other class of securities into which such securities may hereafter be reclassified or changed.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Common Stock Equivalents</w:t>
      </w:r>
      <w:r>
        <w:rPr>
          <w:rFonts w:ascii="Times New Roman" w:hAnsi="Times New Roman"/>
          <w:color w:val="000000"/>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Exchange Act</w:t>
      </w:r>
      <w:r>
        <w:rPr>
          <w:rFonts w:ascii="Times New Roman" w:hAnsi="Times New Roman"/>
          <w:color w:val="000000"/>
          <w:sz w:val="20"/>
        </w:rPr>
        <w:t xml:space="preserve">” means the Securities Exchange Act of 1934, as amended, and the rules and regulations promulgated thereunder.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Inducement Letter</w:t>
      </w:r>
      <w:r>
        <w:rPr>
          <w:rFonts w:ascii="Times New Roman" w:hAnsi="Times New Roman"/>
          <w:color w:val="000000"/>
          <w:sz w:val="20"/>
        </w:rPr>
        <w:t>” means that certain Inducement Offer to Exercise Certain Existing Milestone Warrants, dated as of the date hereof, by and between the Company and the Holder.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Person</w:t>
      </w:r>
      <w:r>
        <w:rPr>
          <w:rFonts w:ascii="Times New Roman" w:hAnsi="Times New Roman"/>
          <w:color w:val="000000"/>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Securities Act</w:t>
      </w:r>
      <w:r>
        <w:rPr>
          <w:rFonts w:ascii="Times New Roman" w:hAnsi="Times New Roman"/>
          <w:color w:val="000000"/>
          <w:sz w:val="20"/>
        </w:rPr>
        <w:t xml:space="preserve">” means the Securities Act of 1933, as amended, and the rules and regulations promulgated thereunder. </w:t>
      </w:r>
    </w:p>
    <w:p>
      <w:pPr>
        <w:pStyle w:val="TextBody"/>
        <w:bidi w:val="0"/>
        <w:jc w:val="both"/>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0"/>
          <w:u w:val="single"/>
        </w:rPr>
        <w:t>Subsidiary</w:t>
      </w:r>
      <w:r>
        <w:rPr>
          <w:rFonts w:ascii="Times New Roman" w:hAnsi="Times New Roman"/>
          <w:color w:val="000000"/>
          <w:sz w:val="20"/>
        </w:rPr>
        <w:t xml:space="preserve">” means any subsidiary of the Company and shall, where applicable, also include any direct or indirect subsidiary of the Company formed or acquired after the date hereof.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Trading Day</w:t>
      </w:r>
      <w:r>
        <w:rPr>
          <w:rFonts w:ascii="Times New Roman" w:hAnsi="Times New Roman"/>
          <w:color w:val="000000"/>
          <w:sz w:val="20"/>
        </w:rPr>
        <w:t xml:space="preserve">” means a day on which the principal Trading Market is open for trading.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Trading Market</w:t>
      </w:r>
      <w:r>
        <w:rPr>
          <w:rFonts w:ascii="Times New Roman" w:hAnsi="Times New Roman"/>
          <w:color w:val="000000"/>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jc w:val="both"/>
        <w:rPr/>
      </w:pPr>
      <w:r>
        <w:rPr/>
        <w:t> </w:t>
      </w:r>
    </w:p>
    <w:p>
      <w:pPr>
        <w:pStyle w:val="TextBody"/>
        <w:bidi w:val="0"/>
        <w:jc w:val="left"/>
        <w:rPr/>
      </w:pPr>
      <w:r>
        <w:rPr>
          <w:color w:val="000000"/>
        </w:rPr>
        <w:t>“</w:t>
      </w:r>
      <w:r>
        <w:rPr>
          <w:rFonts w:ascii="Times New Roman" w:hAnsi="Times New Roman"/>
          <w:color w:val="000000"/>
          <w:sz w:val="20"/>
          <w:u w:val="single"/>
        </w:rPr>
        <w:t>Transaction Documents</w:t>
      </w:r>
      <w:r>
        <w:rPr>
          <w:rFonts w:ascii="Times New Roman" w:hAnsi="Times New Roman"/>
          <w:color w:val="000000"/>
          <w:sz w:val="20"/>
        </w:rPr>
        <w:t>” means this Warrant, the Inducement Letter and the other agreements and instruments executed and delivered in connection with the transactions contemplated thereby.</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u w:val="single"/>
        </w:rPr>
        <w:t>Transfer Agent</w:t>
      </w:r>
      <w:r>
        <w:rPr>
          <w:rFonts w:ascii="Times New Roman" w:hAnsi="Times New Roman"/>
          <w:color w:val="000000"/>
          <w:sz w:val="20"/>
        </w:rPr>
        <w:t>” means Equiniti Trust Company, LLC, the current transfer agent of the Company, with a mailing address of 1110 Centre Point Curve, Suite 101, Mendota Heights, MN 55120, Attention: Chris Hall, and an email address of chris.hall@equiniti.com, and any successor transfer agent of the Company.</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Warrants</w:t>
      </w:r>
      <w:r>
        <w:rPr>
          <w:rFonts w:ascii="Times New Roman" w:hAnsi="Times New Roman"/>
          <w:color w:val="000000"/>
          <w:sz w:val="20"/>
        </w:rPr>
        <w:t xml:space="preserve">” means this Warrant and the other warrants issued pursuant to the Inducement Letter. </w:t>
      </w:r>
    </w:p>
    <w:p>
      <w:pPr>
        <w:pStyle w:val="TextBody"/>
        <w:bidi w:val="0"/>
        <w:jc w:val="both"/>
        <w:rPr>
          <w:rFonts w:ascii="Times New Roman" w:hAnsi="Times New Roman"/>
          <w:sz w:val="20"/>
        </w:rPr>
      </w:pPr>
      <w:r>
        <w:rPr>
          <w:rFonts w:ascii="Times New Roman" w:hAnsi="Times New Roman"/>
          <w:color w:val="000000"/>
          <w:sz w:val="20"/>
          <w:u w:val="single"/>
        </w:rPr>
        <w:t>Section 2</w:t>
      </w:r>
      <w:r>
        <w:rPr>
          <w:rFonts w:ascii="Times New Roman" w:hAnsi="Times New Roman"/>
          <w:color w:val="000000"/>
          <w:sz w:val="20"/>
        </w:rPr>
        <w:t xml:space="preserve">. </w:t>
      </w:r>
      <w:r>
        <w:rPr>
          <w:rFonts w:ascii="Times New Roman" w:hAnsi="Times New Roman"/>
          <w:color w:val="000000"/>
          <w:sz w:val="20"/>
          <w:u w:val="single"/>
        </w:rPr>
        <w:t>Exercise</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Exercise of Warrant</w:t>
      </w:r>
      <w:r>
        <w:rPr>
          <w:rFonts w:ascii="Times New Roman" w:hAnsi="Times New Roman"/>
          <w:color w:val="000000"/>
          <w:sz w:val="20"/>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as </w:t>
      </w:r>
      <w:r>
        <w:rPr>
          <w:rFonts w:ascii="Times New Roman" w:hAnsi="Times New Roman"/>
          <w:color w:val="000000"/>
          <w:sz w:val="20"/>
          <w:u w:val="single"/>
        </w:rPr>
        <w:t>Exhibit A</w:t>
      </w:r>
      <w:r>
        <w:rPr>
          <w:rFonts w:ascii="Times New Roman" w:hAnsi="Times New Roman"/>
          <w:color w:val="000000"/>
          <w:sz w:val="20"/>
        </w:rPr>
        <w:t xml:space="preserve"> (the “</w:t>
      </w:r>
      <w:r>
        <w:rPr>
          <w:rFonts w:ascii="Times New Roman" w:hAnsi="Times New Roman"/>
          <w:color w:val="000000"/>
          <w:sz w:val="20"/>
          <w:u w:val="single"/>
        </w:rPr>
        <w:t>Notice of Exercise</w:t>
      </w:r>
      <w:r>
        <w:rPr>
          <w:rFonts w:ascii="Times New Roman" w:hAnsi="Times New Roman"/>
          <w:color w:val="000000"/>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hAnsi="Times New Roman"/>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Exercise Price</w:t>
      </w:r>
      <w:r>
        <w:rPr>
          <w:rFonts w:ascii="Times New Roman" w:hAnsi="Times New Roman"/>
          <w:color w:val="000000"/>
          <w:sz w:val="20"/>
        </w:rPr>
        <w:t xml:space="preserve">. The exercise price per share of Common Stock under this Warrant shall be </w:t>
      </w:r>
      <w:r>
        <w:rPr>
          <w:rFonts w:ascii="Times New Roman" w:hAnsi="Times New Roman"/>
          <w:b/>
          <w:color w:val="000000"/>
          <w:sz w:val="20"/>
        </w:rPr>
        <w:t>$</w:t>
      </w:r>
      <w:r>
        <w:rPr>
          <w:rFonts w:ascii="Times New Roman" w:hAnsi="Times New Roman"/>
          <w:color w:val="000000"/>
          <w:sz w:val="20"/>
        </w:rPr>
        <w:t>3.25, subject to adjustment hereunder (the “</w:t>
      </w:r>
      <w:r>
        <w:rPr>
          <w:rFonts w:ascii="Times New Roman" w:hAnsi="Times New Roman"/>
          <w:color w:val="000000"/>
          <w:sz w:val="20"/>
          <w:u w:val="single"/>
        </w:rPr>
        <w:t>Exercise Price</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Cashless Exercise</w:t>
      </w:r>
      <w:r>
        <w:rPr>
          <w:rFonts w:ascii="Times New Roman" w:hAnsi="Times New Roman"/>
          <w:color w:val="000000"/>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sz w:val="20"/>
        </w:rPr>
      </w:pPr>
      <w:r>
        <w:rPr>
          <w:rFonts w:ascii="Times New Roman" w:hAnsi="Times New Roman"/>
          <w:color w:val="000000"/>
          <w:sz w:val="20"/>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 w:hAnsi="Times New Roman"/>
          <w:color w:val="000000"/>
          <w:sz w:val="20"/>
          <w:u w:val="single"/>
        </w:rPr>
        <w:t>Bloomberg</w:t>
      </w:r>
      <w:r>
        <w:rPr>
          <w:rFonts w:ascii="Times New Roman" w:hAnsi="Times New Roman"/>
          <w:color w:val="000000"/>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the Exercise Price of this Warrant, as adjusted hereunder;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jc w:val="both"/>
        <w:rPr/>
      </w:pPr>
      <w:r>
        <w:rPr>
          <w:color w:val="000000"/>
        </w:rPr>
        <w:t>“</w:t>
      </w:r>
      <w:r>
        <w:rPr>
          <w:rFonts w:ascii="Times New Roman" w:hAnsi="Times New Roman"/>
          <w:color w:val="000000"/>
          <w:sz w:val="20"/>
          <w:u w:val="single"/>
        </w:rPr>
        <w:t>Bid Price</w:t>
      </w:r>
      <w:r>
        <w:rPr>
          <w:rFonts w:ascii="Times New Roman" w:hAnsi="Times New Roman"/>
          <w:color w:val="000000"/>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Venture Market (“OTCQB”) or the OTCQX Best Market (“OTCQX”),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jc w:val="both"/>
        <w:rPr/>
      </w:pPr>
      <w:r>
        <w:rPr>
          <w:color w:val="000000"/>
        </w:rPr>
        <w:t>“</w:t>
      </w:r>
      <w:r>
        <w:rPr>
          <w:rFonts w:ascii="Times New Roman" w:hAnsi="Times New Roman"/>
          <w:color w:val="000000"/>
          <w:sz w:val="20"/>
          <w:u w:val="single"/>
        </w:rPr>
        <w:t>VWAP</w:t>
      </w:r>
      <w:r>
        <w:rPr>
          <w:rFonts w:ascii="Times New Roman" w:hAnsi="Times New Roman"/>
          <w:color w:val="000000"/>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then listed or quoted on the OTCQB or the OTCQX,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good faith by the Holders of a majority in interest of the Warrants then outstanding and reasonably acceptable to the Company, the fees and expenses of which shall be paid by the Company.</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Mechanics of Exercise</w:t>
      </w:r>
      <w:r>
        <w:rPr>
          <w:rFonts w:ascii="Times New Roman" w:hAnsi="Times New Roman"/>
          <w:color w:val="000000"/>
          <w:sz w:val="20"/>
        </w:rPr>
        <w:t>.</w:t>
      </w:r>
    </w:p>
    <w:p>
      <w:pPr>
        <w:pStyle w:val="TextBody"/>
        <w:bidi w:val="0"/>
        <w:spacing w:lineRule="auto" w:line="360"/>
        <w:jc w:val="both"/>
        <w:rPr>
          <w:rFonts w:ascii="Times New Roman" w:hAnsi="Times New Roman"/>
          <w:sz w:val="13"/>
        </w:rPr>
      </w:pPr>
      <w:r>
        <w:rPr>
          <w:rFonts w:ascii="Times New Roman" w:hAnsi="Times New Roman"/>
          <w:color w:val="000000"/>
          <w:sz w:val="20"/>
        </w:rPr>
        <w:t xml:space="preserve">i. </w:t>
      </w:r>
      <w:r>
        <w:rPr>
          <w:rFonts w:ascii="Times New Roman" w:hAnsi="Times New Roman"/>
          <w:color w:val="000000"/>
          <w:sz w:val="20"/>
          <w:u w:val="single"/>
        </w:rPr>
        <w:t>Delivery of Warrant Shares Upon Exercise</w:t>
      </w:r>
      <w:r>
        <w:rPr>
          <w:rFonts w:ascii="Times New Roman" w:hAnsi="Times New Roman"/>
          <w:color w:val="000000"/>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0"/>
          <w:u w:val="single"/>
        </w:rPr>
        <w:t>DWAC</w:t>
      </w:r>
      <w:r>
        <w:rPr>
          <w:rFonts w:ascii="Times New Roman" w:hAnsi="Times New Roman"/>
          <w:color w:val="000000"/>
          <w:sz w:val="13"/>
        </w:rPr>
        <w:t>”</w:t>
      </w:r>
      <w:r>
        <w:rPr>
          <w:rFonts w:ascii="Times New Roman" w:hAnsi="Times New Roman"/>
          <w:color w:val="000000"/>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hAnsi="Times New Roman"/>
          <w:color w:val="000000"/>
          <w:sz w:val="20"/>
          <w:u w:val="single"/>
        </w:rPr>
        <w:t>Warrant Share Delivery Date</w:t>
      </w:r>
      <w:r>
        <w:rPr>
          <w:rFonts w:ascii="Times New Roman" w:hAnsi="Times New Roman"/>
          <w:color w:val="000000"/>
          <w:sz w:val="13"/>
        </w:rPr>
        <w:t>”</w:t>
      </w:r>
      <w:r>
        <w:rPr>
          <w:rFonts w:ascii="Times New Roman" w:hAnsi="Times New Roman"/>
          <w:color w:val="000000"/>
          <w:sz w:val="20"/>
        </w:rPr>
        <w:t>); provided, however that payment of the aggregate Exercise Price (other than in the instance of a cashless exercise) is received by the Company by such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hAnsi="Times New Roman"/>
          <w:color w:val="000000"/>
          <w:sz w:val="13"/>
        </w:rPr>
        <w:t>rd</w:t>
      </w:r>
      <w:r>
        <w:rPr>
          <w:rFonts w:ascii="Times New Roman" w:hAnsi="Times New Roman"/>
          <w:color w:val="000000"/>
          <w:sz w:val="20"/>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0"/>
          <w:u w:val="single"/>
        </w:rPr>
        <w:t>Standard Settlement Period</w:t>
      </w:r>
      <w:r>
        <w:rPr>
          <w:rFonts w:ascii="Times New Roman" w:hAnsi="Times New Roman"/>
          <w:color w:val="000000"/>
          <w:sz w:val="13"/>
        </w:rPr>
        <w:t xml:space="preserve">” </w:t>
      </w:r>
      <w:r>
        <w:rPr>
          <w:rFonts w:ascii="Times New Roman" w:hAnsi="Times New Roman"/>
          <w:color w:val="000000"/>
          <w:sz w:val="20"/>
        </w:rPr>
        <w:t>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issuance of this Warrant, the Company agrees to deliver, or cause to be delivered,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Delivery of New Warrants Upon Exercise</w:t>
      </w:r>
      <w:r>
        <w:rPr>
          <w:rFonts w:ascii="Times New Roman" w:hAnsi="Times New Roman"/>
          <w:color w:val="000000"/>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Warrant Shares called for by this Warrant, which new Warrant shall in all other respects be identical with this Warrant.</w:t>
      </w:r>
    </w:p>
    <w:p>
      <w:pPr>
        <w:pStyle w:val="TextBody"/>
        <w:bidi w:val="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Rescission Rights</w:t>
      </w:r>
      <w:r>
        <w:rPr>
          <w:rFonts w:ascii="Times New Roman" w:hAnsi="Times New Roman"/>
          <w:color w:val="000000"/>
          <w:sz w:val="20"/>
        </w:rPr>
        <w:t>. If the Company fails to cause the Transfer Agent to transmit to the Holder the Warrant Shares pursuant to Section 2(d)(i) by the Warrant Share Delivery Date (subject to receipt of the aggregate exercise price for the applicable exercise (other than in the case of a cashless exercise)), then the Holder will have the right to rescind such exercise by delivering written notice to the Company at any time prior to the Company delivering such Warrant Shares; provided, however, that the Holder shall be required to return any Warrant Shares subject to any such rescinded exercise notice concurrently with the return to the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pStyle w:val="TextBody"/>
        <w:bidi w:val="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Compensation for Buy-In on Failure to Timely Deliver Warrant Shares Upon Exercise</w:t>
      </w:r>
      <w:r>
        <w:rPr>
          <w:rFonts w:ascii="Times New Roman" w:hAnsi="Times New Roman"/>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0"/>
          <w:u w:val="single"/>
        </w:rPr>
        <w:t>Buy-In</w:t>
      </w:r>
      <w:r>
        <w:rPr>
          <w:rFonts w:ascii="Times New Roman" w:hAnsi="Times New Roman"/>
          <w:color w:val="000000"/>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this Warrant for Warrant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No Fractional Shares or Scrip</w:t>
      </w:r>
      <w:r>
        <w:rPr>
          <w:rFonts w:ascii="Times New Roman" w:hAnsi="Times New Roman"/>
          <w:color w:val="000000"/>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of Common Stock.</w:t>
      </w:r>
    </w:p>
    <w:p>
      <w:pPr>
        <w:pStyle w:val="TextBody"/>
        <w:bidi w:val="0"/>
        <w:jc w:val="both"/>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Charges, Taxes and Expenses</w:t>
      </w:r>
      <w:r>
        <w:rPr>
          <w:rFonts w:ascii="Times New Roman" w:hAnsi="Times New Roman"/>
          <w:color w:val="000000"/>
          <w:sz w:val="20"/>
        </w:rPr>
        <w:t xml:space="preserve">. The issuance and delivery of Warrant Shares shall be made without charge to the Holder for any issue or transfer tax or other incidental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event that Warrant Shares are to be issued in a name other than the name of the Holder, this Warrant when surrendered for exercise shall be accompanied by the Assignment Form attached hereto as Exhibit B duly executed by the Holder and the Company may require, as a condition thereto, the payment of a sum sufficient to reimburse it for any transfer tax incidental thereto, and if any portion of this Warrant remains unexercised, a new Warrant in the form hereof shall be delivered by the Company to the assignee.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jc w:val="both"/>
        <w:rPr>
          <w:rFonts w:ascii="Times New Roman" w:hAnsi="Times New Roman"/>
          <w:sz w:val="20"/>
        </w:rPr>
      </w:pPr>
      <w:r>
        <w:rPr>
          <w:rFonts w:ascii="Times New Roman" w:hAnsi="Times New Roman"/>
          <w:color w:val="000000"/>
          <w:sz w:val="20"/>
        </w:rPr>
        <w:t xml:space="preserve">vii. </w:t>
      </w:r>
      <w:r>
        <w:rPr>
          <w:rFonts w:ascii="Times New Roman" w:hAnsi="Times New Roman"/>
          <w:color w:val="000000"/>
          <w:sz w:val="20"/>
          <w:u w:val="single"/>
        </w:rPr>
        <w:t>Closing of Books</w:t>
      </w:r>
      <w:r>
        <w:rPr>
          <w:rFonts w:ascii="Times New Roman" w:hAnsi="Times New Roman"/>
          <w:color w:val="000000"/>
          <w:sz w:val="20"/>
        </w:rPr>
        <w:t>. The Company will not close its stockholder books or records in any manner which prevents the timely exercise of this Warrant, pursuant to the terms hereof.</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Holder’s Exercise Limitations</w:t>
      </w:r>
      <w:r>
        <w:rPr>
          <w:rFonts w:ascii="Times New Roman" w:hAnsi="Times New Roman"/>
          <w:color w:val="000000"/>
          <w:sz w:val="20"/>
        </w:rPr>
        <w:t>. The Company shall not effect any exercise of this Warrant, and a Holder shall not have the right to exercise any portion of this Warrant, and any such attempted exercise shall be void and of no effect,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shares would or could be aggregated with the Holder’s for the purposes of Section 13(d) of the Exchange Act (such Persons, “</w:t>
      </w:r>
      <w:r>
        <w:rPr>
          <w:rFonts w:ascii="Times New Roman" w:hAnsi="Times New Roman"/>
          <w:color w:val="000000"/>
          <w:sz w:val="20"/>
          <w:u w:val="single"/>
        </w:rPr>
        <w:t>Attribution Parties</w:t>
      </w:r>
      <w:r>
        <w:rPr>
          <w:rFonts w:ascii="Times New Roman" w:hAnsi="Times New Roman"/>
          <w:color w:val="000000"/>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Warrant Shares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To the extent that the limitation contained in this Section 2(e) applies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(the “Reported Outstanding Share Number”).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jc w:val="both"/>
        <w:rPr>
          <w:rFonts w:ascii="Times New Roman" w:hAnsi="Times New Roman"/>
          <w:sz w:val="17"/>
        </w:rPr>
      </w:pPr>
      <w:r>
        <w:rPr>
          <w:rFonts w:ascii="Times New Roman" w:hAnsi="Times New Roman"/>
          <w:color w:val="000000"/>
          <w:sz w:val="20"/>
        </w:rPr>
        <w:t>securities of the Company, including this Warrant, by the Holder or its Affiliates or Attribution Parties since the date as of which such number of outstanding shares of Common Stock was reported. The “</w:t>
      </w:r>
      <w:r>
        <w:rPr>
          <w:rFonts w:ascii="Times New Roman" w:hAnsi="Times New Roman"/>
          <w:color w:val="000000"/>
          <w:sz w:val="20"/>
          <w:u w:val="single"/>
        </w:rPr>
        <w:t>Beneficial Ownership Limitation</w:t>
      </w:r>
      <w:r>
        <w:rPr>
          <w:rFonts w:ascii="Times New Roman" w:hAnsi="Times New Roman"/>
          <w:color w:val="000000"/>
          <w:sz w:val="17"/>
        </w:rPr>
        <w:t xml:space="preserve">” </w:t>
      </w:r>
      <w:r>
        <w:rPr>
          <w:rFonts w:ascii="Times New Roman" w:hAnsi="Times New Roman"/>
          <w:color w:val="000000"/>
          <w:sz w:val="20"/>
        </w:rPr>
        <w:t>shall be 9.99% of the number of shares of Common Stock outstanding immediately after giving effect to the issuance of Warrant Shares issuable upon exercise of this Warrant. The Holder, upon written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Warrant Shares upon exercise of this Warrant held by the Holder and the provisions of this Section 2(e) shall continue to apply. Any increase in the Beneficial Ownership Limitation will not be effective until the 61</w:t>
      </w:r>
      <w:r>
        <w:rPr>
          <w:rFonts w:ascii="Times New Roman" w:hAnsi="Times New Roman"/>
          <w:color w:val="000000"/>
          <w:sz w:val="17"/>
        </w:rPr>
        <w:t xml:space="preserve">st </w:t>
      </w:r>
      <w:r>
        <w:rPr>
          <w:rFonts w:ascii="Times New Roman" w:hAnsi="Times New Roman"/>
          <w:color w:val="000000"/>
          <w:sz w:val="20"/>
        </w:rPr>
        <w:t>day after such notice is delivered to the Company. If the Company receives an Exercise Notice from the Holder at a time when the actual number of outstanding shares of Common Stock is less than the Reported Outstanding Share Number, the Company shall notify the Holder in writing of the number of shares of Common Stock then outstanding and, to the extent that such Exercise Notice would otherwise cause the beneficial ownership of Holder together with the Attribution Parties, as determined pursuant to this Section 2(e), to exceed the Beneficial Ownership Limitation, the Holder shall then notify the Company of a reduced number of Warrant Shares to be purchased pursuant to such Exercise Notice (such notice, the “</w:t>
      </w:r>
      <w:r>
        <w:rPr>
          <w:rFonts w:ascii="Times New Roman" w:hAnsi="Times New Roman"/>
          <w:color w:val="000000"/>
          <w:sz w:val="20"/>
          <w:u w:val="single"/>
        </w:rPr>
        <w:t>Reduction Notice</w:t>
      </w:r>
      <w:r>
        <w:rPr>
          <w:rFonts w:ascii="Times New Roman" w:hAnsi="Times New Roman"/>
          <w:color w:val="000000"/>
          <w:sz w:val="17"/>
        </w:rPr>
        <w:t>”</w:t>
      </w:r>
      <w:r>
        <w:rPr>
          <w:rFonts w:ascii="Times New Roman" w:hAnsi="Times New Roman"/>
          <w:color w:val="000000"/>
          <w:sz w:val="20"/>
        </w:rPr>
        <w:t>). Such issuance shall not be deemed to have occurred until the Holder provides the Reduction Notice (or a notice that no reduction is needed) to the Company. In the event that the issuance of Common Stock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 w:hAnsi="Times New Roman"/>
          <w:color w:val="000000"/>
          <w:sz w:val="20"/>
          <w:u w:val="single"/>
        </w:rPr>
        <w:t>Excess Shares</w:t>
      </w:r>
      <w:r>
        <w:rPr>
          <w:rFonts w:ascii="Times New Roman" w:hAnsi="Times New Roman"/>
          <w:color w:val="000000"/>
          <w:sz w:val="17"/>
        </w:rPr>
        <w:t>”</w:t>
      </w:r>
      <w:r>
        <w:rPr>
          <w:rFonts w:ascii="Times New Roman" w:hAnsi="Times New Roman"/>
          <w:color w:val="000000"/>
          <w:sz w:val="20"/>
        </w:rPr>
        <w:t xml:space="preserve">) shall be deemed null and void and shall be cancelled </w:t>
      </w:r>
      <w:r>
        <w:rPr>
          <w:rFonts w:ascii="Times New Roman" w:hAnsi="Times New Roman"/>
          <w:i/>
          <w:color w:val="000000"/>
          <w:sz w:val="20"/>
        </w:rPr>
        <w:t xml:space="preserve">ab initio, </w:t>
      </w:r>
      <w:r>
        <w:rPr>
          <w:rFonts w:ascii="Times New Roman" w:hAnsi="Times New Roman"/>
          <w:color w:val="000000"/>
          <w:sz w:val="20"/>
        </w:rPr>
        <w:t>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and the Holder shall return the Excess Shares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jc w:val="both"/>
        <w:rPr>
          <w:rFonts w:ascii="Times New Roman" w:hAnsi="Times New Roman"/>
          <w:sz w:val="20"/>
        </w:rPr>
      </w:pPr>
      <w:r>
        <w:rPr>
          <w:rFonts w:ascii="Times New Roman" w:hAnsi="Times New Roman"/>
          <w:color w:val="000000"/>
          <w:sz w:val="20"/>
          <w:u w:val="single"/>
        </w:rPr>
        <w:t>Section 3</w:t>
      </w:r>
      <w:r>
        <w:rPr>
          <w:rFonts w:ascii="Times New Roman" w:hAnsi="Times New Roman"/>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Stock Dividends and Splits</w:t>
      </w:r>
      <w:r>
        <w:rPr>
          <w:rFonts w:ascii="Times New Roman" w:hAnsi="Times New Roman"/>
          <w:color w:val="000000"/>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provided that the Exercise Price per share shall in any case be no lower than the par value of the Common Stock.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b) [</w:t>
      </w:r>
      <w:r>
        <w:rPr>
          <w:rFonts w:ascii="Times New Roman" w:hAnsi="Times New Roman"/>
          <w:color w:val="000000"/>
          <w:sz w:val="20"/>
          <w:u w:val="single"/>
        </w:rPr>
        <w:t>Reserved]</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Subsequent Rights Offerings</w:t>
      </w:r>
      <w:r>
        <w:rPr>
          <w:rFonts w:ascii="Times New Roman" w:hAnsi="Times New Roman"/>
          <w:color w:val="000000"/>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0"/>
          <w:u w:val="single"/>
        </w:rPr>
        <w:t>Purchase Rights</w:t>
      </w:r>
      <w:r>
        <w:rPr>
          <w:rFonts w:ascii="Times New Roman" w:hAnsi="Times New Roman"/>
          <w:color w:val="000000"/>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Pro Rata Distributions</w:t>
      </w:r>
      <w:r>
        <w:rPr>
          <w:rFonts w:ascii="Times New Roman" w:hAnsi="Times New Roman"/>
          <w:color w:val="000000"/>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0"/>
          <w:u w:val="single"/>
        </w:rPr>
        <w:t>Distribution</w:t>
      </w:r>
      <w:r>
        <w:rPr>
          <w:rFonts w:ascii="Times New Roman" w:hAnsi="Times New Roman"/>
          <w:color w:val="000000"/>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Fundamental Transaction</w:t>
      </w:r>
      <w:r>
        <w:rPr>
          <w:rFonts w:ascii="Times New Roman" w:hAnsi="Times New Roman"/>
          <w:color w:val="000000"/>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Stock or greater than 50% of the voting power of the common equity of the Company (each a “</w:t>
      </w:r>
      <w:r>
        <w:rPr>
          <w:rFonts w:ascii="Times New Roman" w:hAnsi="Times New Roman"/>
          <w:color w:val="000000"/>
          <w:sz w:val="20"/>
          <w:u w:val="single"/>
        </w:rPr>
        <w:t>Fundamental Transaction</w:t>
      </w:r>
      <w:r>
        <w:rPr>
          <w:rFonts w:ascii="Times New Roman" w:hAnsi="Times New Roman"/>
          <w:color w:val="000000"/>
          <w:sz w:val="20"/>
        </w:rPr>
        <w:t xml:space="preserve">”), then, upon any subsequent exercise of this Warrant, the Holder shall have the right to receive, for each Warrant Share that would have been issuable upon such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exercise immediately prior to the occurrence of such Fundamental Transaction, at the option of the Holder (without regard to any limitation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0"/>
          <w:u w:val="single"/>
        </w:rPr>
        <w:t>Alternate Consideration</w:t>
      </w:r>
      <w:r>
        <w:rPr>
          <w:rFonts w:ascii="Times New Roman" w:hAnsi="Times New Roman"/>
          <w:color w:val="000000"/>
          <w:sz w:val="20"/>
        </w:rPr>
        <w:t>”) receivable as a result of such Fundamental Transaction by a holder of the number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(i) the Fundamental Transaction is not within the Company's control, including not approved by the Company's Board of Directors or (ii) the consideration issuable in such Fundamental Transaction is all stock or other securities consideration, then, in each case, the Holder, in connection with the Holder’s option to cause the Company or any Successor Entity to purchase this Warrant from the Holder, which option shall be exercisable at any time concurrently with, or within 30 days after, the consummation of the Fundamental Transaction. “Black Scholes Value” means the value of this Warrant based on the Black Scholes Option Pricing Model obtained from the “OV” function on Bloomberg, L.P. (“</w:t>
      </w:r>
      <w:r>
        <w:rPr>
          <w:rFonts w:ascii="Times New Roman" w:hAnsi="Times New Roman"/>
          <w:color w:val="000000"/>
          <w:sz w:val="20"/>
          <w:u w:val="single"/>
        </w:rPr>
        <w:t>Bloomberg</w:t>
      </w:r>
      <w:r>
        <w:rPr>
          <w:rFonts w:ascii="Times New Roman" w:hAnsi="Times New Roman"/>
          <w:color w:val="000000"/>
          <w:sz w:val="20"/>
        </w:rPr>
        <w:t>”) determined as of the day of consummation of the applicable Fundamental Transaction for pricing purposes and reflecting (i) a risk-free interest rate corresponding to the U.S. Treasury rate for a period equal to the remaining term of this Warrant as of such date of request, (ii) an expected volatility equal to the remaining term of this Warrant obtained from the HVT function on Bloomberg as of the Trading Day immediately prior to the public announcement of the applicable Fundamental Transaction or, if the Fundamental Transaction is not publicly announced, the date the Fundamental Transaction is consummated, (iii) the underlying price per share used in such calculation shall be the greater of (A) the sum of the price per share being offered in cash, if any, plus the per share value of any non-cash consideration, if any, being offered in such Fundamental Transaction and (B) the greater of (x) the last weighted average price of the Common Stock immediately prior to the public announcement of such Fundamental Transaction and (y) the last weighted average price of the Common Stock immediately prior to the consummation of such Fundamental Transaction, (iv) a zero cost of borrow and (v) a 360 day annualization factor. The payment of the Black Scholes Value will be made by wire transfer of immediately available funds (or such other consideration) within the later of (i) five Business Days of the Holder’s election and (ii) the effective date of the Fundamental Transaction. The Company shall cause any successor entity in a Fundamental Transaction in which the Company is not the survivor (the “</w:t>
      </w:r>
      <w:r>
        <w:rPr>
          <w:rFonts w:ascii="Times New Roman" w:hAnsi="Times New Roman"/>
          <w:color w:val="000000"/>
          <w:sz w:val="20"/>
          <w:u w:val="single"/>
        </w:rPr>
        <w:t>Successor Entity</w:t>
      </w:r>
      <w:r>
        <w:rPr>
          <w:rFonts w:ascii="Times New Roman" w:hAnsi="Times New Roman"/>
          <w:color w:val="000000"/>
          <w:sz w:val="20"/>
        </w:rPr>
        <w:t xml:space="preserve">”)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Reserved.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Calculations</w:t>
      </w:r>
      <w:r>
        <w:rPr>
          <w:rFonts w:ascii="Times New Roman" w:hAnsi="Times New Roman"/>
          <w:color w:val="000000"/>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Notice to Holder</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Adjustment to Exercise Price</w:t>
      </w:r>
      <w:r>
        <w:rPr>
          <w:rFonts w:ascii="Times New Roman" w:hAnsi="Times New Roman"/>
          <w:color w:val="000000"/>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For purposes of clarification, whether or not the Company provides any such notice, each Holder shall only be required to pay the adjusted Exercise Price with respect to such exercise, regardless of whether a Holder accurately refers to such price in any Notice of Exercise. If the aggregate Exercise Price paid by the Holder exceeds the amount that should have been paid based on the adjusted Exercise Price, the Company shall promptly return any excess aggregate Exercise Price to the Holder.</w:t>
      </w:r>
    </w:p>
    <w:p>
      <w:pPr>
        <w:pStyle w:val="TextBody"/>
        <w:bidi w:val="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Notice to Allow Exercise by Holder</w:t>
      </w:r>
      <w:r>
        <w:rPr>
          <w:rFonts w:ascii="Times New Roman" w:hAnsi="Times New Roman"/>
          <w:color w:val="000000"/>
          <w:sz w:val="20"/>
        </w:rPr>
        <w:t xml:space="preserve">.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 Voluntary Adjustment By Company. Subject to the rules and regulations of the Trading Market, the Company may at any time during the term of this Warrant reduce the then current Exercise Price to any amount and for any period of time deemed appropriate by the Board of Directors.</w:t>
      </w:r>
    </w:p>
    <w:p>
      <w:pPr>
        <w:pStyle w:val="TextBody"/>
        <w:bidi w:val="0"/>
        <w:jc w:val="both"/>
        <w:rPr>
          <w:rFonts w:ascii="Times New Roman" w:hAnsi="Times New Roman"/>
          <w:sz w:val="20"/>
        </w:rPr>
      </w:pPr>
      <w:r>
        <w:rPr>
          <w:rFonts w:ascii="Times New Roman" w:hAnsi="Times New Roman"/>
          <w:color w:val="000000"/>
          <w:sz w:val="20"/>
          <w:u w:val="single"/>
        </w:rPr>
        <w:t>Section 4</w:t>
      </w:r>
      <w:r>
        <w:rPr>
          <w:rFonts w:ascii="Times New Roman" w:hAnsi="Times New Roman"/>
          <w:color w:val="000000"/>
          <w:sz w:val="20"/>
        </w:rPr>
        <w:t xml:space="preserve">. </w:t>
      </w:r>
      <w:r>
        <w:rPr>
          <w:rFonts w:ascii="Times New Roman" w:hAnsi="Times New Roman"/>
          <w:color w:val="000000"/>
          <w:sz w:val="20"/>
          <w:u w:val="single"/>
        </w:rPr>
        <w:t>Transfer of Warrant</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Transferability</w:t>
      </w:r>
      <w:r>
        <w:rPr>
          <w:rFonts w:ascii="Times New Roman" w:hAnsi="Times New Roman"/>
          <w:color w:val="000000"/>
          <w:sz w:val="20"/>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New Warrants</w:t>
      </w:r>
      <w:r>
        <w:rPr>
          <w:rFonts w:ascii="Times New Roman" w:hAnsi="Times New Roman"/>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Warrant Register</w:t>
      </w:r>
      <w:r>
        <w:rPr>
          <w:rFonts w:ascii="Times New Roman" w:hAnsi="Times New Roman"/>
          <w:color w:val="000000"/>
          <w:sz w:val="20"/>
        </w:rPr>
        <w:t>. The Company shall register this Warrant, upon records to be maintained by the Company for that purpose (the “</w:t>
      </w:r>
      <w:r>
        <w:rPr>
          <w:rFonts w:ascii="Times New Roman" w:hAnsi="Times New Roman"/>
          <w:color w:val="000000"/>
          <w:sz w:val="20"/>
          <w:u w:val="single"/>
        </w:rPr>
        <w:t>Warrant Register</w:t>
      </w:r>
      <w:r>
        <w:rPr>
          <w:rFonts w:ascii="Times New Roman" w:hAnsi="Times New Roman"/>
          <w:color w:val="000000"/>
          <w:sz w:val="20"/>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jc w:val="both"/>
        <w:rPr>
          <w:rFonts w:ascii="Times New Roman" w:hAnsi="Times New Roman"/>
          <w:sz w:val="20"/>
        </w:rPr>
      </w:pPr>
      <w:r>
        <w:rPr>
          <w:rFonts w:ascii="Times New Roman" w:hAnsi="Times New Roman"/>
          <w:color w:val="000000"/>
          <w:sz w:val="20"/>
          <w:u w:val="single"/>
        </w:rPr>
        <w:t>Section 5</w:t>
      </w:r>
      <w:r>
        <w:rPr>
          <w:rFonts w:ascii="Times New Roman" w:hAnsi="Times New Roman"/>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 Rights as Stockholder Until Exercise; No Settlement in Cash</w:t>
      </w:r>
      <w:r>
        <w:rPr>
          <w:rFonts w:ascii="Times New Roman" w:hAnsi="Times New Roman"/>
          <w:color w:val="000000"/>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Loss, Theft, Destruction or Mutilation of Warrant</w:t>
      </w:r>
      <w:r>
        <w:rPr>
          <w:rFonts w:ascii="Times New Roman" w:hAnsi="Times New Roman"/>
          <w:color w:val="000000"/>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Saturdays, Sundays, Holidays, etc</w:t>
      </w:r>
      <w:r>
        <w:rPr>
          <w:rFonts w:ascii="Times New Roman" w:hAnsi="Times New Roman"/>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Authorized Shares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The Company covenants that, during the period the Warrant is outstanding, it will reserve and keep available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jc w:val="both"/>
        <w:rPr>
          <w:rFonts w:ascii="Times New Roman" w:hAnsi="Times New Roman"/>
          <w:color w:val="000000"/>
          <w:sz w:val="20"/>
        </w:rPr>
      </w:pPr>
      <w:r>
        <w:rPr>
          <w:rFonts w:ascii="Times New Roman" w:hAnsi="Times New Roman"/>
          <w:color w:val="000000"/>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jc w:val="both"/>
        <w:rPr>
          <w:rFonts w:ascii="Times New Roman" w:hAnsi="Times New Roman"/>
          <w:color w:val="000000"/>
          <w:sz w:val="20"/>
        </w:rPr>
      </w:pPr>
      <w:r>
        <w:rPr>
          <w:rFonts w:ascii="Times New Roman" w:hAnsi="Times New Roman"/>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Governing Law</w:t>
      </w:r>
      <w:r>
        <w:rPr>
          <w:rFonts w:ascii="Times New Roman" w:hAnsi="Times New Roman"/>
          <w:color w:val="000000"/>
          <w:sz w:val="20"/>
        </w:rPr>
        <w:t xml:space="preserve">.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stockholders, partners, members, employees or agents) shall be commenced exclusively in the state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Notwithstanding the foregoing, nothing in this paragraph shall limit or restrict the federal district court in which a Holder may bring a claim under the federal securities laws.</w:t>
      </w:r>
    </w:p>
    <w:p>
      <w:pPr>
        <w:pStyle w:val="TextBody"/>
        <w:bidi w:val="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Restrictions</w:t>
      </w:r>
      <w:r>
        <w:rPr>
          <w:rFonts w:ascii="Times New Roman" w:hAnsi="Times New Roman"/>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Nonwaiver and Expenses</w:t>
      </w:r>
      <w:r>
        <w:rPr>
          <w:rFonts w:ascii="Times New Roman" w:hAnsi="Times New Roman"/>
          <w:color w:val="000000"/>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Notices</w:t>
      </w:r>
      <w:r>
        <w:rPr>
          <w:rFonts w:ascii="Times New Roman" w:hAnsi="Times New Roman"/>
          <w:color w:val="000000"/>
          <w:sz w:val="20"/>
        </w:rPr>
        <w:t>. Any and all notices or other communications or deliveries to be provided by the Holder hereunder including, without limitation, any Notice of Exercise, shall be in writing and delivered personally, by e-mail, or sent by a nationally recognized overnight courier service, addressed to the Company, at Decoy Therapeutics Inc., 2450 Holcombe Blvd., Suite X, Houston, TX 77021, Attention: Chief Executive Officer, email address: pierce@decoytx.com,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5(h) prior to 5:30 p.m. (New York City time) on any Trading Day, (ii) the next Trading Day after the time of transmission, if such notice or communication is delivered via e-mail at the e-mail address set forth in this Section 5(h)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Limitation of Liability</w:t>
      </w:r>
      <w:r>
        <w:rPr>
          <w:rFonts w:ascii="Times New Roman" w:hAnsi="Times New Roman"/>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Remedies</w:t>
      </w:r>
      <w:r>
        <w:rPr>
          <w:rFonts w:ascii="Times New Roman" w:hAnsi="Times New Roman"/>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Successors and Assigns</w:t>
      </w:r>
      <w:r>
        <w:rPr>
          <w:rFonts w:ascii="Times New Roman" w:hAnsi="Times New Roman"/>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Amendment</w:t>
      </w:r>
      <w:r>
        <w:rPr>
          <w:rFonts w:ascii="Times New Roman" w:hAnsi="Times New Roman"/>
          <w:color w:val="000000"/>
          <w:sz w:val="20"/>
        </w:rPr>
        <w:t xml:space="preserve">. This Warrant may be modified or amended or the provisions hereof waived with the written consent of the Company and the Holder (or the beneficial owner of this Warrant); </w:t>
      </w:r>
      <w:r>
        <w:rPr>
          <w:rFonts w:ascii="Times New Roman" w:hAnsi="Times New Roman"/>
          <w:color w:val="000000"/>
          <w:sz w:val="20"/>
          <w:u w:val="single"/>
        </w:rPr>
        <w:t>provided</w:t>
      </w:r>
      <w:r>
        <w:rPr>
          <w:rFonts w:ascii="Times New Roman" w:hAnsi="Times New Roman"/>
          <w:color w:val="000000"/>
          <w:sz w:val="20"/>
        </w:rPr>
        <w:t xml:space="preserve"> that the terms of Section 2(e) of this Warrant and this Section 5(l) may not be amended, modified or waived.</w:t>
      </w:r>
    </w:p>
    <w:p>
      <w:pPr>
        <w:pStyle w:val="TextBody"/>
        <w:bidi w:val="0"/>
        <w:jc w:val="both"/>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Severability</w:t>
      </w:r>
      <w:r>
        <w:rPr>
          <w:rFonts w:ascii="Times New Roman" w:hAnsi="Times New Roman"/>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jc w:val="both"/>
        <w:rPr>
          <w:rFonts w:ascii="Times New Roman" w:hAnsi="Times New Roman"/>
          <w:sz w:val="20"/>
        </w:rPr>
      </w:pPr>
      <w:r>
        <w:rPr>
          <w:rFonts w:ascii="Times New Roman" w:hAnsi="Times New Roman"/>
          <w:color w:val="000000"/>
          <w:sz w:val="20"/>
        </w:rPr>
        <w:t xml:space="preserve">n) </w:t>
      </w:r>
      <w:r>
        <w:rPr>
          <w:rFonts w:ascii="Times New Roman" w:hAnsi="Times New Roman"/>
          <w:color w:val="000000"/>
          <w:sz w:val="20"/>
          <w:u w:val="single"/>
        </w:rPr>
        <w:t>Headings</w:t>
      </w:r>
      <w:r>
        <w:rPr>
          <w:rFonts w:ascii="Times New Roman" w:hAnsi="Times New Roman"/>
          <w:color w:val="000000"/>
          <w:sz w:val="20"/>
        </w:rPr>
        <w:t>. The headings used in this Warrant are for the convenience of reference only and shall not, for any purpose, be deemed a part of this Warrant.</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Company has caused this Warrant to be executed by its officer thereunto duly authorized as of the date first above indicated.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DECOY THERAPEUTICS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Mark Rosenblum </w:t>
      </w:r>
      <w:r>
        <w:rPr>
          <w:rFonts w:ascii="Times New Roman" w:hAnsi="Times New Roman"/>
          <w:color w:val="000000"/>
          <w:sz w:val="20"/>
        </w:rPr>
        <w:t>____________________</w:t>
      </w:r>
    </w:p>
    <w:p>
      <w:pPr>
        <w:pStyle w:val="TextBody"/>
        <w:bidi w:val="0"/>
        <w:jc w:val="both"/>
        <w:rPr>
          <w:rFonts w:ascii="Times New Roman" w:hAnsi="Times New Roman"/>
          <w:color w:val="000000"/>
          <w:sz w:val="20"/>
        </w:rPr>
      </w:pPr>
      <w:r>
        <w:rPr>
          <w:rFonts w:ascii="Times New Roman" w:hAnsi="Times New Roman"/>
          <w:color w:val="000000"/>
          <w:sz w:val="20"/>
        </w:rPr>
        <w:t>Name: Mark Rosenblum</w:t>
      </w:r>
    </w:p>
    <w:p>
      <w:pPr>
        <w:pStyle w:val="TextBody"/>
        <w:bidi w:val="0"/>
        <w:jc w:val="both"/>
        <w:rPr>
          <w:rFonts w:ascii="Times New Roman" w:hAnsi="Times New Roman"/>
          <w:color w:val="000000"/>
          <w:sz w:val="20"/>
        </w:rPr>
      </w:pPr>
      <w:r>
        <w:rPr>
          <w:rFonts w:ascii="Times New Roman" w:hAnsi="Times New Roman"/>
          <w:color w:val="000000"/>
          <w:sz w:val="20"/>
        </w:rPr>
        <w:t>Title: Chief Financial Officer</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A</w:t>
      </w:r>
    </w:p>
    <w:p>
      <w:pPr>
        <w:pStyle w:val="TextBody"/>
        <w:bidi w:val="0"/>
        <w:jc w:val="center"/>
        <w:rPr>
          <w:rFonts w:ascii="Times New Roman" w:hAnsi="Times New Roman"/>
          <w:b/>
          <w:color w:val="000000"/>
          <w:sz w:val="20"/>
        </w:rPr>
      </w:pPr>
      <w:r>
        <w:rPr>
          <w:rFonts w:ascii="Times New Roman" w:hAnsi="Times New Roman"/>
          <w:b/>
          <w:color w:val="000000"/>
          <w:sz w:val="20"/>
        </w:rPr>
        <w:t>NOTICE OF EXERCISE</w:t>
      </w:r>
    </w:p>
    <w:tbl>
      <w:tblPr>
        <w:tblW w:w="3287" w:type="dxa"/>
        <w:jc w:val="left"/>
        <w:tblInd w:w="0" w:type="dxa"/>
        <w:tblLayout w:type="fixed"/>
        <w:tblCellMar>
          <w:top w:w="28" w:type="dxa"/>
          <w:left w:w="28" w:type="dxa"/>
          <w:bottom w:w="28" w:type="dxa"/>
          <w:right w:w="28" w:type="dxa"/>
        </w:tblCellMar>
      </w:tblPr>
      <w:tblGrid>
        <w:gridCol w:w="436"/>
        <w:gridCol w:w="2851"/>
      </w:tblGrid>
      <w:tr>
        <w:trPr/>
        <w:tc>
          <w:tcPr>
            <w:tcW w:w="4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aps/>
                <w:color w:val="000000"/>
                <w:sz w:val="20"/>
              </w:rPr>
            </w:pPr>
            <w:r>
              <w:rPr>
                <w:rFonts w:ascii="Times New Roman" w:hAnsi="Times New Roman"/>
                <w:caps/>
                <w:color w:val="000000"/>
                <w:sz w:val="20"/>
              </w:rPr>
              <w:t>To:</w:t>
            </w:r>
          </w:p>
        </w:tc>
        <w:tc>
          <w:tcPr>
            <w:tcW w:w="2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aps/>
                <w:color w:val="000000"/>
                <w:sz w:val="20"/>
              </w:rPr>
            </w:pPr>
            <w:r>
              <w:rPr>
                <w:rFonts w:ascii="Times New Roman" w:hAnsi="Times New Roman"/>
                <w:b/>
                <w:caps/>
                <w:color w:val="000000"/>
                <w:sz w:val="20"/>
              </w:rPr>
              <w:t>DECOY THERAPEUTICS INC.</w:t>
            </w:r>
          </w:p>
        </w:tc>
      </w:tr>
    </w:tbl>
    <w:p>
      <w:pPr>
        <w:pStyle w:val="TextBody"/>
        <w:bidi w:val="0"/>
        <w:jc w:val="both"/>
        <w:rPr>
          <w:rFonts w:ascii="Times New Roman" w:hAnsi="Times New Roman"/>
          <w:color w:val="000000"/>
          <w:sz w:val="20"/>
        </w:rPr>
      </w:pPr>
      <w:r>
        <w:rPr>
          <w:rFonts w:ascii="Times New Roman" w:hAnsi="Times New Roman"/>
          <w:color w:val="000000"/>
          <w:sz w:val="20"/>
        </w:rPr>
        <w:t>(1) The undersigned hereby elects to purchase __________ Warrant Shares of the Company pursuant to the terms of the attached Warrant and tenders herewith payment of the exercise price in full, together with all applicable transfer taxes, if any.</w:t>
      </w:r>
    </w:p>
    <w:p>
      <w:pPr>
        <w:pStyle w:val="TextBody"/>
        <w:bidi w:val="0"/>
        <w:jc w:val="both"/>
        <w:rPr>
          <w:rFonts w:ascii="Times New Roman" w:hAnsi="Times New Roman"/>
          <w:color w:val="000000"/>
          <w:sz w:val="20"/>
        </w:rPr>
      </w:pPr>
      <w:r>
        <w:rPr>
          <w:rFonts w:ascii="Times New Roman" w:hAnsi="Times New Roman"/>
          <w:color w:val="000000"/>
          <w:sz w:val="20"/>
        </w:rPr>
        <w:t>(2) Payment shall take the form of (check applicable box):</w:t>
      </w:r>
    </w:p>
    <w:p>
      <w:pPr>
        <w:pStyle w:val="TextBody"/>
        <w:bidi w:val="0"/>
        <w:jc w:val="both"/>
        <w:rPr>
          <w:color w:val="000000"/>
        </w:rPr>
      </w:pPr>
      <w:r>
        <w:rPr>
          <w:color w:val="000000"/>
        </w:rPr>
        <w:t xml:space="preserve">☐ </w:t>
      </w:r>
      <w:r>
        <w:rPr>
          <w:rFonts w:ascii="Times New Roman" w:hAnsi="Times New Roman"/>
          <w:color w:val="000000"/>
          <w:sz w:val="20"/>
        </w:rPr>
        <w:t>in lawful money of the United States; or</w:t>
      </w:r>
    </w:p>
    <w:p>
      <w:pPr>
        <w:pStyle w:val="TextBody"/>
        <w:bidi w:val="0"/>
        <w:jc w:val="both"/>
        <w:rPr>
          <w:color w:val="000000"/>
        </w:rPr>
      </w:pPr>
      <w:r>
        <w:rPr>
          <w:color w:val="000000"/>
        </w:rPr>
        <w:t xml:space="preserve">☐ </w:t>
      </w:r>
      <w:r>
        <w:rPr>
          <w:rFonts w:ascii="Times New Roman" w:hAnsi="Times New Roman"/>
          <w:color w:val="000000"/>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jc w:val="both"/>
        <w:rPr>
          <w:rFonts w:ascii="Times New Roman" w:hAnsi="Times New Roman"/>
          <w:color w:val="000000"/>
          <w:sz w:val="20"/>
        </w:rPr>
      </w:pPr>
      <w:r>
        <w:rPr>
          <w:rFonts w:ascii="Times New Roman" w:hAnsi="Times New Roman"/>
          <w:color w:val="000000"/>
          <w:sz w:val="20"/>
        </w:rPr>
        <w:t>(3) Please issue said Warrant Shares in the name of the undersigned or in such other name as is specified below:</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The Warrant Shares shall be delivered to the following DWAC Account Number:</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w:t>
      </w:r>
    </w:p>
    <w:p>
      <w:pPr>
        <w:pStyle w:val="TextBody"/>
        <w:bidi w:val="0"/>
        <w:jc w:val="both"/>
        <w:rPr>
          <w:rFonts w:ascii="Times New Roman" w:hAnsi="Times New Roman"/>
          <w:caps/>
          <w:color w:val="000000"/>
          <w:sz w:val="20"/>
        </w:rPr>
      </w:pPr>
      <w:r>
        <w:rPr>
          <w:rFonts w:ascii="Times New Roman" w:hAnsi="Times New Roman"/>
          <w:caps/>
          <w:color w:val="000000"/>
          <w:sz w:val="20"/>
        </w:rPr>
        <w:t>[SIGNATURE OF HOLDER]</w:t>
      </w:r>
    </w:p>
    <w:p>
      <w:pPr>
        <w:pStyle w:val="TextBody"/>
        <w:bidi w:val="0"/>
        <w:jc w:val="both"/>
        <w:rPr>
          <w:rFonts w:ascii="Times New Roman" w:hAnsi="Times New Roman"/>
          <w:color w:val="000000"/>
          <w:sz w:val="20"/>
        </w:rPr>
      </w:pPr>
      <w:r>
        <w:rPr>
          <w:rFonts w:ascii="Times New Roman" w:hAnsi="Times New Roman"/>
          <w:color w:val="000000"/>
          <w:sz w:val="20"/>
        </w:rPr>
        <w:t>Name of Investing Entity: ______________________________________________________________________</w:t>
      </w:r>
    </w:p>
    <w:p>
      <w:pPr>
        <w:pStyle w:val="TextBody"/>
        <w:bidi w:val="0"/>
        <w:jc w:val="both"/>
        <w:rPr>
          <w:rFonts w:ascii="Times New Roman" w:hAnsi="Times New Roman"/>
          <w:sz w:val="20"/>
        </w:rPr>
      </w:pPr>
      <w:r>
        <w:rPr>
          <w:rFonts w:ascii="Times New Roman" w:hAnsi="Times New Roman"/>
          <w:i/>
          <w:color w:val="000000"/>
          <w:sz w:val="20"/>
        </w:rPr>
        <w:t>Signature of Authorized Signatory of Investing Entity</w:t>
      </w:r>
      <w:r>
        <w:rPr>
          <w:rFonts w:ascii="Times New Roman" w:hAnsi="Times New Roman"/>
          <w:color w:val="000000"/>
          <w:sz w:val="20"/>
        </w:rPr>
        <w:t>: ________________________________________________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Name of Authorized Signatory: __________________________________________________________________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Title of Authorized Signatory: ___________________________________________________________________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Date: ______________________________________________________________________________________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B</w:t>
      </w:r>
    </w:p>
    <w:p>
      <w:pPr>
        <w:pStyle w:val="TextBody"/>
        <w:bidi w:val="0"/>
        <w:jc w:val="center"/>
        <w:rPr>
          <w:rFonts w:ascii="Times New Roman" w:hAnsi="Times New Roman"/>
          <w:b/>
          <w:color w:val="000000"/>
          <w:sz w:val="20"/>
        </w:rPr>
      </w:pPr>
      <w:r>
        <w:rPr>
          <w:rFonts w:ascii="Times New Roman" w:hAnsi="Times New Roman"/>
          <w:b/>
          <w:color w:val="000000"/>
          <w:sz w:val="20"/>
        </w:rPr>
        <w:t>ASSIGNMENT FORM</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(To assign the foregoing Warrant, execute this form and supply required information. Do not use this form to purchase shares.)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VALUE RECEIVED, the foregoing Warrant and all rights evidenced thereby are hereby assigned to</w:t>
      </w:r>
    </w:p>
    <w:p>
      <w:pPr>
        <w:pStyle w:val="TextBody"/>
        <w:bidi w:val="0"/>
        <w:spacing w:before="0" w:after="120"/>
        <w:jc w:val="both"/>
        <w:rPr/>
      </w:pPr>
      <w:r>
        <w:rPr/>
        <w:t> </w:t>
      </w:r>
    </w:p>
    <w:tbl>
      <w:tblPr>
        <w:tblW w:w="7397" w:type="dxa"/>
        <w:jc w:val="left"/>
        <w:tblInd w:w="0" w:type="dxa"/>
        <w:tblLayout w:type="fixed"/>
        <w:tblCellMar>
          <w:top w:w="28" w:type="dxa"/>
          <w:left w:w="28" w:type="dxa"/>
          <w:bottom w:w="28" w:type="dxa"/>
          <w:right w:w="28" w:type="dxa"/>
        </w:tblCellMar>
      </w:tblPr>
      <w:tblGrid>
        <w:gridCol w:w="3256"/>
        <w:gridCol w:w="4141"/>
      </w:tblGrid>
      <w:tr>
        <w:trPr/>
        <w:tc>
          <w:tcPr>
            <w:tcW w:w="325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40"/>
              <w:jc w:val="left"/>
              <w:rPr/>
            </w:pPr>
            <w:r>
              <w:rPr/>
              <w:t> </w:t>
            </w:r>
          </w:p>
        </w:tc>
        <w:tc>
          <w:tcPr>
            <w:tcW w:w="41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(Please Print)</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Phone Number:</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 xml:space="preserve">Email Address: </w:t>
            </w:r>
          </w:p>
        </w:tc>
        <w:tc>
          <w:tcPr>
            <w:tcW w:w="41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(Please Print)</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______________________________________</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______________________________________</w:t>
            </w:r>
          </w:p>
        </w:tc>
      </w:tr>
      <w:tr>
        <w:trPr/>
        <w:tc>
          <w:tcPr>
            <w:tcW w:w="32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Dated: _______________ __, ______</w:t>
            </w:r>
          </w:p>
        </w:tc>
        <w:tc>
          <w:tcPr>
            <w:tcW w:w="4141"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Holder’s Signature:</w:t>
            </w:r>
          </w:p>
        </w:tc>
        <w:tc>
          <w:tcPr>
            <w:tcW w:w="4141"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600"/>
              <w:jc w:val="left"/>
              <w:rPr>
                <w:rFonts w:ascii="Times New Roman" w:hAnsi="Times New Roman"/>
                <w:color w:val="000000"/>
                <w:sz w:val="20"/>
              </w:rPr>
            </w:pPr>
            <w:r>
              <w:rPr>
                <w:rFonts w:ascii="Times New Roman" w:hAnsi="Times New Roman"/>
                <w:color w:val="000000"/>
                <w:sz w:val="20"/>
              </w:rPr>
              <w:t>Holder’s Address:</w:t>
            </w:r>
          </w:p>
        </w:tc>
        <w:tc>
          <w:tcPr>
            <w:tcW w:w="4141" w:type="dxa"/>
            <w:tcBorders/>
            <w:tcMar>
              <w:top w:w="0" w:type="dxa"/>
              <w:left w:w="0" w:type="dxa"/>
              <w:bottom w:w="0" w:type="dxa"/>
              <w:right w:w="0" w:type="dxa"/>
            </w:tcMar>
            <w:vAlign w:val="center"/>
          </w:tcPr>
          <w:p>
            <w:pPr>
              <w:pStyle w:val="TableContents"/>
              <w:bidi w:val="0"/>
              <w:spacing w:before="0" w:after="600"/>
              <w:jc w:val="left"/>
              <w:rPr/>
            </w:pPr>
            <w:r>
              <w:rPr/>
              <w:t> </w:t>
            </w:r>
          </w:p>
        </w:tc>
      </w:tr>
    </w:tbl>
    <w:p>
      <w:pPr>
        <w:pStyle w:val="TextBody"/>
        <w:bidi w:val="0"/>
        <w:spacing w:before="0" w:after="24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4925-3569-6338, v.10</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77159500.1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dcoy-ex10_1.htm"/>
      <w:bookmarkStart w:id="5" w:name="ksdcoyex10_1"/>
      <w:bookmarkEnd w:id="4"/>
      <w:bookmarkEnd w:id="5"/>
      <w:r>
        <w:rPr>
          <w:rFonts w:ascii="Times New Roman" w:hAnsi="Times New Roman"/>
          <w:b/>
          <w:color w:val="000000"/>
          <w:sz w:val="20"/>
        </w:rPr>
        <w:t>Exhibit 10.1</w:t>
      </w:r>
      <w:r>
        <w:br w:type="page"/>
      </w:r>
    </w:p>
    <w:p>
      <w:pPr>
        <w:pStyle w:val="TextBody"/>
        <w:bidi w:val="0"/>
        <w:jc w:val="right"/>
        <w:rPr>
          <w:rFonts w:ascii="Times New Roman" w:hAnsi="Times New Roman"/>
          <w:color w:val="000000"/>
          <w:sz w:val="20"/>
        </w:rPr>
      </w:pPr>
      <w:r>
        <w:rPr>
          <w:rFonts w:ascii="Times New Roman" w:hAnsi="Times New Roman"/>
          <w:color w:val="000000"/>
          <w:sz w:val="20"/>
        </w:rPr>
        <w:t>September 22, 2026</w:t>
      </w:r>
    </w:p>
    <w:p>
      <w:pPr>
        <w:pStyle w:val="TextBody"/>
        <w:bidi w:val="0"/>
        <w:jc w:val="center"/>
        <w:rPr>
          <w:rFonts w:ascii="Times New Roman" w:hAnsi="Times New Roman"/>
          <w:b/>
          <w:color w:val="000000"/>
          <w:sz w:val="20"/>
        </w:rPr>
      </w:pPr>
      <w:r>
        <w:rPr>
          <w:rFonts w:ascii="Times New Roman" w:hAnsi="Times New Roman"/>
          <w:b/>
          <w:color w:val="000000"/>
          <w:sz w:val="20"/>
        </w:rPr>
        <w:t>DECOY THERAPEUTICS INC.</w:t>
      </w:r>
    </w:p>
    <w:p>
      <w:pPr>
        <w:pStyle w:val="TextBody"/>
        <w:bidi w:val="0"/>
        <w:jc w:val="both"/>
        <w:rPr>
          <w:rFonts w:ascii="Times New Roman" w:hAnsi="Times New Roman"/>
          <w:b/>
          <w:color w:val="000000"/>
          <w:sz w:val="20"/>
        </w:rPr>
      </w:pPr>
      <w:r>
        <w:rPr>
          <w:rFonts w:ascii="Times New Roman" w:hAnsi="Times New Roman"/>
          <w:b/>
          <w:color w:val="000000"/>
          <w:sz w:val="20"/>
        </w:rPr>
        <w:t>Holder of Milestone Warrants to Purchase Common Stock or Pre-Funded Warrants</w:t>
      </w:r>
    </w:p>
    <w:p>
      <w:pPr>
        <w:pStyle w:val="TextBody"/>
        <w:bidi w:val="0"/>
        <w:jc w:val="both"/>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Inducement Offer to Exercise Certain Milestone Warrants to Purchase Common Stock or Pre-Funded Warrants</w:t>
      </w:r>
    </w:p>
    <w:p>
      <w:pPr>
        <w:pStyle w:val="TextBody"/>
        <w:bidi w:val="0"/>
        <w:jc w:val="both"/>
        <w:rPr>
          <w:rFonts w:ascii="Times New Roman" w:hAnsi="Times New Roman"/>
          <w:color w:val="000000"/>
          <w:sz w:val="20"/>
        </w:rPr>
      </w:pPr>
      <w:r>
        <w:rPr>
          <w:rFonts w:ascii="Times New Roman" w:hAnsi="Times New Roman"/>
          <w:color w:val="000000"/>
          <w:sz w:val="20"/>
        </w:rPr>
        <w:t>Dear Holder:</w:t>
      </w:r>
    </w:p>
    <w:p>
      <w:pPr>
        <w:pStyle w:val="TextBody"/>
        <w:bidi w:val="0"/>
        <w:jc w:val="both"/>
        <w:rPr>
          <w:rFonts w:ascii="Times New Roman" w:hAnsi="Times New Roman"/>
          <w:sz w:val="20"/>
        </w:rPr>
      </w:pPr>
      <w:r>
        <w:rPr>
          <w:rFonts w:ascii="Times New Roman" w:hAnsi="Times New Roman"/>
          <w:color w:val="000000"/>
          <w:sz w:val="20"/>
        </w:rPr>
        <w:t>Decoy Therapeutics Inc., a Delaware corporation (the “</w:t>
      </w:r>
      <w:r>
        <w:rPr>
          <w:rFonts w:ascii="Times New Roman" w:hAnsi="Times New Roman"/>
          <w:color w:val="000000"/>
          <w:sz w:val="20"/>
          <w:u w:val="single"/>
        </w:rPr>
        <w:t>Company</w:t>
      </w:r>
      <w:r>
        <w:rPr>
          <w:rFonts w:ascii="Times New Roman" w:hAnsi="Times New Roman"/>
          <w:color w:val="000000"/>
          <w:sz w:val="20"/>
        </w:rPr>
        <w:t>”), is pleased to offer to you (the “</w:t>
      </w:r>
      <w:r>
        <w:rPr>
          <w:rFonts w:ascii="Times New Roman" w:hAnsi="Times New Roman"/>
          <w:color w:val="000000"/>
          <w:sz w:val="20"/>
          <w:u w:val="single"/>
        </w:rPr>
        <w:t>Holder</w:t>
      </w:r>
      <w:r>
        <w:rPr>
          <w:rFonts w:ascii="Times New Roman" w:hAnsi="Times New Roman"/>
          <w:color w:val="000000"/>
          <w:sz w:val="20"/>
        </w:rPr>
        <w:t>”) the opportunity to exercise the Series B Milestone Warrant issued to the Holder on June 29, 2026 to purchase shares of common stock, par value $0.0001 per share, of the Company (the “Common Stock”), with a current exercise price of $5.91 per share (the “</w:t>
      </w:r>
      <w:r>
        <w:rPr>
          <w:rFonts w:ascii="Times New Roman" w:hAnsi="Times New Roman"/>
          <w:color w:val="000000"/>
          <w:sz w:val="20"/>
          <w:u w:val="single"/>
        </w:rPr>
        <w:t>Existing Warrant</w:t>
      </w:r>
      <w:r>
        <w:rPr>
          <w:rFonts w:ascii="Times New Roman" w:hAnsi="Times New Roman"/>
          <w:color w:val="000000"/>
          <w:sz w:val="20"/>
        </w:rPr>
        <w:t>,” and the shares underlying the Existing Warrant, the “</w:t>
      </w:r>
      <w:r>
        <w:rPr>
          <w:rFonts w:ascii="Times New Roman" w:hAnsi="Times New Roman"/>
          <w:color w:val="000000"/>
          <w:sz w:val="20"/>
          <w:u w:val="single"/>
        </w:rPr>
        <w:t>Warrant Shares</w:t>
      </w:r>
      <w:r>
        <w:rPr>
          <w:rFonts w:ascii="Times New Roman" w:hAnsi="Times New Roman"/>
          <w:color w:val="000000"/>
          <w:sz w:val="20"/>
        </w:rPr>
        <w:t>”), in the amount set forth on the signature page to this letter. Capitalized terms used herein but not defined herein shall have the meanings ascribed to them in the Existing Warrant.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resale of the shares of Common Stock underlying the Existing Warrant has been registered pursuant to a registration statement on Form S-1 (File No. 333-297381) (the “</w:t>
      </w:r>
      <w:r>
        <w:rPr>
          <w:rFonts w:ascii="Times New Roman" w:hAnsi="Times New Roman"/>
          <w:color w:val="000000"/>
          <w:sz w:val="20"/>
          <w:u w:val="single"/>
        </w:rPr>
        <w:t>Registration Statement</w:t>
      </w:r>
      <w:r>
        <w:rPr>
          <w:rFonts w:ascii="Times New Roman" w:hAnsi="Times New Roman"/>
          <w:color w:val="000000"/>
          <w:sz w:val="20"/>
        </w:rPr>
        <w:t xml:space="preserve">”). The Registration Statement is currently effective and, upon exercise of the Existing Warrant pursuant to this letter agreement, will be effective for the resale of the shares of Common Stock issued upon such exercise.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Effective as of the date hereof, the Company hereby reduces the Exercise Price of (i) the 1,184,434 Series B Milestone Warrants being exercised pursuant to this letter agreement and (ii) the outstanding Series A Milestone Warrants and Series C Milestone Warrants, in each case, to $3.25 per share (the “</w:t>
      </w:r>
      <w:r>
        <w:rPr>
          <w:rFonts w:ascii="Times New Roman" w:hAnsi="Times New Roman"/>
          <w:color w:val="000000"/>
          <w:sz w:val="20"/>
          <w:u w:val="single"/>
        </w:rPr>
        <w:t>Warrants Exercise Price”)</w:t>
      </w:r>
      <w:r>
        <w:rPr>
          <w:rFonts w:ascii="Times New Roman" w:hAnsi="Times New Roman"/>
          <w:color w:val="000000"/>
          <w:sz w:val="20"/>
        </w:rPr>
        <w:t>. In consideration for exercising 1,184,434 Series B Milestone Warrants at the Warrants Exercise Price for gross proceeds of $3,849,410 (the “</w:t>
      </w:r>
      <w:r>
        <w:rPr>
          <w:rFonts w:ascii="Times New Roman" w:hAnsi="Times New Roman"/>
          <w:color w:val="000000"/>
          <w:sz w:val="20"/>
          <w:u w:val="single"/>
        </w:rPr>
        <w:t>Warrant Exercise</w:t>
      </w:r>
      <w:r>
        <w:rPr>
          <w:rFonts w:ascii="Times New Roman" w:hAnsi="Times New Roman"/>
          <w:color w:val="000000"/>
          <w:sz w:val="20"/>
        </w:rPr>
        <w:t>”), the Company hereby offers to issue you or your designee 2,368,868 new unregistered warrants to purchase Common Stock (the “</w:t>
      </w:r>
      <w:r>
        <w:rPr>
          <w:rFonts w:ascii="Times New Roman" w:hAnsi="Times New Roman"/>
          <w:color w:val="000000"/>
          <w:sz w:val="20"/>
          <w:u w:val="single"/>
        </w:rPr>
        <w:t>New Warrants</w:t>
      </w:r>
      <w:r>
        <w:rPr>
          <w:rFonts w:ascii="Times New Roman" w:hAnsi="Times New Roman"/>
          <w:color w:val="000000"/>
          <w:sz w:val="20"/>
        </w:rPr>
        <w:t>”) pursuant to Section 4(a)(2) of the Securities Act of 1933, as amended (the “</w:t>
      </w:r>
      <w:r>
        <w:rPr>
          <w:rFonts w:ascii="Times New Roman" w:hAnsi="Times New Roman"/>
          <w:color w:val="000000"/>
          <w:sz w:val="20"/>
          <w:u w:val="single"/>
        </w:rPr>
        <w:t>Securities Act</w:t>
      </w:r>
      <w:r>
        <w:rPr>
          <w:rFonts w:ascii="Times New Roman" w:hAnsi="Times New Roman"/>
          <w:color w:val="000000"/>
          <w:sz w:val="20"/>
        </w:rPr>
        <w:t>”), to purchase up to 2,368,868 shares of Common Stock (the “</w:t>
      </w:r>
      <w:r>
        <w:rPr>
          <w:rFonts w:ascii="Times New Roman" w:hAnsi="Times New Roman"/>
          <w:color w:val="000000"/>
          <w:sz w:val="20"/>
          <w:u w:val="single"/>
        </w:rPr>
        <w:t>New Warrant Shares</w:t>
      </w:r>
      <w:r>
        <w:rPr>
          <w:rFonts w:ascii="Times New Roman" w:hAnsi="Times New Roman"/>
          <w:color w:val="000000"/>
          <w:sz w:val="20"/>
        </w:rPr>
        <w:t xml:space="preserve">”) equal to 200% of the number of shares of Common Stock issued pursuant to the Warrant Exercise hereunder, which New Warrants shall be in the form attached hereto as </w:t>
      </w:r>
      <w:r>
        <w:rPr>
          <w:rFonts w:ascii="Times New Roman" w:hAnsi="Times New Roman"/>
          <w:color w:val="000000"/>
          <w:sz w:val="20"/>
          <w:u w:val="single"/>
        </w:rPr>
        <w:t>Annex B</w:t>
      </w:r>
      <w:r>
        <w:rPr>
          <w:rFonts w:ascii="Times New Roman" w:hAnsi="Times New Roman"/>
          <w:color w:val="000000"/>
          <w:sz w:val="20"/>
        </w:rPr>
        <w:t>. The New Warrants will have an exercise price of $3.25 per share, will be exercisable immediately upon issuance and will have a term of five (5) years from the date of issuance thereof.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acknowledges that Curvature Securities, LLC (“</w:t>
      </w:r>
      <w:r>
        <w:rPr>
          <w:rFonts w:ascii="Times New Roman" w:hAnsi="Times New Roman"/>
          <w:color w:val="000000"/>
          <w:sz w:val="20"/>
          <w:u w:val="single"/>
        </w:rPr>
        <w:t>Curvature</w:t>
      </w:r>
      <w:r>
        <w:rPr>
          <w:rFonts w:ascii="Times New Roman" w:hAnsi="Times New Roman"/>
          <w:color w:val="000000"/>
          <w:sz w:val="20"/>
        </w:rPr>
        <w:t>”) is entitled to the compensation and expense reimbursement contemplated by Section 9 of that certain placement agency agreement, dated June 26, 2026, by and between the Company and Curvature, in connection with the transactions contemplated by this letter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original certificates evidencing the New Warrants will be delivered within one (1) Business Day following the date hereof. Notwithstanding anything herein to the contrary, in the event the exercise of the Existing Warrant would otherwise cause the Holder to exceed a beneficial ownership limitation equal to 9.99% of the number of shares of Common Stock outstanding immediately after giving effect to the issuance of shares of Common Stock issuable upon such exercise (the “</w:t>
      </w:r>
      <w:r>
        <w:rPr>
          <w:rFonts w:ascii="Times New Roman" w:hAnsi="Times New Roman"/>
          <w:color w:val="000000"/>
          <w:sz w:val="20"/>
          <w:u w:val="single"/>
        </w:rPr>
        <w:t>Beneficial Ownership Limitation</w:t>
      </w:r>
      <w:r>
        <w:rPr>
          <w:rFonts w:ascii="Times New Roman" w:hAnsi="Times New Roman"/>
          <w:color w:val="000000"/>
          <w:sz w:val="20"/>
        </w:rPr>
        <w:t xml:space="preserve">”), the Company shall only issue such number of shares of Common Stock to the Holder that would not cause the Holder to exceed the Beneficial Ownership Limitation, with the balance to be held in abeyance until notice from the Holder that the balance, or a portion thereof, may be issued without causing the Holder to exceed the Beneficial Ownership Limitation. Any shares held in abeyance pursuant to this paragraph shall be deemed prepaid, and no additional exercise price shall be payable upon their subsequent issuance. For purposes of this letter agreement, “Business Day” means any day other than Saturday, Sunday or other day on which commercial banks in The City of New York are authorized or required by law to remain closed; provided, however, that,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4911-9606-4978, v.11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77159608.1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the electronic funds transfer systems, including wire transfer systems, of commercial banks in The City of New York generally are open for use by customers on such day.</w:t>
      </w:r>
    </w:p>
    <w:p>
      <w:pPr>
        <w:pStyle w:val="TextBody"/>
        <w:bidi w:val="0"/>
        <w:jc w:val="both"/>
        <w:rPr>
          <w:rFonts w:ascii="Times New Roman" w:hAnsi="Times New Roman"/>
          <w:sz w:val="20"/>
        </w:rPr>
      </w:pPr>
      <w:r>
        <w:rPr>
          <w:rFonts w:ascii="Times New Roman" w:hAnsi="Times New Roman"/>
          <w:color w:val="000000"/>
          <w:sz w:val="20"/>
        </w:rPr>
        <w:t>Expressly subject to the paragraph immediately following this paragraph, the Holder may accept this offer by signing this letter below, with such acceptance constituting such Holder’s exercise in full of the Existing Warrant for an aggregate exercise price set forth on such Holder’s signature page hereto (the “</w:t>
      </w:r>
      <w:r>
        <w:rPr>
          <w:rFonts w:ascii="Times New Roman" w:hAnsi="Times New Roman"/>
          <w:color w:val="000000"/>
          <w:sz w:val="20"/>
          <w:u w:val="single"/>
        </w:rPr>
        <w:t>Warrant Exercise Consideration</w:t>
      </w:r>
      <w:r>
        <w:rPr>
          <w:rFonts w:ascii="Times New Roman" w:hAnsi="Times New Roman"/>
          <w:color w:val="000000"/>
          <w:sz w:val="20"/>
        </w:rPr>
        <w:t>”) on or before 12:30 p.m. Eastern Time on September 22, 2026.</w:t>
      </w:r>
    </w:p>
    <w:p>
      <w:pPr>
        <w:pStyle w:val="TextBody"/>
        <w:bidi w:val="0"/>
        <w:jc w:val="both"/>
        <w:rPr>
          <w:rFonts w:ascii="Times New Roman" w:hAnsi="Times New Roman"/>
          <w:sz w:val="20"/>
        </w:rPr>
      </w:pPr>
      <w:r>
        <w:rPr>
          <w:rFonts w:ascii="Times New Roman" w:hAnsi="Times New Roman"/>
          <w:color w:val="000000"/>
          <w:sz w:val="20"/>
        </w:rPr>
        <w:t xml:space="preserve">Additionally, the Company agrees to the representations, warranties and covenants set forth on </w:t>
      </w:r>
      <w:r>
        <w:rPr>
          <w:rFonts w:ascii="Times New Roman" w:hAnsi="Times New Roman"/>
          <w:color w:val="000000"/>
          <w:sz w:val="20"/>
          <w:u w:val="single"/>
        </w:rPr>
        <w:t>Annex A</w:t>
      </w:r>
      <w:r>
        <w:rPr>
          <w:rFonts w:ascii="Times New Roman" w:hAnsi="Times New Roman"/>
          <w:color w:val="000000"/>
          <w:sz w:val="20"/>
        </w:rPr>
        <w:t xml:space="preserve"> attached hereto. The Holder represents and warrants that it is an “accredited investor” as defined in Rule 501 of the Securities Act and agrees that the New Warrants will contain restrictive legends when issued, and neither the New Warrants nor the Common Stock issuable upon exercise of the New Warrants will initially be registered under the Securities Act.</w:t>
      </w:r>
    </w:p>
    <w:p>
      <w:pPr>
        <w:pStyle w:val="TextBody"/>
        <w:bidi w:val="0"/>
        <w:jc w:val="both"/>
        <w:rPr>
          <w:rFonts w:ascii="Times New Roman" w:hAnsi="Times New Roman"/>
          <w:color w:val="000000"/>
          <w:sz w:val="20"/>
        </w:rPr>
      </w:pPr>
      <w:r>
        <w:rPr>
          <w:rFonts w:ascii="Times New Roman" w:hAnsi="Times New Roman"/>
          <w:color w:val="000000"/>
          <w:sz w:val="20"/>
        </w:rPr>
        <w:t>Subject to the provisions of this letter regarding registration, the Holder understands that the New Warrants and the Common Stock underlying the New Warrants are not, and may never be, registered under the Securities Act or the securities laws of any state and, accordingly, each certificate, if any, representing such securities shall bear a legend substantially similar to the following:</w:t>
      </w:r>
    </w:p>
    <w:p>
      <w:pPr>
        <w:pStyle w:val="TextBody"/>
        <w:bidi w:val="0"/>
        <w:jc w:val="both"/>
        <w:rPr>
          <w:color w:val="000000"/>
        </w:rPr>
      </w:pPr>
      <w:r>
        <w:rPr>
          <w:color w:val="000000"/>
        </w:rPr>
        <w:t>“</w:t>
      </w:r>
      <w:r>
        <w:rPr>
          <w:rFonts w:ascii="Times New Roman" w:hAnsi="Times New Roman"/>
          <w:color w:val="000000"/>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jc w:val="both"/>
        <w:rPr>
          <w:rFonts w:ascii="Times New Roman" w:hAnsi="Times New Roman"/>
          <w:sz w:val="20"/>
        </w:rPr>
      </w:pPr>
      <w:r>
        <w:rPr>
          <w:rFonts w:ascii="Times New Roman" w:hAnsi="Times New Roman"/>
          <w:color w:val="000000"/>
          <w:sz w:val="20"/>
        </w:rPr>
        <w:t>Certificates evidencing Common Stock underlying the New Warrants shall not contain any legend (including the legend set forth above), (i) while a registration statement covering the resale of such Common Stock is effective under the Securities Act, (ii) following any sale of such Common Stock pursuant to Rule 144 under the Securities Act (assuming cashless exercise of the New Warrants), (iii) if such Common Stock may be sold under Rule 144 (assuming cashless exercise of the New Warrants) and the Company is then in compliance with the current public information required under Rule 144 as to such Common Stock, or (iv) if such legend is not required under applicable requirements of the Securities Act (including judicial interpretations and pronouncements issued by the staff of the Securities and Exchange Commission (the “Commission”)) (the earliest of clauses (i) through (iv), the “</w:t>
      </w:r>
      <w:r>
        <w:rPr>
          <w:rFonts w:ascii="Times New Roman" w:hAnsi="Times New Roman"/>
          <w:color w:val="000000"/>
          <w:sz w:val="20"/>
          <w:u w:val="single"/>
        </w:rPr>
        <w:t>Delegend Date</w:t>
      </w:r>
      <w:r>
        <w:rPr>
          <w:rFonts w:ascii="Times New Roman" w:hAnsi="Times New Roman"/>
          <w:color w:val="000000"/>
          <w:sz w:val="20"/>
        </w:rPr>
        <w:t>”). The Company shall cause its counsel to issue a legal opinion to the transfer agent promptly after the Delegend Date if required by the Company and/or the transfer agent to effect the removal of the legend hereunder, which opinion shall be in form and substance reasonably acceptable to the Holder. If such Common Stock may be sold under Rule 144 without the requirement for the Company to be in compliance with the current public information required under Rule 144 or if such legend is not otherwise required under applicable requirements of the Securities Act (including judicial interpretations and pronouncements issued by the staff of the Commission) then such Common Stock shall be issued free of all legends. The Company agrees that following the Delegend Date or at such time as such legend is no longer required under this Section, it will, no later than two (2) Trading Days following the delivery by the Holder to the Company or the transfer agent of a certificate representing the Common Stock underlying the New Warrants issued with a restrictive legend (such second Trading Day, the “</w:t>
      </w:r>
      <w:r>
        <w:rPr>
          <w:rFonts w:ascii="Times New Roman" w:hAnsi="Times New Roman"/>
          <w:color w:val="000000"/>
          <w:sz w:val="20"/>
          <w:u w:val="single"/>
        </w:rPr>
        <w:t>Legend Removal Date</w:t>
      </w:r>
      <w:r>
        <w:rPr>
          <w:rFonts w:ascii="Times New Roman" w:hAnsi="Times New Roman"/>
          <w:color w:val="000000"/>
          <w:sz w:val="20"/>
        </w:rPr>
        <w:t>”), deliver or cause to be delivered to the Holder a certificate representing such shares that is free from all restrictive and other legends or, at the request of such Holder shall credit the account of such Holder’s prime broker with the Depository Trust Company System as directed by the Holder.</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4911-9606-4978, v.11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77159608.1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In addition to the Holder’s other available remedies, the Company shall pay to the Holder, in cash, (i) as partial liquidated damages and not as a penalty, for each $1,000 of Common Stock or New Warrant Shares (based on the VWAP of the Common Stock on the date such New Warrant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such Holder by the Legend Removal Date a certificate representing the Securities so delivered to the Company by such Holder that is free from all restrictive and other legends and (b) if after the Legend Removal Date such Holder purchases (in an open market transaction or otherwise) Common Stock to deliver in satisfaction of a sale by such Holder of all or any portion of the number of Common Stock, or a sale of a number of Common Stock equal to all or any portion of the number of Common Stock that such Holder anticipated receiving from the Company without any restrictive legend, then, an amount equal to the excess of such Holder’s total purchase price (including brokerage commissions and other out-of-pocket expenses, if any) for the Common Stock so purchased (including brokerage commissions and other out-of-pocket expenses, if any) (the “</w:t>
      </w:r>
      <w:r>
        <w:rPr>
          <w:rFonts w:ascii="Times New Roman" w:hAnsi="Times New Roman"/>
          <w:color w:val="000000"/>
          <w:sz w:val="20"/>
          <w:u w:val="single"/>
        </w:rPr>
        <w:t>Buy-In Price</w:t>
      </w:r>
      <w:r>
        <w:rPr>
          <w:rFonts w:ascii="Times New Roman" w:hAnsi="Times New Roman"/>
          <w:color w:val="000000"/>
          <w:sz w:val="20"/>
        </w:rPr>
        <w:t>”) over the product of (A) such number of New Warrant Shares that the Company was required to deliver to such Holder by the Legend Removal Date multiplied by (B) the lowest closing sale price of the Common Stock on any Trading Day during the period commencing on the date of the delivery by such Holder to the Company of the applicable New Warrant Shares (as the case may be) and ending on the date of such delivery and payment under this clause (ii).</w:t>
      </w:r>
    </w:p>
    <w:p>
      <w:pPr>
        <w:pStyle w:val="TextBody"/>
        <w:bidi w:val="0"/>
        <w:jc w:val="both"/>
        <w:rPr>
          <w:rFonts w:ascii="Times New Roman" w:hAnsi="Times New Roman"/>
          <w:sz w:val="20"/>
        </w:rPr>
      </w:pPr>
      <w:r>
        <w:rPr>
          <w:rFonts w:ascii="Times New Roman" w:hAnsi="Times New Roman"/>
          <w:color w:val="000000"/>
          <w:sz w:val="20"/>
        </w:rPr>
        <w:t>At any time during the period commencing from the six (6) month anniversary of the date hereof and ending at such time that all of the New Warrant Shares may be sold without the requirement for the Company to be in compliance with Rule 144(c)(1) and otherwise without restriction or limitation pursuant to Rule 144, if there is no effective registration statement covering the resale of all of the New Warrant Shares and the Company (i) shall fail for any reason to satisfy the current public information requirement under Rule 144(c) or (ii) has ever been an issuer described in Rule 144(i)(1)(i) or becomes an issuer in the future, and the Company shall fail to satisfy any condition set forth in Rule 144(i)(2) (each, a “</w:t>
      </w:r>
      <w:r>
        <w:rPr>
          <w:rFonts w:ascii="Times New Roman" w:hAnsi="Times New Roman"/>
          <w:color w:val="000000"/>
          <w:sz w:val="20"/>
          <w:u w:val="single"/>
        </w:rPr>
        <w:t>Public Information Failure</w:t>
      </w:r>
      <w:r>
        <w:rPr>
          <w:rFonts w:ascii="Times New Roman" w:hAnsi="Times New Roman"/>
          <w:color w:val="000000"/>
          <w:sz w:val="20"/>
        </w:rPr>
        <w:t>”) then, in addition to the undersigned’s other available remedies, the Company shall pay to the undersigned, in cash, as partial liquidated damages and not as a penalty, by reason of any such delay in or reduction of its ability to sell the New Warrant Shares, an amount in cash equal to two percent (2.0%) of the aggregate Exercise Price of the undersigned’s New Warrants on the day of a Public Information Failure and on every thirtieth (30th) day (pro-rated for periods totaling less than thirty days) thereafter until the earlier of (a) the date such Public Information Failure is cured and (b) such time that such public information is no longer required for the undersigned to transfer the New Warrant Shares pursuant to Rule 144. The payments to which the undersigned shall be entitled pursuant to this paragraph are referred to herein as “</w:t>
      </w:r>
      <w:r>
        <w:rPr>
          <w:rFonts w:ascii="Times New Roman" w:hAnsi="Times New Roman"/>
          <w:color w:val="000000"/>
          <w:sz w:val="20"/>
          <w:u w:val="single"/>
        </w:rPr>
        <w:t>Public Information Failure Payments</w:t>
      </w:r>
      <w:r>
        <w:rPr>
          <w:rFonts w:ascii="Times New Roman" w:hAnsi="Times New Roman"/>
          <w:color w:val="000000"/>
          <w:sz w:val="20"/>
        </w:rPr>
        <w:t>.”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the undersigned’s right to pursue actual damages for the Public Information Failure, and the undersigned shall have the right to pursue all remedies available to it at law or in equity including, without limitation, a decree of specific performance and/or injunctive relief.</w:t>
      </w:r>
    </w:p>
    <w:p>
      <w:pPr>
        <w:pStyle w:val="TextBody"/>
        <w:bidi w:val="0"/>
        <w:jc w:val="both"/>
        <w:rPr>
          <w:rFonts w:ascii="Times New Roman" w:hAnsi="Times New Roman"/>
          <w:color w:val="000000"/>
          <w:sz w:val="20"/>
        </w:rPr>
      </w:pPr>
      <w:r>
        <w:rPr>
          <w:rFonts w:ascii="Times New Roman" w:hAnsi="Times New Roman"/>
          <w:color w:val="000000"/>
          <w:sz w:val="20"/>
        </w:rPr>
        <w:t>From the date hereof until the date that is thirty (30) days following the date hereof, neither the Company nor any subsidiary of the Company shall (i) other than an Exempt Issuance (as such term is defined in the Securities Purchase Agreement dated June 26, 2026), issue, enter into any agreement to issue or announce the issuance or proposed issuance of any Common Stock or any securities of the Company or any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or (ii) file any registration statement, or amendment or supplement thereto, with the Commission other than those filed pursuant to this letter agreement, or substantially similar warrants outstanding on the date hereof.</w:t>
      </w:r>
    </w:p>
    <w:p>
      <w:pPr>
        <w:pStyle w:val="TextBody"/>
        <w:bidi w:val="0"/>
        <w:jc w:val="both"/>
        <w:rPr>
          <w:rFonts w:ascii="Times New Roman" w:hAnsi="Times New Roman"/>
          <w:color w:val="000000"/>
          <w:sz w:val="20"/>
        </w:rPr>
      </w:pPr>
      <w:r>
        <w:rPr>
          <w:rFonts w:ascii="Times New Roman" w:hAnsi="Times New Roman"/>
          <w:color w:val="000000"/>
          <w:sz w:val="20"/>
        </w:rPr>
        <w:t xml:space="preserve">From the date hereof until one hundred and eighty (180) days after the Effectiveness Date, the Company shall be prohibited from effecting or entering into an agreement to effect any issuance by the Company or any of its Subsidiaries of Common Stock or Common Stock Equivalents (or a combination of units thereof) involving a Variable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4911-9606-4978, v.11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77159608.1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Rate Transaction. “</w:t>
      </w:r>
      <w:r>
        <w:rPr>
          <w:rFonts w:ascii="Times New Roman" w:hAnsi="Times New Roman"/>
          <w:color w:val="000000"/>
          <w:sz w:val="20"/>
          <w:u w:val="single"/>
        </w:rPr>
        <w:t>Variable Rate Transaction</w:t>
      </w:r>
      <w:r>
        <w:rPr>
          <w:rFonts w:ascii="Times New Roman" w:hAnsi="Times New Roman"/>
          <w:color w:val="000000"/>
          <w:sz w:val="20"/>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 the market offering”, whereby the Company may issue securities at a future determined price regardless of whether shares pursuant to such agreement have actually been issued and regardless of whether such agreement is subsequently canceled; provided, however, that commencing thirty (30) days after the Effectiveness Date, the Company’s issuance of Common Stock or Common Stock Equivalents pursuant to an “at the market offering” facility with the Placement Agent as sales agent shall not be deemed a Variable Rate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this offer is accepted and the transaction documents are executed on or before 12:30 p.m. ET on September 22, 2026, then on or before 8:30 a.m. ET on the first Business Day following the date hereof, the Company shall issue a press release or file a Form 8-K with the Commission disclosing all material terms of the transactions contemplated hereunder. From and after the issuance of such press release or the filing of such Form 8-K, the Company represents to you that it shall have publicly disclosed all material, non-public information delivered to you by the Company or any of its officers, directors, employees or agents in connection with the transactions contemplated hereunder. In addition, effective upon the issuance of such press release or the filing of such Form 8-K,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acceptance of this offer, the shares underlying the Existing Warrant shall be issued free of any legends or restrictions on resale by the Holder and all of the Warrant Shares shall be delivered electronically through the Depository Trust Company within one (1) Business Day following the date hereof (or, with respect to Warrant Shares that would otherwise be in excess of the Beneficial Ownership Limitation, within one (1) Business Day of the date the Company is notified by the Holder that its ownership is less than the Beneficial Ownership Limitation). The terms of the Existing Warrant, including but not limited to the obligations to deliver the Warrant Shares, shall otherwise remain in effect as if the acceptance of this offer were a formal Notice of Exercise (including but not limited to any liquidated damages and compensation in the event of late delivery of the Warrant Shares).</w:t>
      </w:r>
    </w:p>
    <w:p>
      <w:pPr>
        <w:pStyle w:val="TextBody"/>
        <w:bidi w:val="0"/>
        <w:jc w:val="both"/>
        <w:rPr>
          <w:rFonts w:ascii="Times New Roman" w:hAnsi="Times New Roman"/>
          <w:sz w:val="20"/>
        </w:rPr>
      </w:pPr>
      <w:r>
        <w:rPr>
          <w:rFonts w:ascii="Times New Roman" w:hAnsi="Times New Roman"/>
          <w:color w:val="000000"/>
          <w:sz w:val="20"/>
        </w:rPr>
        <w:t>As soon as practicable, and in any event within fifteen (15) calendar days following the date of this letter agreement, the Company shall file a resale registration statement (the “</w:t>
      </w:r>
      <w:r>
        <w:rPr>
          <w:rFonts w:ascii="Times New Roman" w:hAnsi="Times New Roman"/>
          <w:color w:val="000000"/>
          <w:sz w:val="20"/>
          <w:u w:val="single"/>
        </w:rPr>
        <w:t>Resale Registration Statement</w:t>
      </w:r>
      <w:r>
        <w:rPr>
          <w:rFonts w:ascii="Times New Roman" w:hAnsi="Times New Roman"/>
          <w:color w:val="000000"/>
          <w:sz w:val="20"/>
        </w:rPr>
        <w:t>”) on Form S-1 providing for the resale by the Holder of the New Warrant Shares issued and issuable upon exercise of the New Warrants. The Company shall use commercially reasonable efforts to cause the Resale Registration Statement to become effective no later than the forty-fifth (45th) calendar day following the date of this letter agreement, or the sixtieth (60th) calendar day following such date in the event of a limited review by the Commission, or the ninetieth (90th) calendar day following such date in the event of a full review by the Commission, and to keep the Resale Registration Statement effective at all times until no Holder owns any New Warrants or New Warrant Shares issuable upon exercise thereof.</w:t>
      </w:r>
    </w:p>
    <w:p>
      <w:pPr>
        <w:pStyle w:val="TextBody"/>
        <w:bidi w:val="0"/>
        <w:jc w:val="both"/>
        <w:rPr>
          <w:rFonts w:ascii="Times New Roman" w:hAnsi="Times New Roman"/>
          <w:color w:val="000000"/>
          <w:sz w:val="20"/>
        </w:rPr>
      </w:pPr>
      <w:r>
        <w:rPr>
          <w:rFonts w:ascii="Times New Roman" w:hAnsi="Times New Roman"/>
          <w:color w:val="000000"/>
          <w:sz w:val="20"/>
        </w:rPr>
        <w:t>Within one (1) Business Day following the Holder’s execution of this letter, the Holder shall make available for “Delivery Versus Payment” to the Company immediately available funds equal to the Warrant Exercise Consideration, and the Company shall deliver the Warrant Shares via “Delivery Versus Payment” to the Holder and shall deliver the New Warrants registered in the name of such Holder.</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4911-9606-4978, v.11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77159608.1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Sincerely yours,</w:t>
      </w:r>
    </w:p>
    <w:p>
      <w:pPr>
        <w:pStyle w:val="TextBody"/>
        <w:bidi w:val="0"/>
        <w:jc w:val="both"/>
        <w:rPr>
          <w:rFonts w:ascii="Times New Roman" w:hAnsi="Times New Roman"/>
          <w:b/>
          <w:color w:val="000000"/>
          <w:sz w:val="20"/>
        </w:rPr>
      </w:pPr>
      <w:r>
        <w:rPr>
          <w:rFonts w:ascii="Times New Roman" w:hAnsi="Times New Roman"/>
          <w:b/>
          <w:color w:val="000000"/>
          <w:sz w:val="20"/>
        </w:rPr>
        <w:t>DECOY THERAPEUTICS INC.</w:t>
      </w:r>
    </w:p>
    <w:p>
      <w:pPr>
        <w:pStyle w:val="TextBody"/>
        <w:bidi w:val="0"/>
        <w:jc w:val="left"/>
        <w:rPr>
          <w:rFonts w:ascii="Times New Roman" w:hAnsi="Times New Roman"/>
          <w:color w:val="000000"/>
          <w:sz w:val="20"/>
        </w:rPr>
      </w:pPr>
      <w:r>
        <w:rPr>
          <w:rFonts w:ascii="Times New Roman" w:hAnsi="Times New Roman"/>
          <w:color w:val="000000"/>
          <w:sz w:val="20"/>
        </w:rPr>
        <w:t>By: 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 xml:space="preserve">Name: </w:t>
      </w:r>
    </w:p>
    <w:p>
      <w:pPr>
        <w:pStyle w:val="TextBody"/>
        <w:bidi w:val="0"/>
        <w:jc w:val="both"/>
        <w:rPr>
          <w:rFonts w:ascii="Times New Roman" w:hAnsi="Times New Roman"/>
          <w:color w:val="000000"/>
          <w:sz w:val="20"/>
        </w:rPr>
      </w:pPr>
      <w:r>
        <w:rPr>
          <w:rFonts w:ascii="Times New Roman" w:hAnsi="Times New Roman"/>
          <w:color w:val="000000"/>
          <w:sz w:val="20"/>
        </w:rPr>
        <w:t xml:space="preserve">Title: </w:t>
      </w:r>
    </w:p>
    <w:p>
      <w:pPr>
        <w:pStyle w:val="TextBody"/>
        <w:bidi w:val="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Accepted and Agreed to:</w:t>
      </w:r>
    </w:p>
    <w:p>
      <w:pPr>
        <w:pStyle w:val="TextBody"/>
        <w:bidi w:val="0"/>
        <w:jc w:val="both"/>
        <w:rPr>
          <w:rFonts w:ascii="Times New Roman" w:hAnsi="Times New Roman"/>
          <w:b/>
          <w:color w:val="000000"/>
          <w:sz w:val="20"/>
        </w:rPr>
      </w:pPr>
      <w:r>
        <w:rPr>
          <w:rFonts w:ascii="Times New Roman" w:hAnsi="Times New Roman"/>
          <w:b/>
          <w:color w:val="000000"/>
          <w:sz w:val="20"/>
        </w:rPr>
        <w:t>[ ]</w:t>
      </w:r>
    </w:p>
    <w:p>
      <w:pPr>
        <w:pStyle w:val="TextBody"/>
        <w:bidi w:val="0"/>
        <w:jc w:val="both"/>
        <w:rPr>
          <w:rFonts w:ascii="Times New Roman" w:hAnsi="Times New Roman"/>
          <w:color w:val="000000"/>
          <w:sz w:val="20"/>
        </w:rPr>
      </w:pPr>
      <w:r>
        <w:rPr>
          <w:rFonts w:ascii="Times New Roman" w:hAnsi="Times New Roman"/>
          <w:color w:val="000000"/>
          <w:sz w:val="20"/>
        </w:rPr>
        <w:t>By: 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Name:</w:t>
      </w:r>
    </w:p>
    <w:p>
      <w:pPr>
        <w:pStyle w:val="TextBody"/>
        <w:bidi w:val="0"/>
        <w:jc w:val="both"/>
        <w:rPr>
          <w:rFonts w:ascii="Times New Roman" w:hAnsi="Times New Roman"/>
          <w:color w:val="000000"/>
          <w:sz w:val="20"/>
        </w:rPr>
      </w:pPr>
      <w:r>
        <w:rPr>
          <w:rFonts w:ascii="Times New Roman" w:hAnsi="Times New Roman"/>
          <w:color w:val="000000"/>
          <w:sz w:val="20"/>
        </w:rPr>
        <w:t>Title:</w:t>
      </w:r>
    </w:p>
    <w:tbl>
      <w:tblPr>
        <w:tblW w:w="6087" w:type="dxa"/>
        <w:jc w:val="left"/>
        <w:tblInd w:w="0" w:type="dxa"/>
        <w:tblLayout w:type="fixed"/>
        <w:tblCellMar>
          <w:top w:w="28" w:type="dxa"/>
          <w:left w:w="28" w:type="dxa"/>
          <w:bottom w:w="28" w:type="dxa"/>
          <w:right w:w="28" w:type="dxa"/>
        </w:tblCellMar>
      </w:tblPr>
      <w:tblGrid>
        <w:gridCol w:w="5896"/>
        <w:gridCol w:w="191"/>
      </w:tblGrid>
      <w:tr>
        <w:trPr/>
        <w:tc>
          <w:tcPr>
            <w:tcW w:w="5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Aggregate Number of </w:t>
            </w:r>
            <w:r>
              <w:rPr>
                <w:rFonts w:ascii="Times New Roman" w:hAnsi="Times New Roman"/>
                <w:color w:val="000000"/>
                <w:sz w:val="20"/>
                <w:u w:val="single"/>
              </w:rPr>
              <w:t>Series B Milestone Warrant</w:t>
            </w:r>
            <w:r>
              <w:rPr>
                <w:rFonts w:ascii="Times New Roman" w:hAnsi="Times New Roman"/>
                <w:color w:val="000000"/>
                <w:sz w:val="20"/>
              </w:rPr>
              <w:t> Exercised</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9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color w:val="000000"/>
                <w:sz w:val="20"/>
              </w:rPr>
              <w:t xml:space="preserve">Aggregate Existing </w:t>
            </w:r>
            <w:r>
              <w:rPr>
                <w:rFonts w:ascii="Times New Roman" w:hAnsi="Times New Roman"/>
                <w:color w:val="000000"/>
                <w:sz w:val="20"/>
                <w:u w:val="single"/>
              </w:rPr>
              <w:t>Series B Milestone Warrant Exercise Consideration</w:t>
            </w:r>
          </w:p>
          <w:p>
            <w:pPr>
              <w:pStyle w:val="TableContents"/>
              <w:bidi w:val="0"/>
              <w:spacing w:before="0" w:after="283"/>
              <w:jc w:val="left"/>
              <w:rPr/>
            </w:pPr>
            <w:r>
              <w:rPr/>
              <w:t> </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Warrants: (200% of total Existing Warrants being exercised):</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9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Existing Warrant Beneficial Ownership Blocker:</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9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Warrants Beneficial Ownership Blocker:</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9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DTC Instructions:</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4911-9606-4978, v.11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77159608.1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Annex A</w:t>
      </w:r>
    </w:p>
    <w:p>
      <w:pPr>
        <w:pStyle w:val="TextBody"/>
        <w:bidi w:val="0"/>
        <w:jc w:val="both"/>
        <w:rPr>
          <w:rFonts w:ascii="Times New Roman" w:hAnsi="Times New Roman"/>
          <w:sz w:val="20"/>
        </w:rPr>
      </w:pPr>
      <w:r>
        <w:rPr>
          <w:rFonts w:ascii="Times New Roman" w:hAnsi="Times New Roman"/>
          <w:color w:val="000000"/>
          <w:sz w:val="20"/>
          <w:u w:val="single"/>
        </w:rPr>
        <w:t>Representations, Warranties and Covenants of the Company</w:t>
      </w:r>
      <w:r>
        <w:rPr>
          <w:rFonts w:ascii="Times New Roman" w:hAnsi="Times New Roman"/>
          <w:color w:val="000000"/>
          <w:sz w:val="20"/>
        </w:rPr>
        <w:t>. The Company hereby makes the following representations and warranties to the Holder:</w:t>
      </w:r>
    </w:p>
    <w:p>
      <w:pPr>
        <w:pStyle w:val="TextBody"/>
        <w:bidi w:val="0"/>
        <w:jc w:val="both"/>
        <w:rPr>
          <w:rFonts w:ascii="Times New Roman" w:hAnsi="Times New Roman"/>
          <w:sz w:val="20"/>
        </w:rPr>
      </w:pPr>
      <w:r>
        <w:rPr>
          <w:rFonts w:ascii="Times New Roman" w:hAnsi="Times New Roman"/>
          <w:color w:val="000000"/>
          <w:sz w:val="20"/>
          <w:u w:val="single"/>
        </w:rPr>
        <w:t>SEC Reports</w:t>
      </w:r>
      <w:r>
        <w:rPr>
          <w:rFonts w:ascii="Times New Roman" w:hAnsi="Times New Roman"/>
          <w:color w:val="000000"/>
          <w:sz w:val="20"/>
        </w:rPr>
        <w:t>. The Company has filed all reports, schedules, forms, statements and other documents required to be filed by the Company under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w:t>
      </w:r>
      <w:r>
        <w:rPr>
          <w:rFonts w:ascii="Times New Roman" w:hAnsi="Times New Roman"/>
          <w:color w:val="000000"/>
          <w:sz w:val="20"/>
          <w:u w:val="single"/>
        </w:rPr>
        <w:t>SEC Reports</w:t>
      </w:r>
      <w:r>
        <w:rPr>
          <w:rFonts w:ascii="Times New Roman" w:hAnsi="Times New Roman"/>
          <w:color w:val="000000"/>
          <w:sz w:val="20"/>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identified in Rule 144(i) under the Securities Act.</w:t>
      </w:r>
    </w:p>
    <w:p>
      <w:pPr>
        <w:pStyle w:val="TextBody"/>
        <w:bidi w:val="0"/>
        <w:jc w:val="both"/>
        <w:rPr>
          <w:rFonts w:ascii="Times New Roman" w:hAnsi="Times New Roman"/>
          <w:sz w:val="20"/>
        </w:rPr>
      </w:pPr>
      <w:r>
        <w:rPr>
          <w:rFonts w:ascii="Times New Roman" w:hAnsi="Times New Roman"/>
          <w:color w:val="000000"/>
          <w:sz w:val="20"/>
          <w:u w:val="single"/>
        </w:rPr>
        <w:t>Authorization; Enforcement</w:t>
      </w:r>
      <w:r>
        <w:rPr>
          <w:rFonts w:ascii="Times New Roman" w:hAnsi="Times New Roman"/>
          <w:color w:val="000000"/>
          <w:sz w:val="20"/>
        </w:rPr>
        <w:t>. The Company has the requisite corporate power and authority to enter into and to consummate the transactions contemplated by this letter agreement and otherwise to carry out its obligations hereunder and thereunder. The execution and delivery of this letter agreement by the Company and the consummation by the Company of the transactions contemplated hereby have been duly authorized by all necessary corporate action on the part of the Company, and no further action is required by the Company or its board of directors in connection therewith.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jc w:val="both"/>
        <w:rPr>
          <w:rFonts w:ascii="Times New Roman" w:hAnsi="Times New Roman"/>
          <w:sz w:val="20"/>
        </w:rPr>
      </w:pPr>
      <w:r>
        <w:rPr>
          <w:rFonts w:ascii="Times New Roman" w:hAnsi="Times New Roman"/>
          <w:color w:val="000000"/>
          <w:sz w:val="20"/>
          <w:u w:val="single"/>
        </w:rPr>
        <w:t>No Conflicts</w:t>
      </w:r>
      <w:r>
        <w:rPr>
          <w:rFonts w:ascii="Times New Roman" w:hAnsi="Times New Roman"/>
          <w:color w:val="000000"/>
          <w:sz w:val="20"/>
        </w:rPr>
        <w:t>.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p>
      <w:pPr>
        <w:pStyle w:val="TextBody"/>
        <w:bidi w:val="0"/>
        <w:jc w:val="left"/>
        <w:rPr>
          <w:rFonts w:ascii="Times New Roman" w:hAnsi="Times New Roman"/>
          <w:sz w:val="20"/>
        </w:rPr>
      </w:pPr>
      <w:r>
        <w:rPr>
          <w:rFonts w:ascii="Times New Roman" w:hAnsi="Times New Roman"/>
          <w:color w:val="000000"/>
          <w:sz w:val="20"/>
          <w:u w:val="single"/>
        </w:rPr>
        <w:t>Trading Market</w:t>
      </w:r>
      <w:r>
        <w:rPr>
          <w:rFonts w:ascii="Times New Roman" w:hAnsi="Times New Roman"/>
          <w:color w:val="000000"/>
          <w:sz w:val="20"/>
        </w:rPr>
        <w:t>. The transactions contemplated under this letter agreement comply with all the rules and regulations of the Nasdaq Capital Market.</w:t>
      </w:r>
    </w:p>
    <w:p>
      <w:pPr>
        <w:pStyle w:val="TextBody"/>
        <w:bidi w:val="0"/>
        <w:jc w:val="both"/>
        <w:rPr>
          <w:rFonts w:ascii="Times New Roman" w:hAnsi="Times New Roman"/>
          <w:sz w:val="20"/>
        </w:rPr>
      </w:pPr>
      <w:r>
        <w:rPr>
          <w:rFonts w:ascii="Times New Roman" w:hAnsi="Times New Roman"/>
          <w:color w:val="000000"/>
          <w:sz w:val="20"/>
          <w:u w:val="single"/>
        </w:rPr>
        <w:t>Filings, Consents and Approvals</w:t>
      </w:r>
      <w:r>
        <w:rPr>
          <w:rFonts w:ascii="Times New Roman" w:hAnsi="Times New Roman"/>
          <w:color w:val="000000"/>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Warrant Shares for trading thereon in the time and manner required thereby, and (iii) the filing of Form D with the Commission and such filings as are required to be made under applicable state securities laws.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4911-9606-4978, v.11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77159608.1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Listing of Common Stock</w:t>
      </w:r>
      <w:r>
        <w:rPr>
          <w:rFonts w:ascii="Times New Roman" w:hAnsi="Times New Roman"/>
          <w:color w:val="000000"/>
          <w:sz w:val="20"/>
        </w:rPr>
        <w:t>. The Company hereby agrees to use commercially reasonable efforts to maintain the listing or quotation of the Common Stock on the Trading Market on which it is currently listed, and concurrently with the closing, the Company shall apply to list or quote all of the New Warrant Shares on such Trading Market and promptly secure the listing of all of the New Warrant Shares on such Trading Market. The Company further agrees, if the Company applies to have the Common Stock traded on any other Trading Market, it will then include in such application all of the New Warrant Shares, and will take such other action as is necessary to cause all of the New Warrant Shares to be listed or quoted on such other Trading Market as promptly as possible. The Company will then use commercially reasonable efforts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jc w:val="both"/>
        <w:rPr>
          <w:rFonts w:ascii="Times New Roman" w:hAnsi="Times New Roman"/>
          <w:sz w:val="20"/>
        </w:rPr>
      </w:pPr>
      <w:r>
        <w:rPr>
          <w:rFonts w:ascii="Times New Roman" w:hAnsi="Times New Roman"/>
          <w:color w:val="000000"/>
          <w:sz w:val="20"/>
          <w:u w:val="single"/>
        </w:rPr>
        <w:t>Form D; Blue Sky Filings</w:t>
      </w:r>
      <w:r>
        <w:rPr>
          <w:rFonts w:ascii="Times New Roman" w:hAnsi="Times New Roman"/>
          <w:color w:val="000000"/>
          <w:sz w:val="20"/>
        </w:rPr>
        <w:t>. If required, the Company agrees to timely file a Form D with respect to the New Warrant and New Warrant Shares as required under Regulation D and to provide a copy thereof, promptly upon request of any Holder. The Company shall take such action as the Company shall reasonably determine is necessary in order to obtain an exemption for, or to qualify the New Warrant and New Warrant Shares for, sale to the Holder at Closing under applicable securities or “Blue Sky” laws of the states of the United States, and shall provide evidence of such actions promptly upon request of any Holder.</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4911-9606-4978, v.11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77159608.1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Annex B</w:t>
      </w:r>
    </w:p>
    <w:p>
      <w:pPr>
        <w:pStyle w:val="TextBody"/>
        <w:bidi w:val="0"/>
        <w:spacing w:before="0" w:after="160"/>
        <w:jc w:val="center"/>
        <w:rPr/>
      </w:pPr>
      <w:r>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[Form of New Warrant]</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4911-9606-4978, v.11</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77159608.1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dcoy-ex99_1.htm"/>
      <w:bookmarkStart w:id="7" w:name="ksdcoyex99_1"/>
      <w:bookmarkEnd w:id="6"/>
      <w:bookmarkEnd w:id="7"/>
      <w:r>
        <w:rPr>
          <w:rFonts w:ascii="Times New Roman" w:hAnsi="Times New Roman"/>
          <w:b/>
          <w:color w:val="000000"/>
          <w:sz w:val="20"/>
        </w:rPr>
        <w:t>Exhibit 99.1</w:t>
      </w:r>
      <w:r>
        <w:br w:type="page"/>
      </w:r>
    </w:p>
    <w:p>
      <w:pPr>
        <w:pStyle w:val="TextBody"/>
        <w:bidi w:val="0"/>
        <w:jc w:val="left"/>
        <w:rPr/>
      </w:pPr>
      <w:r>
        <w:rPr/>
        <w:drawing>
          <wp:inline distT="0" distB="0" distL="0" distR="0">
            <wp:extent cx="27908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90825" cy="7239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Decoy Therapeutics, Inc. Announces a Warrant Inducement Transaction for $3.85 Million in Gross Proceeds Priced At-The-Market under Nasdaq Rules</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 xml:space="preserve">Houston, TX., September 22, 2026 – </w:t>
      </w:r>
      <w:r>
        <w:rPr>
          <w:rFonts w:ascii="Times New Roman" w:hAnsi="Times New Roman"/>
          <w:b/>
          <w:color w:val="000000"/>
          <w:sz w:val="24"/>
        </w:rPr>
        <w:t>Decoy Therapeutics, Inc. (NASDAQ: DCOY)</w:t>
      </w:r>
      <w:r>
        <w:rPr>
          <w:rFonts w:ascii="Times New Roman" w:hAnsi="Times New Roman"/>
          <w:color w:val="000000"/>
          <w:sz w:val="24"/>
        </w:rPr>
        <w:t xml:space="preserve"> (“the Company” or “Decoy”), a biotechnology company pioneering Designable Multi-Antivirals (D-MAVs(TM)), a new category of antivirals engineered to target shared viral mechanisms conserved across virus families, today announced its entry into a warrant inducement agreement with an existing institutional investor of the Company for the immediate exercise of the Series B Milestone Warrants to purchase shares of the Company’s common stock, for a total of 1,184,434 warrants (the “Existing Warrants”). The Existing Warrants were issued on June 29, 2026 and will be exercised at a reduced exercise price of $3.25 per share. In connection with the transaction, the exercise price of the Company’s outstanding Series A Milestone Warrants and Series C Milestone Warrants will also be reduced from $5.91 per share to $3.25 per share. The exercise of the Existing Warrants will result in gross cash proceeds of approximately $3.85 million, before deducting placement agent fees and other transaction expenses. The Company intends to use the net proceeds from the offering for working capital and other general corporate purposes.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consideration for the immediate exercise in full of the Existing Warrants, the investor will receive, in a private placement, new unregistered warrants to purchase up to 2,368,868 shares of the Company’s common stock (the “New Warrants”). The New Warrants will have an exercise price of $3.25 and will be initially exercisable on the date that stockholder approval of the exercise of the New Warrants is obtained. The New Warrants will expire five years from the initial exercise date. The closing of the warrant inducement transaction is expected to occur on or about September 23, 2026, subject to satisfaction of customary closing conditions.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Curvature Securities LLC is acting as the sole placement agent in connection with this warrant inducement transaction.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New Warrants described above were offered in a private placement pursuant to Section 4(a)(2) of the Securities Act of 1933, as amended (the “Securities Act”) and, along with the common stock issuable upon their exercise, have not been registered under the Securities Act, and may not be offered or sold in the United States absent registration with the SEC or an applicable exemption from such registration requirements. The securities were offered only to accredited investors. The Company has agreed to file a registration statement with the SEC covering the resale of common stock issuable upon exercise of the New Warrants.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press release shall not constitute an offer to sell or a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jc w:val="both"/>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77159747.1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rFonts w:ascii="Times New Roman" w:hAnsi="Times New Roman"/>
          <w:b/>
          <w:color w:val="000000"/>
          <w:sz w:val="24"/>
        </w:rPr>
      </w:pPr>
      <w:r>
        <w:rPr>
          <w:rFonts w:ascii="Times New Roman" w:hAnsi="Times New Roman"/>
          <w:b/>
          <w:color w:val="000000"/>
          <w:sz w:val="24"/>
        </w:rPr>
        <w:t>About Decoy Therapeutics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Decoy Therapeutics is a biotechnology company pioneering Designable Multi-Antivirals (D-MAVs), a new category of antivirals engineered to target shared viral mechanisms, enabling a single, adaptable drug to work across multiple viruses. Built on the proprietary IMP(3)ACT platform, which combines AI-assisted design and rapid synthesis, Decoy develops peptide antivirals designed to move faster into the clinic and expand what is possible in viral prevention and treatment. The company's lead candidates target multiple respiratory viruses, addressing the health and societal burden of viral disease.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Forward Looking Statements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press release contains "forward-looking statements" within the meaning of the Private Securities Litigation Reform Act of 1995 regarding Decoy, including expected achievement of milestones for its lead asset and future prospects of Decoy. These statements may discuss goals, intentions and expectations as to future plans, trends, events, results of operations or financial condition, or otherwise, based on current beliefs of the management of Decoy, as well as assumptions made by, and information currently available to, management. Forward-looking statements generally include statements that are predictive in nature and depend upon or refer to future events or conditions, and include words such as "may," "will," "can," "should," "would," "expect," "anticipate," "plan," "likely," "believe," "estimate," "project,"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risk that the Company will not obtain sufficient financing to execute on their business plans and risks related to Decoy's products and development plans, including unanticipated issues with any IND application process and the potential of the IMP(3) ACT(TM) platform. Readers are urged to carefully review and consider the various disclosures made by the Company in its reports filed with the SEC, including its Annual Report on Form 10-K for the fiscal year ended December 31, 2025, as revised or supplemented by its Quarterly Reports on Form 10-Q and other documents filed with the SEC. If one or more of these risks or uncertainties materialize, or if the underlying assumptions prove incorrect, Decoy's actual results may vary materially from those expected or projected.</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77159747.1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 w:name="dcoy-ex99_2.htm"/>
      <w:bookmarkStart w:id="9" w:name="ksdcoyex99_2"/>
      <w:bookmarkEnd w:id="8"/>
      <w:bookmarkEnd w:id="9"/>
      <w:r>
        <w:rPr>
          <w:rFonts w:ascii="Times New Roman" w:hAnsi="Times New Roman"/>
          <w:b/>
          <w:color w:val="000000"/>
          <w:sz w:val="20"/>
        </w:rPr>
        <w:t>Exhibit 99.2</w:t>
      </w:r>
      <w:r>
        <w:br w:type="page"/>
      </w:r>
    </w:p>
    <w:p>
      <w:pPr>
        <w:pStyle w:val="TextBody"/>
        <w:bidi w:val="0"/>
        <w:jc w:val="left"/>
        <w:rPr/>
      </w:pPr>
      <w:r>
        <w:rPr/>
        <w:drawing>
          <wp:inline distT="0" distB="0" distL="0" distR="0">
            <wp:extent cx="2790825"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90825" cy="7239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Decoy Therapeutics, Inc. Issues Correction to Warrant Inducement Transaction Press Release</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 xml:space="preserve">Houston, TX., September 22, 2026 – </w:t>
      </w:r>
      <w:r>
        <w:rPr>
          <w:rFonts w:ascii="Times New Roman" w:hAnsi="Times New Roman"/>
          <w:b/>
          <w:color w:val="000000"/>
          <w:sz w:val="24"/>
        </w:rPr>
        <w:t>Decoy Therapeutics, Inc. (NASDAQ: DCOY)</w:t>
      </w:r>
      <w:r>
        <w:rPr>
          <w:rFonts w:ascii="Times New Roman" w:hAnsi="Times New Roman"/>
          <w:color w:val="000000"/>
          <w:sz w:val="24"/>
        </w:rPr>
        <w:t xml:space="preserve"> (the “Company” or “Decoy”), today issued a correction to its press release dated September 22, 2026 announcing the Company’s warrant inducement transaction.</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original press release incorrectly stated that the new unregistered warrants to purchase up to 2,368,868 shares of the Company’s common stock to be issued in connection with the transaction (the “New Warrants”) would become exercisable upon receipt of stockholder approval.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New Warrants are not subject to stockholder approval and will become exercisable immediately upon issuance. The New Warrants will expire five years from the date of issuance..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All other information contained in the original press release remains unchanged.</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About Decoy Therapeutics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Decoy Therapeutics is a biotechnology company pioneering Designable Multi-Antivirals (D-MAVs), a new category of antivirals engineered to target shared viral mechanisms, enabling a single, adaptable drug to work across multiple viruses. Built on the proprietary IMP(3)ACT platform, which combines AI-assisted design and rapid synthesis, Decoy develops peptide antivirals designed to move faster into the clinic and expand what is possible in viral prevention and treatment. The company's lead candidates target multiple respiratory viruses, addressing the health and societal burden of viral disease.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Forward Looking Statements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This press release contains "forward-looking statements" within the meaning of the Private Securities Litigation Reform Act of 1995 regarding Decoy, including expected achievement of milestones for its lead asset and future prospects of Decoy. These statements may discuss goals, intentions and expectations as to future plans, trends, events, results of operations or financial condition, or otherwise, based on current beliefs of the management of Decoy, as well as assumptions made by, and information currently available to, management. Forward-looking statements generally include statements that are predictive in nature and depend upon or refer to future events or conditions, and include words such as "may," "will," "can," "should," "would," "expect," "anticipate," "plan," "likely," "believe," "estimate," "project,"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99.2</w:t>
      </w:r>
    </w:p>
    <w:p>
      <w:pPr>
        <w:pStyle w:val="TextBody"/>
        <w:bidi w:val="0"/>
        <w:jc w:val="left"/>
        <w:rPr>
          <w:rFonts w:ascii="Times New Roman" w:hAnsi="Times New Roman"/>
          <w:color w:val="000000"/>
          <w:sz w:val="24"/>
        </w:rPr>
      </w:pPr>
      <w:r>
        <w:rPr>
          <w:rFonts w:ascii="Times New Roman" w:hAnsi="Times New Roman"/>
          <w:color w:val="000000"/>
          <w:sz w:val="24"/>
        </w:rPr>
        <w:t>materially from those contained in any forward-looking statement as a result of various factors, including, without limitation: the risk that the Company will not obtain sufficient financing to execute on their business plans and risks related to Decoy's products and development plans, including unanticipated issues with any IND application process and the potential of the IMP(3) ACT(TM) platform. Readers are urged to carefully review and consider the various disclosures made by the Company in its reports filed with the SEC, including its Annual Report on Form 10-K for the fiscal year ended December 31, 2025, as revised or supplemented by its Quarterly Reports on Form 10-Q and other documents filed with the SEC. If one or more of these risks or uncertainties materialize, or if the underlying assumptions prove incorrect, Decoy's actual results may vary materially from those expected or projected.</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17636</Words>
  <Characters>93024</Characters>
  <CharactersWithSpaces>110528</CharactersWithSpaces>
  <Paragraphs>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