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8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1" w:lineRule="exact"/>
        <w:rPr>
          <w:sz w:val="24"/>
          <w:szCs w:val="24"/>
          <w:color w:val="auto"/>
        </w:rPr>
      </w:pPr>
    </w:p>
    <w:p>
      <w:pPr>
        <w:ind w:left="3900" w:right="2100" w:hanging="3861"/>
        <w:spacing w:after="0" w:line="286" w:lineRule="auto"/>
        <w:tabs>
          <w:tab w:leader="none" w:pos="363"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June 30,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1"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6" w:lineRule="exact"/>
        <w:rPr>
          <w:sz w:val="24"/>
          <w:szCs w:val="24"/>
          <w:color w:val="auto"/>
        </w:rPr>
      </w:pPr>
    </w:p>
    <w:p>
      <w:pPr>
        <w:ind w:left="3620"/>
        <w:spacing w:after="0"/>
        <w:tabs>
          <w:tab w:leader="none" w:pos="7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86"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3120" w:type="dxa"/>
            <w:vAlign w:val="bottom"/>
          </w:tcPr>
          <w:p>
            <w:pPr>
              <w:jc w:val="center"/>
              <w:ind w:right="1208"/>
              <w:spacing w:after="0"/>
              <w:rPr>
                <w:sz w:val="20"/>
                <w:szCs w:val="20"/>
                <w:color w:val="auto"/>
              </w:rPr>
            </w:pPr>
            <w:r>
              <w:rPr>
                <w:rFonts w:ascii="Arial" w:cs="Arial" w:eastAsia="Arial" w:hAnsi="Arial"/>
                <w:sz w:val="14"/>
                <w:szCs w:val="14"/>
                <w:b w:val="1"/>
                <w:bCs w:val="1"/>
                <w:color w:val="auto"/>
              </w:rPr>
              <w:t>Delaware</w:t>
            </w:r>
          </w:p>
        </w:tc>
        <w:tc>
          <w:tcPr>
            <w:tcW w:w="2640" w:type="dxa"/>
            <w:vAlign w:val="bottom"/>
          </w:tcPr>
          <w:p>
            <w:pPr>
              <w:jc w:val="center"/>
              <w:ind w:left="1168"/>
              <w:spacing w:after="0"/>
              <w:rPr>
                <w:sz w:val="20"/>
                <w:szCs w:val="20"/>
                <w:color w:val="auto"/>
              </w:rPr>
            </w:pPr>
            <w:r>
              <w:rPr>
                <w:rFonts w:ascii="Arial" w:cs="Arial" w:eastAsia="Arial" w:hAnsi="Arial"/>
                <w:sz w:val="14"/>
                <w:szCs w:val="14"/>
                <w:b w:val="1"/>
                <w:bCs w:val="1"/>
                <w:color w:val="auto"/>
              </w:rPr>
              <w:t>46-5087339</w:t>
            </w:r>
          </w:p>
        </w:tc>
      </w:tr>
      <w:tr>
        <w:trPr>
          <w:trHeight w:val="165"/>
        </w:trPr>
        <w:tc>
          <w:tcPr>
            <w:tcW w:w="3120" w:type="dxa"/>
            <w:vAlign w:val="bottom"/>
          </w:tcPr>
          <w:p>
            <w:pPr>
              <w:jc w:val="center"/>
              <w:ind w:right="1208"/>
              <w:spacing w:after="0"/>
              <w:rPr>
                <w:sz w:val="20"/>
                <w:szCs w:val="20"/>
                <w:color w:val="auto"/>
              </w:rPr>
            </w:pPr>
            <w:r>
              <w:rPr>
                <w:rFonts w:ascii="Arial" w:cs="Arial" w:eastAsia="Arial" w:hAnsi="Arial"/>
                <w:sz w:val="14"/>
                <w:szCs w:val="14"/>
                <w:color w:val="auto"/>
              </w:rPr>
              <w:t>(State or other jurisdiction of</w:t>
            </w:r>
          </w:p>
        </w:tc>
        <w:tc>
          <w:tcPr>
            <w:tcW w:w="2640" w:type="dxa"/>
            <w:vAlign w:val="bottom"/>
          </w:tcPr>
          <w:p>
            <w:pPr>
              <w:jc w:val="center"/>
              <w:ind w:left="1188"/>
              <w:spacing w:after="0"/>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88"/>
              <w:spacing w:after="0"/>
              <w:rPr>
                <w:sz w:val="20"/>
                <w:szCs w:val="20"/>
                <w:color w:val="auto"/>
              </w:rPr>
            </w:pPr>
            <w:r>
              <w:rPr>
                <w:rFonts w:ascii="Arial" w:cs="Arial" w:eastAsia="Arial" w:hAnsi="Arial"/>
                <w:sz w:val="14"/>
                <w:szCs w:val="14"/>
                <w:color w:val="auto"/>
              </w:rPr>
              <w:t>incorporation or organization)</w:t>
            </w:r>
          </w:p>
        </w:tc>
        <w:tc>
          <w:tcPr>
            <w:tcW w:w="2640" w:type="dxa"/>
            <w:vAlign w:val="bottom"/>
          </w:tcPr>
          <w:p>
            <w:pPr>
              <w:jc w:val="center"/>
              <w:ind w:left="1168"/>
              <w:spacing w:after="0"/>
              <w:rPr>
                <w:sz w:val="20"/>
                <w:szCs w:val="20"/>
                <w:color w:val="auto"/>
              </w:rPr>
            </w:pPr>
            <w:r>
              <w:rPr>
                <w:rFonts w:ascii="Arial" w:cs="Arial" w:eastAsia="Arial" w:hAnsi="Arial"/>
                <w:sz w:val="14"/>
                <w:szCs w:val="14"/>
                <w:color w:val="auto"/>
              </w:rPr>
              <w:t>Identification Number)</w:t>
            </w:r>
          </w:p>
        </w:tc>
      </w:tr>
    </w:tbl>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(832)834-6992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54610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276"/>
        </w:trPr>
        <w:tc>
          <w:tcPr>
            <w:tcW w:w="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20" w:type="dxa"/>
            <w:vAlign w:val="bottom"/>
          </w:tcPr>
          <w:p>
            <w:pPr>
              <w:spacing w:after="0"/>
              <w:rPr>
                <w:sz w:val="17"/>
                <w:szCs w:val="17"/>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color w:val="auto"/>
              </w:rPr>
              <w:t>SLRX</w:t>
            </w:r>
          </w:p>
        </w:tc>
        <w:tc>
          <w:tcPr>
            <w:tcW w:w="400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22"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spacing w:after="0" w:line="161" w:lineRule="exact"/>
        <w:tabs>
          <w:tab w:leader="none" w:pos="200" w:val="left"/>
          <w:tab w:leader="none" w:pos="260" w:val="left"/>
          <w:tab w:leader="none" w:pos="180" w:val="left"/>
          <w:tab w:leader="none" w:pos="440" w:val="left"/>
          <w:tab w:leader="none" w:pos="340" w:val="left"/>
          <w:tab w:leader="none" w:pos="280" w:val="left"/>
          <w:tab w:leader="none" w:pos="160" w:val="left"/>
          <w:tab w:leader="none" w:pos="380" w:val="left"/>
          <w:tab w:leader="none" w:pos="2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8"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2"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August 7, 2020, there were 19,820,361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r>
      <w:tr>
        <w:trPr>
          <w:trHeight w:val="527"/>
        </w:trPr>
        <w:tc>
          <w:tcPr>
            <w:tcW w:w="140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Information</w:t>
              </w:r>
            </w:hyperlink>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r>
      <w:tr>
        <w:trPr>
          <w:trHeight w:val="189"/>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Borders>
              <w:bottom w:val="single" w:sz="8" w:color="0000FF"/>
            </w:tcBorders>
            <w:gridSpan w:val="2"/>
          </w:tcPr>
          <w:p>
            <w:pPr>
              <w:spacing w:after="0" w:line="189"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Balance Sheets</w:t>
              </w:r>
            </w:hyperlink>
          </w:p>
        </w:tc>
        <w:tc>
          <w:tcPr>
            <w:tcW w:w="5360" w:type="dxa"/>
            <w:vAlign w:val="bottom"/>
            <w:gridSpan w:val="3"/>
          </w:tcPr>
          <w:p>
            <w:pPr>
              <w:spacing w:after="0"/>
              <w:rPr>
                <w:sz w:val="16"/>
                <w:szCs w:val="16"/>
                <w:color w:val="auto"/>
              </w:rPr>
            </w:pPr>
          </w:p>
        </w:tc>
        <w:tc>
          <w:tcPr>
            <w:tcW w:w="700" w:type="dxa"/>
            <w:vAlign w:val="bottom"/>
          </w:tcPr>
          <w:p>
            <w:pPr>
              <w:jc w:val="right"/>
              <w:spacing w:after="0" w:line="189"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20" w:type="dxa"/>
            <w:vAlign w:val="bottom"/>
          </w:tcPr>
          <w:p>
            <w:pPr>
              <w:spacing w:after="0"/>
              <w:rPr>
                <w:sz w:val="16"/>
                <w:szCs w:val="16"/>
                <w:color w:val="auto"/>
              </w:rPr>
            </w:pPr>
          </w:p>
        </w:tc>
      </w:tr>
      <w:tr>
        <w:trPr>
          <w:trHeight w:val="250"/>
        </w:trPr>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700" w:type="dxa"/>
            <w:vAlign w:val="bottom"/>
            <w:gridSpan w:val="5"/>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20" w:type="dxa"/>
            <w:vAlign w:val="bottom"/>
          </w:tcPr>
          <w:p>
            <w:pPr>
              <w:spacing w:after="0"/>
              <w:rPr>
                <w:sz w:val="21"/>
                <w:szCs w:val="21"/>
                <w:color w:val="auto"/>
              </w:rPr>
            </w:pPr>
          </w:p>
        </w:tc>
      </w:tr>
      <w:tr>
        <w:trPr>
          <w:trHeight w:val="189"/>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80" w:type="dxa"/>
            <w:vAlign w:val="bottom"/>
            <w:tcBorders>
              <w:bottom w:val="single" w:sz="8" w:color="0000FF"/>
            </w:tcBorders>
            <w:gridSpan w:val="3"/>
          </w:tcPr>
          <w:p>
            <w:pP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Cash Flows</w:t>
              </w:r>
            </w:hyperlink>
          </w:p>
        </w:tc>
        <w:tc>
          <w:tcPr>
            <w:tcW w:w="4520" w:type="dxa"/>
            <w:vAlign w:val="bottom"/>
            <w:gridSpan w:val="2"/>
          </w:tcPr>
          <w:p>
            <w:pPr>
              <w:spacing w:after="0"/>
              <w:rPr>
                <w:sz w:val="16"/>
                <w:szCs w:val="16"/>
                <w:color w:val="auto"/>
              </w:rPr>
            </w:pPr>
          </w:p>
        </w:tc>
        <w:tc>
          <w:tcPr>
            <w:tcW w:w="700" w:type="dxa"/>
            <w:vAlign w:val="bottom"/>
          </w:tcPr>
          <w:p>
            <w:pPr>
              <w:jc w:val="right"/>
              <w:spacing w:after="0" w:line="189"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20" w:type="dxa"/>
            <w:vAlign w:val="bottom"/>
          </w:tcPr>
          <w:p>
            <w:pPr>
              <w:spacing w:after="0"/>
              <w:rPr>
                <w:sz w:val="16"/>
                <w:szCs w:val="16"/>
                <w:color w:val="auto"/>
              </w:rPr>
            </w:pPr>
          </w:p>
        </w:tc>
      </w:tr>
      <w:tr>
        <w:trPr>
          <w:trHeight w:val="210"/>
        </w:trPr>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00" w:type="dxa"/>
            <w:vAlign w:val="bottom"/>
            <w:gridSpan w:val="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Statements </w:t>
              </w:r>
              <w:r>
                <w:rPr>
                  <w:rFonts w:ascii="Arial" w:cs="Arial" w:eastAsia="Arial" w:hAnsi="Arial"/>
                  <w:sz w:val="18"/>
                  <w:szCs w:val="18"/>
                  <w:u w:val="single" w:color="auto"/>
                  <w:color w:val="0000FF"/>
                </w:rPr>
                <w:t>of Stockholders' Equity</w:t>
              </w:r>
            </w:hyperlink>
          </w:p>
        </w:tc>
        <w:tc>
          <w:tcPr>
            <w:tcW w:w="7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2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Condensed Consolidated Financial Statements</w:t>
              </w:r>
            </w:hyperlink>
          </w:p>
        </w:tc>
        <w:tc>
          <w:tcPr>
            <w:tcW w:w="4220" w:type="dxa"/>
            <w:vAlign w:val="bottom"/>
          </w:tcPr>
          <w:p>
            <w:pPr>
              <w:spacing w:after="0"/>
              <w:rPr>
                <w:sz w:val="18"/>
                <w:szCs w:val="18"/>
                <w:color w:val="auto"/>
              </w:rPr>
            </w:pPr>
          </w:p>
        </w:tc>
        <w:tc>
          <w:tcPr>
            <w:tcW w:w="7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c>
          <w:tcPr>
            <w:tcW w:w="20" w:type="dxa"/>
            <w:vAlign w:val="bottom"/>
          </w:tcPr>
          <w:p>
            <w:pPr>
              <w:spacing w:after="0"/>
              <w:rPr>
                <w:sz w:val="18"/>
                <w:szCs w:val="18"/>
                <w:color w:val="auto"/>
              </w:rPr>
            </w:pPr>
          </w:p>
        </w:tc>
      </w:tr>
      <w:tr>
        <w:trPr>
          <w:trHeight w:val="250"/>
        </w:trPr>
        <w:tc>
          <w:tcPr>
            <w:tcW w:w="1400" w:type="dxa"/>
            <w:vAlign w:val="bottom"/>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2.</w:t>
              </w:r>
            </w:hyperlink>
          </w:p>
        </w:tc>
        <w:tc>
          <w:tcPr>
            <w:tcW w:w="420" w:type="dxa"/>
            <w:vAlign w:val="bottom"/>
          </w:tcPr>
          <w:p>
            <w:pPr>
              <w:spacing w:after="0"/>
              <w:rPr>
                <w:sz w:val="21"/>
                <w:szCs w:val="21"/>
                <w:color w:val="auto"/>
              </w:rPr>
            </w:pPr>
          </w:p>
        </w:tc>
        <w:tc>
          <w:tcPr>
            <w:tcW w:w="8700" w:type="dxa"/>
            <w:vAlign w:val="bottom"/>
            <w:gridSpan w:val="5"/>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c>
          <w:tcPr>
            <w:tcW w:w="20" w:type="dxa"/>
            <w:vAlign w:val="bottom"/>
          </w:tcPr>
          <w:p>
            <w:pPr>
              <w:spacing w:after="0"/>
              <w:rPr>
                <w:sz w:val="21"/>
                <w:szCs w:val="21"/>
                <w:color w:val="auto"/>
              </w:rPr>
            </w:pPr>
          </w:p>
        </w:tc>
      </w:tr>
      <w:tr>
        <w:trPr>
          <w:trHeight w:val="230"/>
        </w:trPr>
        <w:tc>
          <w:tcPr>
            <w:tcW w:w="1400" w:type="dxa"/>
            <w:vAlign w:val="bottom"/>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3.</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Quantitative and Qualitative Disclosures about Market Risk</w:t>
              </w:r>
            </w:hyperlink>
          </w:p>
        </w:tc>
        <w:tc>
          <w:tcPr>
            <w:tcW w:w="7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4.</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Controls and Procedures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r>
      <w:tr>
        <w:trPr>
          <w:trHeight w:val="540"/>
        </w:trPr>
        <w:tc>
          <w:tcPr>
            <w:tcW w:w="1400" w:type="dxa"/>
            <w:vAlign w:val="bottom"/>
          </w:tcPr>
          <w:p>
            <w:pPr>
              <w:ind w:left="20"/>
              <w:spacing w:after="0"/>
              <w:rPr>
                <w:rFonts w:ascii="Arial" w:cs="Arial" w:eastAsia="Arial" w:hAnsi="Arial"/>
                <w:sz w:val="18"/>
                <w:szCs w:val="18"/>
                <w:color w:val="0000FF"/>
              </w:rPr>
            </w:pPr>
            <w:hyperlink w:anchor="page25">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Other Information</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Legal Proceedings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20" w:type="dxa"/>
            <w:vAlign w:val="bottom"/>
          </w:tcPr>
          <w:p>
            <w:pPr>
              <w:spacing w:after="0"/>
              <w:rPr>
                <w:sz w:val="19"/>
                <w:szCs w:val="19"/>
                <w:color w:val="auto"/>
              </w:rPr>
            </w:pPr>
          </w:p>
        </w:tc>
      </w:tr>
      <w:tr>
        <w:trPr>
          <w:trHeight w:val="230"/>
        </w:trPr>
        <w:tc>
          <w:tcPr>
            <w:tcW w:w="140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1A.</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20" w:type="dxa"/>
            <w:vAlign w:val="bottom"/>
          </w:tcPr>
          <w:p>
            <w:pPr>
              <w:spacing w:after="0"/>
              <w:rPr>
                <w:sz w:val="19"/>
                <w:szCs w:val="19"/>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6.</w:t>
              </w:r>
            </w:hyperlink>
          </w:p>
        </w:tc>
        <w:tc>
          <w:tcPr>
            <w:tcW w:w="9120" w:type="dxa"/>
            <w:vAlign w:val="bottom"/>
            <w:gridSpan w:val="6"/>
          </w:tcPr>
          <w:p>
            <w:pPr>
              <w:ind w:left="2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Exhibits</w:t>
              </w:r>
            </w:hyperlink>
          </w:p>
        </w:tc>
        <w:tc>
          <w:tcPr>
            <w:tcW w:w="7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c>
          <w:tcPr>
            <w:tcW w:w="20" w:type="dxa"/>
            <w:vAlign w:val="bottom"/>
          </w:tcPr>
          <w:p>
            <w:pPr>
              <w:spacing w:after="0"/>
              <w:rPr>
                <w:sz w:val="19"/>
                <w:szCs w:val="19"/>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SIGNATURES</w:t>
              </w:r>
            </w:hyperlink>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70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32</w:t>
              </w:r>
            </w:hyperlink>
          </w:p>
        </w:tc>
        <w:tc>
          <w:tcPr>
            <w:tcW w:w="20" w:type="dxa"/>
            <w:vAlign w:val="bottom"/>
          </w:tcPr>
          <w:p>
            <w:pPr>
              <w:spacing w:after="0"/>
              <w:rPr>
                <w:sz w:val="19"/>
                <w:szCs w:val="19"/>
                <w:color w:val="auto"/>
              </w:rPr>
            </w:pPr>
          </w:p>
        </w:tc>
      </w:tr>
      <w:tr>
        <w:trPr>
          <w:trHeight w:val="1235"/>
        </w:trPr>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i w:val="1"/>
          <w:iCs w:val="1"/>
          <w:color w:val="auto"/>
        </w:rPr>
        <w:t>The information in this Quarterly Report on Form 10-Q, including the information incorporated herein by reference, include forward-looking statements within the meaning of Section 27A of the Securities Act of 1933, as amended (the "Securities Act"), and Section 21E of the Securities Exchange Act of 1934, as amended (the “Exchange Act”).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ability of seclidemstat to demonstrate drug activity the nature, strategy and focus of the Company; the development and commercial potential of any product candidates; the Company's ability to regain and maintain compliance with Nasdaq's continued listing standards; the Company’s expectations as to revenue, cash flow, and expenses; critical accounting policies; the potential impact of the COVID-19 pandemic on the Company’s business, operations, cash flow and ability to obtain additional financing; the sufficiency of the Company's cash on hand for future operating and capital requirements; the Company's liquidity position, future capital requirements, and need for, and ability to secure, additional financing; the ability of the Company to access additional financing under the Grant Contract with Cancer Prevention and Research Institute of Texas; and the Company's operating losses and ability to continue as a going concern. These forward-looking statements are based on current expectations and beliefs and involve numerous risks and uncertainties, including those discussed under “Part I — Item 1A — Risk Factors,” in our Annual Report on Form 10-K for the year ended December 31, 2019,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63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PART I - FINANCIAL INFORMATION</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140" w:type="dxa"/>
            <w:vAlign w:val="bottom"/>
          </w:tcPr>
          <w:p>
            <w:pPr>
              <w:spacing w:after="0"/>
              <w:rPr>
                <w:sz w:val="24"/>
                <w:szCs w:val="24"/>
                <w:color w:val="auto"/>
              </w:rPr>
            </w:pPr>
          </w:p>
        </w:tc>
        <w:tc>
          <w:tcPr>
            <w:tcW w:w="63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SALARIUS PHARMACEUTICALS, INC.</w:t>
            </w: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40" w:type="dxa"/>
            <w:vAlign w:val="bottom"/>
            <w:gridSpan w:val="2"/>
          </w:tcPr>
          <w:p>
            <w:pPr>
              <w:jc w:val="center"/>
              <w:ind w:left="21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3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3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7,222,798</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3,738,900</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Grants receivable from CPRIT</w:t>
            </w:r>
          </w:p>
        </w:tc>
        <w:tc>
          <w:tcPr>
            <w:tcW w:w="4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1,834,439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339,883</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955,899</w:t>
            </w: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9,397,120</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4,694,799</w:t>
            </w: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18,762</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65"/>
        </w:trPr>
        <w:tc>
          <w:tcPr>
            <w:tcW w:w="1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Arial" w:cs="Arial" w:eastAsia="Arial" w:hAnsi="Arial"/>
                <w:sz w:val="20"/>
                <w:szCs w:val="20"/>
                <w:color w:val="auto"/>
              </w:rPr>
              <w:t>8,865,909</w:t>
            </w:r>
          </w:p>
        </w:tc>
        <w:tc>
          <w:tcPr>
            <w:tcW w:w="0" w:type="dxa"/>
            <w:vAlign w:val="bottom"/>
          </w:tcPr>
          <w:p>
            <w:pPr>
              <w:spacing w:after="0"/>
              <w:rPr>
                <w:sz w:val="1"/>
                <w:szCs w:val="1"/>
                <w:color w:val="auto"/>
              </w:rPr>
            </w:pPr>
          </w:p>
        </w:tc>
      </w:tr>
      <w:tr>
        <w:trPr>
          <w:trHeight w:val="255"/>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3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279,768</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308,674</w:t>
            </w:r>
          </w:p>
        </w:tc>
        <w:tc>
          <w:tcPr>
            <w:tcW w:w="0" w:type="dxa"/>
            <w:vAlign w:val="bottom"/>
          </w:tcPr>
          <w:p>
            <w:pPr>
              <w:spacing w:after="0"/>
              <w:rPr>
                <w:sz w:val="1"/>
                <w:szCs w:val="1"/>
                <w:color w:val="auto"/>
              </w:rPr>
            </w:pPr>
          </w:p>
        </w:tc>
      </w:tr>
      <w:tr>
        <w:trPr>
          <w:trHeight w:val="257"/>
        </w:trPr>
        <w:tc>
          <w:tcPr>
            <w:tcW w:w="1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3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18,561,559</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1,150,106</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1,790,966</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459,152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160,783</w:t>
            </w: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4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502,332</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541,701</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Warrant liability</w:t>
            </w:r>
          </w:p>
        </w:tc>
        <w:tc>
          <w:tcPr>
            <w:tcW w:w="4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97,327</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317,762</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w w:val="97"/>
              </w:rPr>
              <w:t>Total liabilities</w:t>
            </w:r>
          </w:p>
        </w:tc>
        <w:tc>
          <w:tcPr>
            <w:tcW w:w="6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1,706,585</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3,313,544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6)</w:t>
            </w: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44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4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14,641,326 and</w:t>
            </w: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4,519,533 shares issued at June 30, 2020 and December 31, 2019, and 14,638,008 and</w:t>
            </w:r>
          </w:p>
        </w:tc>
        <w:tc>
          <w:tcPr>
            <w:tcW w:w="440" w:type="dxa"/>
            <w:vAlign w:val="bottom"/>
          </w:tcPr>
          <w:p>
            <w:pPr>
              <w:spacing w:after="0"/>
              <w:rPr>
                <w:sz w:val="15"/>
                <w:szCs w:val="15"/>
                <w:color w:val="auto"/>
              </w:rPr>
            </w:pPr>
          </w:p>
        </w:tc>
        <w:tc>
          <w:tcPr>
            <w:tcW w:w="1320" w:type="dxa"/>
            <w:vAlign w:val="bottom"/>
            <w:vMerge w:val="restart"/>
          </w:tcPr>
          <w:p>
            <w:pPr>
              <w:jc w:val="right"/>
              <w:ind w:right="70"/>
              <w:spacing w:after="0"/>
              <w:rPr>
                <w:sz w:val="20"/>
                <w:szCs w:val="20"/>
                <w:color w:val="auto"/>
              </w:rPr>
            </w:pPr>
            <w:r>
              <w:rPr>
                <w:rFonts w:ascii="Arial" w:cs="Arial" w:eastAsia="Arial" w:hAnsi="Arial"/>
                <w:sz w:val="18"/>
                <w:szCs w:val="18"/>
                <w:color w:val="auto"/>
              </w:rPr>
              <w:t>1,463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restart"/>
          </w:tcPr>
          <w:p>
            <w:pPr>
              <w:jc w:val="right"/>
              <w:ind w:right="7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4,511,174 shares outstanding at June 30, 2020 and December 31, 2019, respectively</w:t>
            </w:r>
          </w:p>
        </w:tc>
        <w:tc>
          <w:tcPr>
            <w:tcW w:w="4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32,798,285</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22,657,103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(15,944,774)</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(12,076,700)</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16,854,974</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10,580,854</w:t>
            </w:r>
          </w:p>
        </w:tc>
        <w:tc>
          <w:tcPr>
            <w:tcW w:w="0" w:type="dxa"/>
            <w:vAlign w:val="bottom"/>
          </w:tcPr>
          <w:p>
            <w:pPr>
              <w:spacing w:after="0"/>
              <w:rPr>
                <w:sz w:val="1"/>
                <w:szCs w:val="1"/>
                <w:color w:val="auto"/>
              </w:rPr>
            </w:pPr>
          </w:p>
        </w:tc>
      </w:tr>
      <w:tr>
        <w:trPr>
          <w:trHeight w:val="25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18,561,559</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w:t>
            </w:r>
          </w:p>
        </w:tc>
        <w:tc>
          <w:tcPr>
            <w:tcW w:w="14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Ended June 30,</w:t>
            </w:r>
          </w:p>
        </w:tc>
        <w:tc>
          <w:tcPr>
            <w:tcW w:w="140" w:type="dxa"/>
            <w:vAlign w:val="bottom"/>
          </w:tcPr>
          <w:p>
            <w:pPr>
              <w:spacing w:after="0"/>
              <w:rPr>
                <w:sz w:val="17"/>
                <w:szCs w:val="17"/>
                <w:color w:val="auto"/>
              </w:rPr>
            </w:pPr>
          </w:p>
        </w:tc>
        <w:tc>
          <w:tcPr>
            <w:tcW w:w="16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Ended June 30,</w:t>
            </w:r>
          </w:p>
        </w:tc>
        <w:tc>
          <w:tcPr>
            <w:tcW w:w="18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Six Months Ended</w:t>
            </w:r>
          </w:p>
        </w:tc>
        <w:tc>
          <w:tcPr>
            <w:tcW w:w="164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6"/>
        </w:trPr>
        <w:tc>
          <w:tcPr>
            <w:tcW w:w="4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1,243,310</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895,778</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2,376,140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1,551,413</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1,443,322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840,144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3,086,693</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1,540,073</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1,700,942</w:t>
            </w:r>
          </w:p>
        </w:tc>
        <w:tc>
          <w:tcPr>
            <w:tcW w:w="1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967,736</w:t>
            </w:r>
          </w:p>
        </w:tc>
        <w:tc>
          <w:tcPr>
            <w:tcW w:w="1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3,559,959</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2,456,226</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3,144,264</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1,807,880</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6,646,652</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3,996,299</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(1,900,954)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(912,102)</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(4,270,512)</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(2,444,886)</w:t>
            </w:r>
          </w:p>
        </w:tc>
        <w:tc>
          <w:tcPr>
            <w:tcW w:w="0" w:type="dxa"/>
            <w:vAlign w:val="bottom"/>
          </w:tcPr>
          <w:p>
            <w:pPr>
              <w:spacing w:after="0"/>
              <w:rPr>
                <w:sz w:val="1"/>
                <w:szCs w:val="1"/>
                <w:color w:val="auto"/>
              </w:rPr>
            </w:pP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(62,635)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220,435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grants and other income</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179,027</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179,027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304</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8,457</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2,976</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19,165</w:t>
            </w:r>
          </w:p>
        </w:tc>
        <w:tc>
          <w:tcPr>
            <w:tcW w:w="0" w:type="dxa"/>
            <w:vAlign w:val="bottom"/>
          </w:tcPr>
          <w:p>
            <w:pPr>
              <w:spacing w:after="0"/>
              <w:rPr>
                <w:sz w:val="1"/>
                <w:szCs w:val="1"/>
                <w:color w:val="auto"/>
              </w:rPr>
            </w:pPr>
          </w:p>
        </w:tc>
      </w:tr>
      <w:tr>
        <w:trPr>
          <w:trHeight w:val="28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(1,784,258)</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(903,645)</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(3,868,074)</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(2,425,721)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(0.13)</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(0.30)</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(0.33)</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number of common shares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color w:val="auto"/>
              </w:rPr>
              <w:t>13,951,283</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vMerge w:val="restart"/>
          </w:tcPr>
          <w:p>
            <w:pPr>
              <w:jc w:val="right"/>
              <w:ind w:right="70"/>
              <w:spacing w:after="0"/>
              <w:rPr>
                <w:sz w:val="20"/>
                <w:szCs w:val="20"/>
                <w:color w:val="auto"/>
              </w:rPr>
            </w:pPr>
            <w:r>
              <w:rPr>
                <w:rFonts w:ascii="Arial" w:cs="Arial" w:eastAsia="Arial" w:hAnsi="Arial"/>
                <w:sz w:val="18"/>
                <w:szCs w:val="18"/>
                <w:color w:val="auto"/>
              </w:rPr>
              <w:t>3,015,807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color w:val="auto"/>
              </w:rPr>
              <w:t>11,743,062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color w:val="auto"/>
              </w:rPr>
              <w:t>2,696,149</w:t>
            </w:r>
          </w:p>
        </w:tc>
        <w:tc>
          <w:tcPr>
            <w:tcW w:w="0" w:type="dxa"/>
            <w:vAlign w:val="bottom"/>
          </w:tcPr>
          <w:p>
            <w:pPr>
              <w:spacing w:after="0"/>
              <w:rPr>
                <w:sz w:val="1"/>
                <w:szCs w:val="1"/>
                <w:color w:val="auto"/>
              </w:rPr>
            </w:pPr>
          </w:p>
        </w:tc>
      </w:tr>
      <w:tr>
        <w:trPr>
          <w:trHeight w:val="217"/>
        </w:trPr>
        <w:tc>
          <w:tcPr>
            <w:tcW w:w="4200" w:type="dxa"/>
            <w:vAlign w:val="bottom"/>
          </w:tcPr>
          <w:p>
            <w:pPr>
              <w:ind w:left="100"/>
              <w:spacing w:after="0"/>
              <w:rPr>
                <w:sz w:val="20"/>
                <w:szCs w:val="20"/>
                <w:color w:val="auto"/>
              </w:rPr>
            </w:pPr>
            <w:r>
              <w:rPr>
                <w:rFonts w:ascii="Arial" w:cs="Arial" w:eastAsia="Arial" w:hAnsi="Arial"/>
                <w:sz w:val="18"/>
                <w:szCs w:val="18"/>
                <w:color w:val="auto"/>
              </w:rPr>
              <w:t>outstanding — basic and diluted</w:t>
            </w: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b w:val="1"/>
                <w:bCs w:val="1"/>
                <w:color w:val="auto"/>
              </w:rPr>
              <w:t>Six Months Ended</w:t>
            </w: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Six Months Ended</w:t>
            </w:r>
          </w:p>
        </w:tc>
      </w:tr>
      <w:tr>
        <w:trPr>
          <w:trHeight w:val="246"/>
        </w:trPr>
        <w:tc>
          <w:tcPr>
            <w:tcW w:w="7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June 30, 2019</w:t>
            </w:r>
          </w:p>
        </w:tc>
      </w:tr>
      <w:tr>
        <w:trPr>
          <w:trHeight w:val="25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(3,868,074)</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(2,425,721)</w:t>
            </w: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Depreciation, amortization and impairment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118,941</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71,314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41,441</w:t>
            </w: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Equity-based service expense</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(220,435)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7"/>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Grants receivable</w:t>
            </w: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20"/>
                <w:szCs w:val="20"/>
                <w:color w:val="auto"/>
              </w:rPr>
              <w:t>(1,834,439)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617,709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(108,034)</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(741,018)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1,008,454</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298,369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(486,641)</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Due to/from related party</w:t>
            </w:r>
          </w:p>
        </w:tc>
        <w:tc>
          <w:tcPr>
            <w:tcW w:w="1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1,256</w:t>
            </w:r>
          </w:p>
        </w:tc>
      </w:tr>
      <w:tr>
        <w:trPr>
          <w:trHeight w:val="250"/>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(541,701)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(1,551,412)</w:t>
            </w:r>
          </w:p>
        </w:tc>
      </w:tr>
      <w:tr>
        <w:trPr>
          <w:trHeight w:val="25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(6,184,809)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(3,401,716)</w:t>
            </w:r>
          </w:p>
        </w:tc>
      </w:tr>
      <w:tr>
        <w:trPr>
          <w:trHeight w:val="135"/>
        </w:trPr>
        <w:tc>
          <w:tcPr>
            <w:tcW w:w="7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spacing w:after="0"/>
              <w:rPr>
                <w:sz w:val="11"/>
                <w:szCs w:val="11"/>
                <w:color w:val="auto"/>
              </w:rPr>
            </w:pPr>
          </w:p>
        </w:tc>
      </w:tr>
      <w:tr>
        <w:trPr>
          <w:trHeight w:val="149"/>
        </w:trPr>
        <w:tc>
          <w:tcPr>
            <w:tcW w:w="7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9,592,325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1,508,179</w:t>
            </w: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Distribution to members</w:t>
            </w: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(99,758)</w:t>
            </w: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578,714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(502,332)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9,668,707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1,408,421</w:t>
            </w:r>
          </w:p>
        </w:tc>
      </w:tr>
      <w:tr>
        <w:trPr>
          <w:trHeight w:val="108"/>
        </w:trPr>
        <w:tc>
          <w:tcPr>
            <w:tcW w:w="7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3,483,898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(1,993,295)</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3,738,900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6,131,781</w:t>
            </w:r>
          </w:p>
        </w:tc>
      </w:tr>
      <w:tr>
        <w:trPr>
          <w:trHeight w:val="28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7,222,798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4,138,486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7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4,275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Accrued issuance costs for public offering</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125,159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shares for license</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110,474</w:t>
            </w: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Conversion of liabilities to equity</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2,869,412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4" w:lineRule="exact"/>
        <w:rPr>
          <w:sz w:val="20"/>
          <w:szCs w:val="20"/>
          <w:color w:val="auto"/>
        </w:rPr>
      </w:pPr>
    </w:p>
    <w:p>
      <w:pPr>
        <w:jc w:val="center"/>
        <w:ind w:left="740" w:right="1960"/>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265" w:lineRule="exact"/>
        <w:rPr>
          <w:sz w:val="20"/>
          <w:szCs w:val="20"/>
          <w:color w:val="auto"/>
        </w:rPr>
      </w:pPr>
    </w:p>
    <w:tbl>
      <w:tblPr>
        <w:tblLayout w:type="fixed"/>
        <w:tblInd w:w="440" w:type="dxa"/>
        <w:tblCellMar>
          <w:top w:w="0" w:type="dxa"/>
          <w:left w:w="0" w:type="dxa"/>
          <w:bottom w:w="0" w:type="dxa"/>
          <w:right w:w="0" w:type="dxa"/>
        </w:tblCellMar>
      </w:tblPr>
      <w:tr>
        <w:trPr>
          <w:trHeight w:val="239"/>
        </w:trPr>
        <w:tc>
          <w:tcPr>
            <w:tcW w:w="1940" w:type="dxa"/>
            <w:vAlign w:val="bottom"/>
          </w:tcPr>
          <w:p>
            <w:pPr>
              <w:spacing w:after="0"/>
              <w:rPr>
                <w:sz w:val="20"/>
                <w:szCs w:val="20"/>
                <w:color w:val="auto"/>
              </w:rPr>
            </w:pPr>
          </w:p>
        </w:tc>
        <w:tc>
          <w:tcPr>
            <w:tcW w:w="2120" w:type="dxa"/>
            <w:vAlign w:val="bottom"/>
            <w:gridSpan w:val="5"/>
          </w:tcPr>
          <w:p>
            <w:pPr>
              <w:ind w:left="360"/>
              <w:spacing w:after="0"/>
              <w:rPr>
                <w:sz w:val="20"/>
                <w:szCs w:val="20"/>
                <w:color w:val="auto"/>
              </w:rPr>
            </w:pPr>
            <w:r>
              <w:rPr>
                <w:rFonts w:ascii="Arial" w:cs="Arial" w:eastAsia="Arial" w:hAnsi="Arial"/>
                <w:sz w:val="18"/>
                <w:szCs w:val="18"/>
                <w:b w:val="1"/>
                <w:bCs w:val="1"/>
                <w:color w:val="auto"/>
              </w:rPr>
              <w:t>Common Stock</w:t>
            </w:r>
          </w:p>
        </w:tc>
        <w:tc>
          <w:tcPr>
            <w:tcW w:w="2200" w:type="dxa"/>
            <w:vAlign w:val="bottom"/>
            <w:gridSpan w:val="4"/>
          </w:tcPr>
          <w:p>
            <w:pPr>
              <w:ind w:left="380"/>
              <w:spacing w:after="0"/>
              <w:rPr>
                <w:sz w:val="20"/>
                <w:szCs w:val="20"/>
                <w:color w:val="auto"/>
              </w:rPr>
            </w:pPr>
            <w:r>
              <w:rPr>
                <w:rFonts w:ascii="Arial" w:cs="Arial" w:eastAsia="Arial" w:hAnsi="Arial"/>
                <w:sz w:val="18"/>
                <w:szCs w:val="18"/>
                <w:b w:val="1"/>
                <w:bCs w:val="1"/>
                <w:color w:val="auto"/>
              </w:rPr>
              <w:t>Preferred Stock</w:t>
            </w:r>
          </w:p>
        </w:tc>
        <w:tc>
          <w:tcPr>
            <w:tcW w:w="12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restart"/>
          </w:tcPr>
          <w:p>
            <w:pPr>
              <w:jc w:val="center"/>
              <w:ind w:right="240"/>
              <w:spacing w:after="0" w:line="166" w:lineRule="exact"/>
              <w:rPr>
                <w:sz w:val="20"/>
                <w:szCs w:val="20"/>
                <w:color w:val="auto"/>
              </w:rPr>
            </w:pPr>
            <w:r>
              <w:rPr>
                <w:rFonts w:ascii="Arial" w:cs="Arial" w:eastAsia="Arial" w:hAnsi="Arial"/>
                <w:sz w:val="18"/>
                <w:szCs w:val="18"/>
                <w:b w:val="1"/>
                <w:bCs w:val="1"/>
                <w:color w:val="auto"/>
                <w:w w:val="99"/>
              </w:rPr>
              <w:t>Paid-In</w:t>
            </w:r>
          </w:p>
        </w:tc>
        <w:tc>
          <w:tcPr>
            <w:tcW w:w="1420" w:type="dxa"/>
            <w:vAlign w:val="bottom"/>
            <w:gridSpan w:val="3"/>
            <w:vMerge w:val="restart"/>
          </w:tcPr>
          <w:p>
            <w:pPr>
              <w:ind w:left="100"/>
              <w:spacing w:after="0" w:line="166" w:lineRule="exact"/>
              <w:rPr>
                <w:sz w:val="20"/>
                <w:szCs w:val="20"/>
                <w:color w:val="auto"/>
              </w:rPr>
            </w:pPr>
            <w:r>
              <w:rPr>
                <w:rFonts w:ascii="Arial" w:cs="Arial" w:eastAsia="Arial" w:hAnsi="Arial"/>
                <w:sz w:val="18"/>
                <w:szCs w:val="18"/>
                <w:b w:val="1"/>
                <w:bCs w:val="1"/>
                <w:color w:val="auto"/>
              </w:rPr>
              <w:t>Accumulated</w:t>
            </w:r>
          </w:p>
        </w:tc>
        <w:tc>
          <w:tcPr>
            <w:tcW w:w="1340" w:type="dxa"/>
            <w:vAlign w:val="bottom"/>
            <w:gridSpan w:val="2"/>
            <w:vMerge w:val="restart"/>
          </w:tcPr>
          <w:p>
            <w:pPr>
              <w:jc w:val="right"/>
              <w:spacing w:after="0" w:line="16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79"/>
        </w:trPr>
        <w:tc>
          <w:tcPr>
            <w:tcW w:w="19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940" w:type="dxa"/>
            <w:vAlign w:val="bottom"/>
          </w:tcPr>
          <w:p>
            <w:pPr>
              <w:spacing w:after="0"/>
              <w:rPr>
                <w:sz w:val="21"/>
                <w:szCs w:val="21"/>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21"/>
                <w:szCs w:val="21"/>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Deficit</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148"/>
        </w:trPr>
        <w:tc>
          <w:tcPr>
            <w:tcW w:w="19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Balance at December</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2,032,763</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3,869,120</w:t>
            </w: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(5,140,437)</w:t>
            </w:r>
          </w:p>
        </w:tc>
        <w:tc>
          <w:tcPr>
            <w:tcW w:w="80" w:type="dxa"/>
            <w:vAlign w:val="bottom"/>
          </w:tcPr>
          <w:p>
            <w:pPr>
              <w:spacing w:after="0"/>
              <w:rPr>
                <w:sz w:val="16"/>
                <w:szCs w:val="16"/>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(1,271,114)</w:t>
            </w: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31, 2018</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Issuance of equity</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960,489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4,377,495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4,377,591</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Issuance of equity</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securities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Arial" w:cs="Arial" w:eastAsia="Arial" w:hAnsi="Arial"/>
                <w:sz w:val="18"/>
                <w:szCs w:val="18"/>
                <w:color w:val="auto"/>
              </w:rPr>
              <w:t>for license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110,473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110,474</w:t>
            </w:r>
          </w:p>
        </w:tc>
        <w:tc>
          <w:tcPr>
            <w:tcW w:w="0" w:type="dxa"/>
            <w:vAlign w:val="bottom"/>
          </w:tcPr>
          <w:p>
            <w:pPr>
              <w:spacing w:after="0"/>
              <w:rPr>
                <w:sz w:val="1"/>
                <w:szCs w:val="1"/>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w:t>
            </w: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35,406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35,407</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(1,522,076)</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(1,522,076)</w:t>
            </w:r>
          </w:p>
        </w:tc>
        <w:tc>
          <w:tcPr>
            <w:tcW w:w="0" w:type="dxa"/>
            <w:vAlign w:val="bottom"/>
          </w:tcPr>
          <w:p>
            <w:pPr>
              <w:spacing w:after="0"/>
              <w:rPr>
                <w:sz w:val="1"/>
                <w:szCs w:val="1"/>
                <w:color w:val="auto"/>
              </w:rPr>
            </w:pPr>
          </w:p>
        </w:tc>
      </w:tr>
      <w:tr>
        <w:trPr>
          <w:trHeight w:val="193"/>
        </w:trPr>
        <w:tc>
          <w:tcPr>
            <w:tcW w:w="1940" w:type="dxa"/>
            <w:vAlign w:val="bottom"/>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Balance at March 31,</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3,015,709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301</w:t>
            </w:r>
          </w:p>
        </w:tc>
        <w:tc>
          <w:tcPr>
            <w:tcW w:w="8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8,392,494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(6,662,513)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1,730,282</w:t>
            </w:r>
          </w:p>
        </w:tc>
        <w:tc>
          <w:tcPr>
            <w:tcW w:w="0" w:type="dxa"/>
            <w:vAlign w:val="bottom"/>
          </w:tcPr>
          <w:p>
            <w:pPr>
              <w:spacing w:after="0"/>
              <w:rPr>
                <w:sz w:val="1"/>
                <w:szCs w:val="1"/>
                <w:color w:val="auto"/>
              </w:rPr>
            </w:pPr>
          </w:p>
        </w:tc>
      </w:tr>
      <w:tr>
        <w:trPr>
          <w:trHeight w:val="24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11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(99,758)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(99,758)</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Equity-based</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Arial" w:cs="Arial" w:eastAsia="Arial" w:hAnsi="Arial"/>
                <w:sz w:val="18"/>
                <w:szCs w:val="18"/>
                <w:color w:val="auto"/>
              </w:rPr>
              <w:t>compensation expense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8,910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6,033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6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(903,645)</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(903,645)</w:t>
            </w:r>
          </w:p>
        </w:tc>
        <w:tc>
          <w:tcPr>
            <w:tcW w:w="0" w:type="dxa"/>
            <w:vAlign w:val="bottom"/>
          </w:tcPr>
          <w:p>
            <w:pPr>
              <w:spacing w:after="0"/>
              <w:rPr>
                <w:sz w:val="1"/>
                <w:szCs w:val="1"/>
                <w:color w:val="auto"/>
              </w:rPr>
            </w:pPr>
          </w:p>
        </w:tc>
      </w:tr>
      <w:tr>
        <w:trPr>
          <w:trHeight w:val="187"/>
        </w:trPr>
        <w:tc>
          <w:tcPr>
            <w:tcW w:w="194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Balance at June 30,</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3,024,619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302</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8,298,769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(7,566,158)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732,913</w:t>
            </w: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4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4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Balance at December</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4,511,174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451</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22,657,103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(12,076,700)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31, 2019</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Issuance of equity</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net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8,353,480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1,246,519</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9,466,206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9,467,166</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converted to common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restart"/>
          </w:tcPr>
          <w:p>
            <w:pPr>
              <w:jc w:val="right"/>
              <w:ind w:right="110"/>
              <w:spacing w:after="0"/>
              <w:rPr>
                <w:sz w:val="20"/>
                <w:szCs w:val="20"/>
                <w:color w:val="auto"/>
              </w:rPr>
            </w:pPr>
            <w:r>
              <w:rPr>
                <w:rFonts w:ascii="Arial" w:cs="Arial" w:eastAsia="Arial" w:hAnsi="Arial"/>
                <w:sz w:val="20"/>
                <w:szCs w:val="20"/>
                <w:color w:val="auto"/>
              </w:rPr>
              <w:t>(777,825)</w:t>
            </w:r>
          </w:p>
        </w:tc>
        <w:tc>
          <w:tcPr>
            <w:tcW w:w="80" w:type="dxa"/>
            <w:vAlign w:val="bottom"/>
          </w:tcPr>
          <w:p>
            <w:pPr>
              <w:spacing w:after="0"/>
              <w:rPr>
                <w:sz w:val="17"/>
                <w:szCs w:val="17"/>
                <w:color w:val="auto"/>
              </w:rPr>
            </w:pPr>
          </w:p>
        </w:tc>
        <w:tc>
          <w:tcPr>
            <w:tcW w:w="940" w:type="dxa"/>
            <w:vAlign w:val="bottom"/>
            <w:vMerge w:val="restart"/>
          </w:tcPr>
          <w:p>
            <w:pPr>
              <w:jc w:val="right"/>
              <w:ind w:right="90"/>
              <w:spacing w:after="0"/>
              <w:rPr>
                <w:sz w:val="20"/>
                <w:szCs w:val="20"/>
                <w:color w:val="auto"/>
              </w:rPr>
            </w:pPr>
            <w:r>
              <w:rPr>
                <w:rFonts w:ascii="Arial" w:cs="Arial" w:eastAsia="Arial" w:hAnsi="Arial"/>
                <w:sz w:val="20"/>
                <w:szCs w:val="20"/>
                <w:color w:val="auto"/>
              </w:rPr>
              <w:t>(78)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Arial" w:cs="Arial" w:eastAsia="Arial" w:hAnsi="Arial"/>
                <w:sz w:val="18"/>
                <w:szCs w:val="18"/>
                <w:color w:val="auto"/>
              </w:rPr>
              <w:t>shares</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777,825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w:t>
            </w: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50"/>
        </w:trPr>
        <w:tc>
          <w:tcPr>
            <w:tcW w:w="19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(2,083,816)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(2,083,816)</w:t>
            </w:r>
          </w:p>
        </w:tc>
        <w:tc>
          <w:tcPr>
            <w:tcW w:w="0" w:type="dxa"/>
            <w:vAlign w:val="bottom"/>
          </w:tcPr>
          <w:p>
            <w:pPr>
              <w:spacing w:after="0"/>
              <w:rPr>
                <w:sz w:val="1"/>
                <w:szCs w:val="1"/>
                <w:color w:val="auto"/>
              </w:rPr>
            </w:pPr>
          </w:p>
        </w:tc>
      </w:tr>
      <w:tr>
        <w:trPr>
          <w:trHeight w:val="193"/>
        </w:trPr>
        <w:tc>
          <w:tcPr>
            <w:tcW w:w="194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Balance at March 31,</w:t>
            </w:r>
          </w:p>
        </w:tc>
        <w:tc>
          <w:tcPr>
            <w:tcW w:w="11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7"/>
              </w:rPr>
              <w:t>13,645,677</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1,364</w:t>
            </w:r>
          </w:p>
        </w:tc>
        <w:tc>
          <w:tcPr>
            <w:tcW w:w="8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468,694</w:t>
            </w: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32,161,718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(14,160,516)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18,002,613</w:t>
            </w:r>
          </w:p>
        </w:tc>
        <w:tc>
          <w:tcPr>
            <w:tcW w:w="0" w:type="dxa"/>
            <w:vAlign w:val="bottom"/>
          </w:tcPr>
          <w:p>
            <w:pPr>
              <w:spacing w:after="0"/>
              <w:rPr>
                <w:sz w:val="1"/>
                <w:szCs w:val="1"/>
                <w:color w:val="auto"/>
              </w:rPr>
            </w:pPr>
          </w:p>
        </w:tc>
      </w:tr>
      <w:tr>
        <w:trPr>
          <w:trHeight w:val="245"/>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exercised for</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503,230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578,664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578,714</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Preferred shares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40" w:type="dxa"/>
            <w:vAlign w:val="bottom"/>
          </w:tcPr>
          <w:p>
            <w:pPr>
              <w:ind w:left="20"/>
              <w:spacing w:after="0" w:line="202" w:lineRule="exact"/>
              <w:rPr>
                <w:sz w:val="20"/>
                <w:szCs w:val="20"/>
                <w:color w:val="auto"/>
              </w:rPr>
            </w:pPr>
            <w:r>
              <w:rPr>
                <w:rFonts w:ascii="Arial" w:cs="Arial" w:eastAsia="Arial" w:hAnsi="Arial"/>
                <w:sz w:val="18"/>
                <w:szCs w:val="18"/>
                <w:color w:val="auto"/>
              </w:rPr>
              <w:t>converted to common</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Arial" w:cs="Arial" w:eastAsia="Arial" w:hAnsi="Arial"/>
                <w:sz w:val="18"/>
                <w:szCs w:val="18"/>
                <w:color w:val="auto"/>
              </w:rPr>
              <w:t>shares</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468,694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(468,694)</w:t>
            </w:r>
          </w:p>
        </w:tc>
        <w:tc>
          <w:tcPr>
            <w:tcW w:w="8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w:t>
            </w: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32,905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32,905</w:t>
            </w:r>
          </w:p>
        </w:tc>
        <w:tc>
          <w:tcPr>
            <w:tcW w:w="0" w:type="dxa"/>
            <w:vAlign w:val="bottom"/>
          </w:tcPr>
          <w:p>
            <w:pPr>
              <w:spacing w:after="0"/>
              <w:rPr>
                <w:sz w:val="1"/>
                <w:szCs w:val="1"/>
                <w:color w:val="auto"/>
              </w:rPr>
            </w:pP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Equity-based services</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40" w:type="dxa"/>
            <w:vAlign w:val="bottom"/>
          </w:tcPr>
          <w:p>
            <w:pPr>
              <w:ind w:left="20"/>
              <w:spacing w:after="0"/>
              <w:rPr>
                <w:sz w:val="20"/>
                <w:szCs w:val="20"/>
                <w:color w:val="auto"/>
              </w:rPr>
            </w:pPr>
            <w:r>
              <w:rPr>
                <w:rFonts w:ascii="Arial" w:cs="Arial" w:eastAsia="Arial" w:hAnsi="Arial"/>
                <w:sz w:val="18"/>
                <w:szCs w:val="18"/>
                <w:color w:val="auto"/>
              </w:rPr>
              <w:t>expense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18,564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24,998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63"/>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(1,784,258)</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(1,784,258)</w:t>
            </w:r>
          </w:p>
        </w:tc>
        <w:tc>
          <w:tcPr>
            <w:tcW w:w="0" w:type="dxa"/>
            <w:vAlign w:val="bottom"/>
          </w:tcPr>
          <w:p>
            <w:pPr>
              <w:spacing w:after="0"/>
              <w:rPr>
                <w:sz w:val="1"/>
                <w:szCs w:val="1"/>
                <w:color w:val="auto"/>
              </w:rPr>
            </w:pPr>
          </w:p>
        </w:tc>
      </w:tr>
      <w:tr>
        <w:trPr>
          <w:trHeight w:val="187"/>
        </w:trPr>
        <w:tc>
          <w:tcPr>
            <w:tcW w:w="1940" w:type="dxa"/>
            <w:vAlign w:val="bottom"/>
          </w:tcPr>
          <w:p>
            <w:pPr>
              <w:ind w:left="20"/>
              <w:spacing w:after="0" w:line="187" w:lineRule="exact"/>
              <w:rPr>
                <w:sz w:val="20"/>
                <w:szCs w:val="20"/>
                <w:color w:val="auto"/>
              </w:rPr>
            </w:pPr>
            <w:r>
              <w:rPr>
                <w:rFonts w:ascii="Arial" w:cs="Arial" w:eastAsia="Arial" w:hAnsi="Arial"/>
                <w:sz w:val="18"/>
                <w:szCs w:val="18"/>
                <w:b w:val="1"/>
                <w:bCs w:val="1"/>
                <w:color w:val="auto"/>
              </w:rPr>
              <w:t>Balance at June 30,</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14,638,008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1,463</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9"/>
              </w:rPr>
              <w:t>32,798,285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(15,944,774)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16,854,974</w:t>
            </w:r>
          </w:p>
        </w:tc>
        <w:tc>
          <w:tcPr>
            <w:tcW w:w="0" w:type="dxa"/>
            <w:vAlign w:val="bottom"/>
          </w:tcPr>
          <w:p>
            <w:pPr>
              <w:spacing w:after="0"/>
              <w:rPr>
                <w:sz w:val="1"/>
                <w:szCs w:val="1"/>
                <w:color w:val="auto"/>
              </w:rPr>
            </w:pPr>
          </w:p>
        </w:tc>
      </w:tr>
      <w:tr>
        <w:trPr>
          <w:trHeight w:val="225"/>
        </w:trPr>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0820"/>
          </w:cols>
          <w:pgMar w:left="320" w:top="290" w:right="75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4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290" w:right="75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treatments for cancers with high</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unmet medical need caused by dysregulated gene expression. Epigenetics refers to the regulatory system that affects gene expression and the Company's lead epigenetic enzyme technology was licensed from the University of Utah Research Foundation in 2011. The Company is located in Houston, Texas.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outbreak of COVID-19 has spread worldwide. On March 11, 2020, the World Health Organization declared the outbreak a pandemic. The COVID-19 pandemic is affecting the United States and global economies and may affect the Company’s operations and those of third parties on which the Company relies.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long-term liquidity. The ultimate impact of the COVID-19 pandemic is highly uncertain and subject to change. The Company does not yet know the full extent of potential delays or impacts on its business, clinical trials or the drug procurement, financing or other activities or on healthcare systems or the global economy as a whole. However, these effects could have a material impact on the Company’s liquidity, capital resources, operations and business and those of the third parties on which we rely.</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described above, the merger with Flex Pharma closed on July 19, 2019. The merger was accounted for as a reverse acquisition with Private Salarius being deemed the acquiring company for accounting purposes.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 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for the periods prior to July 19, 2019. The Company has retrospectively adjusted its Statement of Changes in Stockholders’ Equity (Deficit) and the weighted average shares used in determining loss per common share to reflect the conversion of the outstanding common unit, profits interest common unit and Series A Preferred unit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Private Salarius that converted into shares of the Company’s common stock upon the merger, and to reflect the effect of the 25 to 1 reverse stock split of the Company’s common stock which occurred upon the merger.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2019 included elsewhere in the Company's Annual Report on Form 10-K filed with the SEC on March 23, 2020. In the opinion of management, the unaudited interim financial statements reflect all the adjustments (consisting of normal recurring adjustments) necessary to state fairly the Company’s financial position as of June 30, 2020 and the results of operations for the three and six months ended June 30, 2020 and 2019. The interim results of operations are not necessarily indicative of the results that may occur for the full fiscal year. The December 31, 2019 balance sheet included herein was derived from the audited financial statements, but does not include all disclosures, including notes, required by GAAP for complete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2020 and December 31, 2019, Salarius also held approximately $0 and $1.0 million, respectively, which represents funds received from Cancer Prevention and Research Institution of Texas ("CPRIT"). These funds were used for costs for allowable expenses, primarily research and development expenses. The grant has a mandatory fund matching requirement. Subject to CPRIT review, the Company believes that all matching fund requirements have been met at June 30, 2020.</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During the three and six months ended June 30, 2020 and June 30, 2019, impairment charges related to long-lived assets were $0 and $110,474,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value of goodwill has been impaired. There was no impairment of goodwill during the three and six months ended June 30, 2020 or June 30,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conjunction with the reverse merger transaction, the Company issued rights to receive warrants to purchase the Company’s common stock. Further, on February 11, 2020, the Company issued warrants to purchase the Company's common stock in a registered public offering. The Company determines whether the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When grant funds are received after costs have been incurred, the Company records revenue and a corresponding grants receivable.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the Black-Scholes option valuation model and the Backsolve method (which is similar to the Black-Scholes valuation model and produces similar results)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9,606,690 and 21,485 shares as of June 30, 2020 and 2019,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2020 and December 31, 2019,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years, and interim periods within those years, beginning after December 15, 2019. The Company does not expect adoption of this ASU to have a material impact on its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consolidated group. ASU 2019-12 is effective for annual and interim periods in fiscal years beginning after December 15, 2020. Early adoption is permitted. The Company is currently evaluating the impact this change will have on its consolidated financial statements.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with Flex Pharma deemed the legal acquiror and Private Salarius deemed the accounting acquiror, as described below.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 liabilities assumed of Flex Pharma in the merger at their fair values as of the acquisition date.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w:t>
      </w:r>
    </w:p>
    <w:p>
      <w:pPr>
        <w:spacing w:after="0" w:line="1" w:lineRule="exact"/>
        <w:rPr>
          <w:sz w:val="20"/>
          <w:szCs w:val="20"/>
          <w:color w:val="auto"/>
        </w:rPr>
      </w:pPr>
    </w:p>
    <w:p>
      <w:pPr>
        <w:jc w:val="both"/>
        <w:ind w:firstLine="8"/>
        <w:spacing w:after="0" w:line="256" w:lineRule="auto"/>
        <w:tabs>
          <w:tab w:leader="none" w:pos="2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described in the Merger Agreement.</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 a warrant to purchase shares of the Company’s common stock six months and one day following the closing date of the merger. See Note 8.</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qualified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10,963,526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1560" w:type="dxa"/>
            <w:vAlign w:val="bottom"/>
          </w:tcPr>
          <w:p>
            <w:pPr>
              <w:spacing w:after="0"/>
              <w:rPr>
                <w:sz w:val="21"/>
                <w:szCs w:val="21"/>
                <w:color w:val="auto"/>
              </w:rPr>
            </w:pPr>
          </w:p>
        </w:tc>
        <w:tc>
          <w:tcPr>
            <w:tcW w:w="2480" w:type="dxa"/>
            <w:vAlign w:val="bottom"/>
          </w:tcPr>
          <w:p>
            <w:pPr>
              <w:jc w:val="right"/>
              <w:ind w:right="70"/>
              <w:spacing w:after="0"/>
              <w:rPr>
                <w:sz w:val="20"/>
                <w:szCs w:val="20"/>
                <w:color w:val="auto"/>
              </w:rPr>
            </w:pPr>
            <w:r>
              <w:rPr>
                <w:rFonts w:ascii="Arial" w:cs="Arial" w:eastAsia="Arial" w:hAnsi="Arial"/>
                <w:sz w:val="18"/>
                <w:szCs w:val="18"/>
                <w:color w:val="auto"/>
              </w:rPr>
              <w:t>1,629,095</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156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132,227</w:t>
            </w: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of assets acquired</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5,405,826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15,168</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0" w:type="dxa"/>
            <w:vAlign w:val="bottom"/>
          </w:tcPr>
          <w:p>
            <w:pPr>
              <w:spacing w:after="0"/>
              <w:rPr>
                <w:sz w:val="21"/>
                <w:szCs w:val="21"/>
                <w:color w:val="auto"/>
              </w:rPr>
            </w:pP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122,235</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106,319</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1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8,937,899</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16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14,587,447</w:t>
            </w:r>
          </w:p>
        </w:tc>
      </w:tr>
      <w:tr>
        <w:trPr>
          <w:trHeight w:val="256"/>
        </w:trPr>
        <w:tc>
          <w:tcPr>
            <w:tcW w:w="7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57"/>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1,862,599</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16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1,862,599</w:t>
            </w:r>
          </w:p>
        </w:tc>
      </w:tr>
      <w:tr>
        <w:trPr>
          <w:trHeight w:val="256"/>
        </w:trPr>
        <w:tc>
          <w:tcPr>
            <w:tcW w:w="7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8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12,724,848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six months ended June 30, 2020 and 2019 as if the merger described above had been completed as of January 1, 2019. Pro forma information primarily reflects adjustments relating to the reversal of transaction costs. Assuming that the merger had been completed as of January 1, 2019, the transaction costs would have been expensed in the prior period.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Six Months Ended</w:t>
            </w:r>
          </w:p>
        </w:tc>
        <w:tc>
          <w:tcPr>
            <w:tcW w:w="12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Six Months Ended</w:t>
            </w:r>
          </w:p>
        </w:tc>
      </w:tr>
      <w:tr>
        <w:trPr>
          <w:trHeight w:val="246"/>
        </w:trPr>
        <w:tc>
          <w:tcPr>
            <w:tcW w:w="7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June 30, 2020</w:t>
            </w:r>
          </w:p>
        </w:tc>
        <w:tc>
          <w:tcPr>
            <w:tcW w:w="12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Arial" w:cs="Arial" w:eastAsia="Arial" w:hAnsi="Arial"/>
                <w:sz w:val="18"/>
                <w:szCs w:val="18"/>
                <w:b w:val="1"/>
                <w:bCs w:val="1"/>
                <w:color w:val="auto"/>
              </w:rPr>
              <w:t>June 30, 2019</w:t>
            </w:r>
          </w:p>
        </w:tc>
      </w:tr>
      <w:tr>
        <w:trPr>
          <w:trHeight w:val="256"/>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2,376,140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1,821,095</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(3,868,074)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(3,594,569)</w:t>
            </w:r>
          </w:p>
        </w:tc>
      </w:tr>
      <w:tr>
        <w:trPr>
          <w:trHeight w:val="26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 RECEIVABLE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and there is reasonable assurance that conditions of the grant have been met but the corresponding funds have not been received as of the reporting date. Grants receivable balances are $1,834,439 and $0 as of June 30, 2020 and December 31, 2019, respectively.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June 30, 2020 and December 31, 2019 consisted of the following: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2020</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 2019</w:t>
            </w:r>
          </w:p>
        </w:tc>
      </w:tr>
      <w:tr>
        <w:trPr>
          <w:trHeight w:val="2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92,742</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202,743</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Prepaid insurance</w:t>
            </w:r>
          </w:p>
        </w:tc>
        <w:tc>
          <w:tcPr>
            <w:tcW w:w="220" w:type="dxa"/>
            <w:vAlign w:val="bottom"/>
          </w:tcPr>
          <w:p>
            <w:pPr>
              <w:spacing w:after="0"/>
              <w:rPr>
                <w:sz w:val="21"/>
                <w:szCs w:val="21"/>
                <w:color w:val="auto"/>
              </w:rPr>
            </w:pP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127,654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617,096</w:t>
            </w:r>
          </w:p>
        </w:tc>
      </w:tr>
      <w:tr>
        <w:trPr>
          <w:trHeight w:val="25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119,487</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136,060</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339,883</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955,899</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2019, the Company financed their directors' and officers' insurance premium with a short term note, the principal amount of which is approximately $0.9 million bearing interest at a rate of 4.61%. The note payable balances, which were included within Current Liabilities on the Condensed Consolidated Balance Sheets, were $0 and $502,332 at June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 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to fund the development of LSD-1 inhibitor. This is a 3-year grant award which originally expired on May 31, 2019. However, the Company was approved for an extension with a contract end date of November 30, 2020.</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19"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June 30, 2020, the Company has received an aggregate of $9.6</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million from the CPRIT grant and there was $9.1 million of funds available for the Company to draw upon meeting certain requirements. A portion of the remaining $9.1 million CPRIT grant was for a castration-resistant prostate study (approximately $2.6 million). As we have elected not to pursue this study, we will be requesting from CPRIT approval to redeploy the allocated prostate study funds to our expanded Ewing sarcoma trial. We have been approved for an extension of the CPRIT agreement with contract end date of November 30, 2020.</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was no funding received from CPRIT during the six months ended June 30, 2020. At June 30, 2020 and December 31, 2019, the Company had deferred revenue of $0 and $541,701, respectively, related to the CPRIT contract. At June 30, 2020 and December 31, 2019, the Company had grants receivable of $1,834,439 and $0,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 associated with the Flex Pharma merger measured at fair value on a recurring basis for the three and six months ended June 30, 2020:</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1"/>
                <w:szCs w:val="21"/>
                <w:color w:val="auto"/>
              </w:rPr>
            </w:pPr>
          </w:p>
        </w:tc>
        <w:tc>
          <w:tcPr>
            <w:tcW w:w="17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June 30, 2020</w:t>
            </w:r>
          </w:p>
        </w:tc>
      </w:tr>
      <w:tr>
        <w:trPr>
          <w:trHeight w:val="256"/>
        </w:trPr>
        <w:tc>
          <w:tcPr>
            <w:tcW w:w="214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(220,435)</w:t>
            </w:r>
          </w:p>
        </w:tc>
        <w:tc>
          <w:tcPr>
            <w:tcW w:w="80" w:type="dxa"/>
            <w:vAlign w:val="bottom"/>
          </w:tcPr>
          <w:p>
            <w:pPr>
              <w:spacing w:after="0"/>
              <w:rPr>
                <w:sz w:val="22"/>
                <w:szCs w:val="22"/>
                <w:color w:val="auto"/>
              </w:rPr>
            </w:pPr>
          </w:p>
        </w:tc>
        <w:tc>
          <w:tcPr>
            <w:tcW w:w="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97,327</w:t>
            </w:r>
          </w:p>
        </w:tc>
      </w:tr>
      <w:tr>
        <w:trPr>
          <w:trHeight w:val="20"/>
        </w:trPr>
        <w:tc>
          <w:tcPr>
            <w:tcW w:w="2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condensed consolidated statements of stockholders' equity (deficit) and the footnotes to the interim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the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 shares paid in cash) was 8,353,480 shares after reverse stock-split.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Common Stock</w:t>
      </w:r>
    </w:p>
    <w:p>
      <w:pPr>
        <w:spacing w:after="0" w:line="24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Offering”). The February Offering was comprised of 7,101,307 Class A units,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priced at a public offering price of $1.15 per unit, with each unit consisting of one share of common stock and a five-year warrant to purchase one share of common stock at an exercise price of $1.15 per share, and 1,246,519 Class B units, priced at a public offering price of $ 1.15 per unit, with each unit consisting of one share of Series A convertible preferred stock and a five-year warrant to purchase one share of common stock with and exercise price of $1.15 per share. A total of 8,343,480 shares of common stock, 1,246,519 shares of Series A convertible preferred stock, and warrants to purchase up to 9,599,999 shares of common stock were issued in the offering, including the full exercise of the over-allotment option.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issued in the February Offering as well as the exercise price of the warrants are fixed and do not contain any variable pricing features or any price based anti-dilutive features.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all 1,246,519 shares of Series A convertible preferred stock were converted to common stock.</w:t>
      </w:r>
    </w:p>
    <w:p>
      <w:pPr>
        <w:spacing w:after="0" w:line="23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six months ended June 30, 2019 the Company issued 960,489 common shares (4,035 Series A preferred units and 350 profit interest units of Private Salarius) for $4,377,591 (net of offering cost of $10,617).</w:t>
      </w:r>
    </w:p>
    <w:p>
      <w:pPr>
        <w:spacing w:after="0" w:line="21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December 2018, the Company agreed to issue an unrelated party 12,907 common shares (91 common units of Private Salarius) to acquire licenses for the DNMT1 inhibitor. The issuance was approved in January 2019 and the license was granted in 2018.</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180"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During the six months ended June 30, 2020, the Company issued 503,230 common shares as a result of warrant exercises, and received cash proceeds of approximately $0.6 million. As of June 30, 2020, 9,096,769 of warrants issued in the February Offering were still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and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 using a Black-Scholes valuation model as the Company believes the value will closely approximate the value from the binomial asset pricing model that consisted of a conditional probability weighted expected return method that values the Company’s equity securities assuming various possible future outcomes to estimate the allocation of value within one or more of the scenarios. Using this method, unobservable inputs included the Company’s equity value, expected timing of possible outcomes, risk free interest rates and stock price volatility.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526"/>
        </w:trPr>
        <w:tc>
          <w:tcPr>
            <w:tcW w:w="1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June 30, 2020</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2019</w:t>
            </w:r>
          </w:p>
        </w:tc>
      </w:tr>
      <w:tr>
        <w:trPr>
          <w:trHeight w:val="250"/>
        </w:trPr>
        <w:tc>
          <w:tcPr>
            <w:tcW w:w="1420" w:type="dxa"/>
            <w:vAlign w:val="bottom"/>
          </w:tcPr>
          <w:p>
            <w:pPr>
              <w:spacing w:after="0"/>
              <w:rPr>
                <w:sz w:val="21"/>
                <w:szCs w:val="21"/>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0.24%</w:t>
            </w:r>
          </w:p>
        </w:tc>
        <w:tc>
          <w:tcPr>
            <w:tcW w:w="160" w:type="dxa"/>
            <w:vAlign w:val="bottom"/>
            <w:tcBorders>
              <w:top w:val="single" w:sz="8" w:color="CCEEFF"/>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1.69%</w:t>
            </w:r>
          </w:p>
        </w:tc>
      </w:tr>
      <w:tr>
        <w:trPr>
          <w:trHeight w:val="250"/>
        </w:trPr>
        <w:tc>
          <w:tcPr>
            <w:tcW w:w="142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4.56 years</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5.06 years</w:t>
            </w:r>
          </w:p>
        </w:tc>
      </w:tr>
      <w:tr>
        <w:trPr>
          <w:trHeight w:val="263"/>
        </w:trPr>
        <w:tc>
          <w:tcPr>
            <w:tcW w:w="142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124.10%</w:t>
            </w:r>
          </w:p>
        </w:tc>
        <w:tc>
          <w:tcPr>
            <w:tcW w:w="160" w:type="dxa"/>
            <w:vAlign w:val="bottom"/>
            <w:shd w:val="clear" w:color="auto" w:fill="CCEEFF"/>
          </w:tcPr>
          <w:p>
            <w:pPr>
              <w:spacing w:after="0"/>
              <w:rPr>
                <w:sz w:val="22"/>
                <w:szCs w:val="22"/>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103.07%</w:t>
            </w:r>
          </w:p>
        </w:tc>
      </w:tr>
      <w:tr>
        <w:trPr>
          <w:trHeight w:val="243"/>
        </w:trPr>
        <w:tc>
          <w:tcPr>
            <w:tcW w:w="142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8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Wedbush Warrant</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$500,000 of the $1,000,000 success fee payable to Wedbush at the closing of the merger. The remaining $ 500,000 success fee was paid in cash. These warrants have an exercise price of $18.90 and a 5-year term. As of June 30, 2020, all warrants issued to Wedbush were outstanding.</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On July 19, 2019, the Company completed a merger with Flex Pharma and Flex Pharma had fully vested options to purchase 90,279 common shares outstanding as of the date of the merger and 65,151 of these options continue to be exercisable as of June 30, 2020.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June 30, 2020, there were 50,087 shares remaining available for the grant of stock awards under the 2015 Plan.</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2020, the Company awarded 182,000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$92,007 has been estimated with the following assumptions on the grant date.</w:t>
      </w:r>
    </w:p>
    <w:p>
      <w:pPr>
        <w:spacing w:after="0" w:line="200" w:lineRule="exact"/>
        <w:rPr>
          <w:sz w:val="20"/>
          <w:szCs w:val="20"/>
          <w:color w:val="auto"/>
        </w:rPr>
      </w:pPr>
    </w:p>
    <w:p>
      <w:pPr>
        <w:spacing w:after="0" w:line="371" w:lineRule="exact"/>
        <w:rPr>
          <w:sz w:val="20"/>
          <w:szCs w:val="20"/>
          <w:color w:val="auto"/>
        </w:rPr>
      </w:pPr>
    </w:p>
    <w:tbl>
      <w:tblPr>
        <w:tblLayout w:type="fixed"/>
        <w:tblInd w:w="112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2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Volatility</w:t>
            </w:r>
          </w:p>
        </w:tc>
        <w:tc>
          <w:tcPr>
            <w:tcW w:w="3720" w:type="dxa"/>
            <w:vAlign w:val="bottom"/>
          </w:tcPr>
          <w:p>
            <w:pPr>
              <w:jc w:val="right"/>
              <w:spacing w:after="0"/>
              <w:rPr>
                <w:sz w:val="20"/>
                <w:szCs w:val="20"/>
                <w:color w:val="auto"/>
              </w:rPr>
            </w:pPr>
            <w:r>
              <w:rPr>
                <w:rFonts w:ascii="Arial" w:cs="Arial" w:eastAsia="Arial" w:hAnsi="Arial"/>
                <w:sz w:val="18"/>
                <w:szCs w:val="18"/>
                <w:color w:val="auto"/>
              </w:rPr>
              <w:t>113.17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Expected life (years)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six months ended June 30,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2"/>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Weighted-</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7"/>
                <w:szCs w:val="17"/>
                <w:color w:val="auto"/>
              </w:rPr>
            </w:pP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46"/>
        </w:trPr>
        <w:tc>
          <w:tcPr>
            <w:tcW w:w="49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166,233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7"/>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June 30, 2020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322,233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17.59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June 30, 2020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85,101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59.61</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As of June 30, 2020, there was approximately $ 395,612 of total unrecognized compensation cost related to unvested stock options. Total unrecognized compensation cost will be adjusted for future changes in employee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non-employee forfeitures, if any. The Company expects to recognize that cost over a remaining weighted-average period of 2.96 years.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PAYROLL PROTECTION PROGRAM</w:t>
      </w:r>
    </w:p>
    <w:p>
      <w:pPr>
        <w:spacing w:after="0" w:line="26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On April 13, 2020, the Company was granted a loan of approximately $0.18 million from the Paycheck Protection Program ("PPP") established under the Coronavirus Aid, Relief and Economic Security Act ("CARES Act"). The loan matures on April 13, 2022 and bears interest at a rate of 1% per annum. Under the terms of the PPP, certain amounts of the Loan may be forgiven if they are used for qualifying expenses as described in the CARES Act. The proceeds of the loan were used in full to pay for payroll disbursement after it was received, which the Company expects to comply with the PPP eligibility and loan forgiveness criteria. As such, the loan was accounted as a government grant at June 30, 2020. The Company will continually reassess its ability to meet the forgiveness conditions, and it may have to reverse income if it can no longer support a conclusion that it expects to meet the conditions.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3, 2020, the Company completed a public offering with total gross proceeds of approximately $6.2 million, which includes the full exercise of the underwriter's over-allotment option to purchase an additional 669,181 shares prior to deducting underwriting discounts and commissions and offering expenses payable by Salarius. A total of 5,130,390 common shares of common stock were issued in the offering, priced at a public offering price of $1.20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filed with the SEC on March 23, 2020.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w:t>
      </w:r>
      <w:r>
        <w:rPr>
          <w:rFonts w:ascii="Arial" w:cs="Arial" w:eastAsia="Arial" w:hAnsi="Arial"/>
          <w:sz w:val="18"/>
          <w:szCs w:val="18"/>
          <w:color w:val="auto"/>
        </w:rPr>
        <w:t>for the year ended December 31, 2019,</w:t>
      </w:r>
      <w:r>
        <w:rPr>
          <w:rFonts w:ascii="Arial" w:cs="Arial" w:eastAsia="Arial" w:hAnsi="Arial"/>
          <w:sz w:val="18"/>
          <w:szCs w:val="18"/>
          <w:i w:val="1"/>
          <w:iCs w:val="1"/>
          <w:color w:val="auto"/>
        </w:rPr>
        <w:t xml:space="preserve"> filed with the SEC on March 23, 2020,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 clinical-stage biotechnology company focused on developing effective treatments for cancers with high, unmet medical need caused by dysregulated gene expression, i.e., epigenetic causes. Epigenetics refers to the regulatory system that affects gene expression. Our lead epigenetic enzyme technology, SP-2577, was licensed from the University of Utah Research Foundation in 2011.</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Epigenetic regulation affects gene expression through conformational changes to the chromatin rather than changes to the DNA sequence itself. Our compound, SP-2577, ("seclidemstat"),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 We recently announced that we plan to amend the Ewing sarcoma trial to also include up to 30 Ewing-related sarcoma patients upon reaching the dose expansion phase.</w:t>
      </w:r>
    </w:p>
    <w:p>
      <w:pPr>
        <w:spacing w:after="0" w:line="14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1/2 trial to study SP-2577 in Advanced Solid Tumors. The Advanced Solid Tumor (“AST”) trial is a single agent dose escalation, dose expansion study enrolling patients with advanced malignancies, excluding Ewing sarcoma or central nervous system tumors. In addition, we are conducting preclinical work with SP-2577 for use in hematologic cancers.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immune activity and can sensitize tumors to checkpoint inhibitors. These recent works have sparked interest in combining LSD1 inhibitors with checkpoint inhibitors. We are conducting preclinical work with SP-2577 in this area.</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$15,944,774 as of June 30, 2020. Substantially all of our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of June 30, 2020, we had cash and cash equivalents of $7,222,798. As of June 30, 2020, the Cancer Prevention and Research Institution of Texas ("CPRIT") fund matching requirements had been fully met. As of June 30, 2020, we have received an aggregate of $9.6 million from the CPRIT grant and there was $9.1 million of funds available for us to draw upon meeting certain requirements. A portion of the remaining $9.1 million CPRIT grant was for a castration-resistant prostate study (approximately $2.6 million). As we have elected not to pursue this study, we will be requesting from CPRIT approval to redeploy the allocated prostate study funds to our expanded Ewing sarcoma trial. We were approved for an extension with a proposed contract end date of November 30, 2020.</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$7.2 million in cash and cash equivalents on hand as of June 30, 2020, the cash proceeds of approximately $5.5 million from the offering closed on August 3, 2020, and the expected CPRIT funds available are sufficient to fund our anticipated operating and capital requirements through at least 12 months from the date this quarterly report on Form 10-Q is filed,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 and to fund our operations.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2020, the Company that the U.S. Food and Drug administration (FDA) has invited the Company to present information regarding its lead investigational compound, seclidemstat, at the public advisory committee meeting of the Pediatric Oncology Subcommittee of the Oncologic Drugs Advisory Committee (ODAC) scheduled for June 17 - June 18, 2020.</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July 29, 2020, the Company announced the expansion of its ongoing clinical trial of seclidemstat in patients with relapsed or refractory Ewing sarcoma to include additional select sarcomas that share a similar biology to Ewing sarcoma, also known as Ewing-related sarcomas. The planned amendment to the ongoing clinical trial will allow patients with Ewing-related sarcomas, which share a similar gene rearrangement to Ewing sarcoma, to enroll in the ongoing trial. Sarcomas of interest include myxoid liposarcoma, desmoplastic small round cell tumors and other sarcomas with FET family translocations, i.e. Ewing-related sarcomas.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Seclidemstat’s potential as a treatment for Ewing-related sarcomas is supported by pre-clinical data and early clinical data observations from the ongoing Phase 1/2 clinical trial of seclidemstat in patients with relapsed or refractory Ewing sarcoma. A refractory Ewing sarcoma patient treated with seclidemstat for six months demonstrated a reduction in prospectively defined target lesions. Target lesions generally represent a patient’s largest measurable tumors. However, at eight weeks, an increase in non-target lesions resulted in an overall patient classification of progressive disease as defined by Response Evaluation Criteria in Solid Tumors (RECIST).</w:t>
      </w:r>
    </w:p>
    <w:p>
      <w:pPr>
        <w:spacing w:after="0" w:line="11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3, 2020, the Company completed a public offering of 5,130,390 shares of its common stock, including 669,181 shares sold pursuant to the exercise in full of the underwriters’ option to purchase additional shares, at the public offering price of $1.20 per share. As a result of the underwriters’ over-allotment option exercise, the aggregate gross proceeds to Salarius from the offering, before deducting underwriting discounts and commissions and other offering expenses, was approximately $6.2 million.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Salarius has worked to adapt to the unexpected and challenging circumstances resulting from the COVID-19 pandemic and at this time we are experiencing minimal COVID-19 disruptions to our clinical programs, our manufacturing capabilities, or our financing capabilities. However, we may experience disruptions in the future that have and could further adversely impact our business operations as well as our preclinical studies and clinical trials.</w:t>
      </w:r>
    </w:p>
    <w:p>
      <w:pPr>
        <w:spacing w:after="0" w:line="1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At this time we are experiencing minimal disruption to our clinical trials. However, our ongoing Phase 1/2 Ewing sarcoma clinical trial and Phase 1/2 AST clinical trial can each enroll up to 50 patients and in the future we may encounter delays in enrolling new patients due to concerns or healthcare resource constraints as a result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ability to manufacture our product candidates for our clinical trials and conduct other research and development operations and maintain applicable timelines. The ultimate impact of the COVID-19 pandemic on our business operations as well as our preclinical studies and clinical trials remains uncertain and subject to change and will depend on future developments, which cannot be accurately predicted. We will continue to monitor the situation closely.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Compared to the Three Months Ended June 30, 2019</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June 30, 2020 compared to the three months ended June 30,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2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June 30</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8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Increase (Decrease)</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3"/>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1,243,310</w:t>
            </w:r>
          </w:p>
        </w:tc>
        <w:tc>
          <w:tcPr>
            <w:tcW w:w="1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895,778</w:t>
            </w:r>
          </w:p>
        </w:tc>
        <w:tc>
          <w:tcPr>
            <w:tcW w:w="18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347,532</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(1,443,322)</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(840,144)</w:t>
            </w: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603,178</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(1,700,942)</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(967,736)</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733,206</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(62,635)</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36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179,027</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179,027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8,457</w:t>
            </w:r>
          </w:p>
        </w:tc>
        <w:tc>
          <w:tcPr>
            <w:tcW w:w="18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(1,784,258)</w:t>
            </w:r>
          </w:p>
        </w:tc>
        <w:tc>
          <w:tcPr>
            <w:tcW w:w="18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(903,645)</w:t>
            </w:r>
          </w:p>
        </w:tc>
        <w:tc>
          <w:tcPr>
            <w:tcW w:w="18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880,613</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 revenue, which was derived solely from the CPRIT grant, was $1,243,310 during the three months ended June 30, 2020 compared to $895,778 during the three months ended June 30,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were $1,443,322 during the three months ended June 30, 2020 compared to $ 840,144 during the three months ended June 30, 2019. The 72% increase of $603,178 was primarily due to the start of a pre-clinical study for our next generation seclidemstat program and increased clinical trial and consulting fees related to the increased number of patients enrolled across additional clinical trials sites. There was also a significant increase in manufacturing costs due to the production of tablets for use in clinical trials.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General and administrative expenses were $1,700,942 for the three months ended June 30, 2020 compared to $967,736 for the three months ended June 30, 2019. The 76% net increase of $733,206 was primarily the result of the Company's transformation into a public company during July 2019, including a significant increase in director and officer insurance expense, NASDAQ related fees and investor relations costs. Additionally, a moderate increase in payroll expense and separation cost were partially offset by decreased travel and professional services expenses resulting from 2019 costs incurred for the announced reverse merger with Flex Pharma that did not recur in the current period.</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fair value of warrant liability of $62,635 was primarily due to the fluctuation of the price of our common stock ($0.68 per share on March 31, 2020 compared to $1.32 per share on June 30, 2020). We recognized a loss of $62,635 due the change in fair value of warrant liability during the three months ended June 30,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Compared to the Six Months Ended June 30, 2019</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six months ended June 30, 2020 compared to the six months ended June 30, 2019.</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6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80" w:type="dxa"/>
            <w:vAlign w:val="bottom"/>
            <w:gridSpan w:val="3"/>
          </w:tcPr>
          <w:p>
            <w:pPr>
              <w:jc w:val="right"/>
              <w:ind w:right="111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Increase (Decrease)</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3"/>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2,376,140</w:t>
            </w:r>
          </w:p>
        </w:tc>
        <w:tc>
          <w:tcPr>
            <w:tcW w:w="16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1,551,413</w:t>
            </w:r>
          </w:p>
        </w:tc>
        <w:tc>
          <w:tcPr>
            <w:tcW w:w="1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824,727</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(3,086,693)</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(1,540,073)</w:t>
            </w:r>
          </w:p>
        </w:tc>
        <w:tc>
          <w:tcPr>
            <w:tcW w:w="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1,546,620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21"/>
                <w:szCs w:val="21"/>
                <w:color w:val="auto"/>
              </w:rPr>
            </w:pPr>
          </w:p>
        </w:tc>
        <w:tc>
          <w:tcPr>
            <w:tcW w:w="1360" w:type="dxa"/>
            <w:vAlign w:val="bottom"/>
          </w:tcPr>
          <w:p>
            <w:pPr>
              <w:ind w:left="320"/>
              <w:spacing w:after="0"/>
              <w:rPr>
                <w:sz w:val="20"/>
                <w:szCs w:val="20"/>
                <w:color w:val="auto"/>
              </w:rPr>
            </w:pPr>
            <w:r>
              <w:rPr>
                <w:rFonts w:ascii="Arial" w:cs="Arial" w:eastAsia="Arial" w:hAnsi="Arial"/>
                <w:sz w:val="18"/>
                <w:szCs w:val="18"/>
                <w:color w:val="auto"/>
              </w:rPr>
              <w:t>(3,559,959)</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(2,456,226)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1,103,733</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220,435</w:t>
            </w: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179,027</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179,027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2,976</w:t>
            </w:r>
          </w:p>
        </w:tc>
        <w:tc>
          <w:tcPr>
            <w:tcW w:w="1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19,165</w:t>
            </w:r>
          </w:p>
        </w:tc>
        <w:tc>
          <w:tcPr>
            <w:tcW w:w="1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(16,189)</w:t>
            </w:r>
          </w:p>
        </w:tc>
        <w:tc>
          <w:tcPr>
            <w:tcW w:w="80" w:type="dxa"/>
            <w:vAlign w:val="bottom"/>
            <w:tcBorders>
              <w:bottom w:val="single" w:sz="8" w:color="auto"/>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ind w:left="320"/>
              <w:spacing w:after="0"/>
              <w:rPr>
                <w:sz w:val="20"/>
                <w:szCs w:val="20"/>
                <w:color w:val="auto"/>
              </w:rPr>
            </w:pPr>
            <w:r>
              <w:rPr>
                <w:rFonts w:ascii="Arial" w:cs="Arial" w:eastAsia="Arial" w:hAnsi="Arial"/>
                <w:sz w:val="18"/>
                <w:szCs w:val="18"/>
                <w:color w:val="auto"/>
              </w:rPr>
              <w:t>(3,868,074)</w:t>
            </w:r>
          </w:p>
        </w:tc>
        <w:tc>
          <w:tcPr>
            <w:tcW w:w="16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(2,425,721)</w:t>
            </w:r>
          </w:p>
        </w:tc>
        <w:tc>
          <w:tcPr>
            <w:tcW w:w="1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1,442,353</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 revenue, which was derived solely from the CPRIT grant, was $ 2,376,140 during the six months ended June 30, 2020 compared to $1,551,413 during the six months ended June 30,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expenses were $3,086,693 during the six months ended June 30, 2020 compared to$1,540,073 during the six months ended June 30, 2019. The 100% increase of $1,546,620 was primarily related to increased clinical trial and consulting fees due to the increased number of patients enrolled across additional clinical trial sites. Manufacturing expenses significantly increased during the current period as of result of increased production of tablets for clinical trials. These costs were partially offset by a slight decrease in legal and license expenses.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General and administrative expenses were $3,559,959 for the six months ended June 30, 2020 compared to $2,456,226 for the six months ended June 30, 2019. The 45% net increase of $1,103,733 was primarily the result of the Company's transformation into a public company during July 2019, including a significant increase in director and officer insurance expense, NASDAQ related fees and investor relations costs. There was also an increase in payroll expense resulting from increased personnel, separation costs and accrued bonuses. During the period one previous officer resigned and the position was not replaced. These costs were partially offset by decreased legal and professional services expenses resulting from 2019 costs incurred for the announced reverse merger with Flex Pharma that did not recur in the current period.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fair value of warrant liability of $220,435 was primarily due to the fluctuation of the price of our common stock ($3.78 per share on December 31, 2019 compared to $1.32 per share on June 30, 2020). We recognized a gain of $220,435 due the change in fair value of warrant liability during the three months ended June 30, 2020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solely from CPRIT grant.</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See also Risk Factors section.</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June 30, 2020, we had $7,690,535 of working capital and our cash and cash equivalents totaled $7,222,798, which were held in bank deposit accounts and money market funds. Our cash and cash equivalents balance increased during the six months ended June 30, 2020, primarily due to our public offering closed on February 11,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240" w:type="dxa"/>
            <w:vAlign w:val="bottom"/>
            <w:gridSpan w:val="2"/>
          </w:tcPr>
          <w:p>
            <w:pPr>
              <w:jc w:val="center"/>
              <w:spacing w:after="0"/>
              <w:rPr>
                <w:sz w:val="20"/>
                <w:szCs w:val="20"/>
                <w:color w:val="auto"/>
              </w:rPr>
            </w:pPr>
            <w:r>
              <w:rPr>
                <w:rFonts w:ascii="Arial" w:cs="Arial" w:eastAsia="Arial" w:hAnsi="Arial"/>
                <w:sz w:val="18"/>
                <w:szCs w:val="18"/>
                <w:b w:val="1"/>
                <w:bCs w:val="1"/>
                <w:color w:val="auto"/>
              </w:rPr>
              <w:t>Six Months Ended June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Six Months Ended June</w:t>
            </w:r>
          </w:p>
        </w:tc>
      </w:tr>
      <w:tr>
        <w:trPr>
          <w:trHeight w:val="246"/>
        </w:trPr>
        <w:tc>
          <w:tcPr>
            <w:tcW w:w="20" w:type="dxa"/>
            <w:vAlign w:val="bottom"/>
          </w:tcPr>
          <w:p>
            <w:pPr>
              <w:spacing w:after="0"/>
              <w:rPr>
                <w:sz w:val="21"/>
                <w:szCs w:val="21"/>
                <w:color w:val="auto"/>
              </w:rPr>
            </w:pPr>
          </w:p>
        </w:tc>
        <w:tc>
          <w:tcPr>
            <w:tcW w:w="64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30, 2020</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30, 2019</w:t>
            </w:r>
          </w:p>
        </w:tc>
      </w:tr>
      <w:tr>
        <w:trPr>
          <w:trHeight w:val="257"/>
        </w:trPr>
        <w:tc>
          <w:tcPr>
            <w:tcW w:w="20" w:type="dxa"/>
            <w:vAlign w:val="bottom"/>
          </w:tcPr>
          <w:p>
            <w:pPr>
              <w:spacing w:after="0"/>
              <w:rPr>
                <w:sz w:val="22"/>
                <w:szCs w:val="22"/>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w:t>
            </w:r>
          </w:p>
        </w:tc>
        <w:tc>
          <w:tcPr>
            <w:tcW w:w="4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590"/>
              <w:spacing w:after="0"/>
              <w:rPr>
                <w:sz w:val="20"/>
                <w:szCs w:val="20"/>
                <w:color w:val="auto"/>
              </w:rPr>
            </w:pPr>
            <w:r>
              <w:rPr>
                <w:rFonts w:ascii="Arial" w:cs="Arial" w:eastAsia="Arial" w:hAnsi="Arial"/>
                <w:sz w:val="18"/>
                <w:szCs w:val="18"/>
                <w:color w:val="auto"/>
                <w:w w:val="99"/>
              </w:rPr>
              <w:t>(6,184,809)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20" w:type="dxa"/>
            <w:vAlign w:val="bottom"/>
          </w:tcPr>
          <w:p>
            <w:pPr>
              <w:jc w:val="center"/>
              <w:ind w:left="1010"/>
              <w:spacing w:after="0"/>
              <w:rPr>
                <w:sz w:val="20"/>
                <w:szCs w:val="20"/>
                <w:color w:val="auto"/>
              </w:rPr>
            </w:pPr>
            <w:r>
              <w:rPr>
                <w:rFonts w:ascii="Arial" w:cs="Arial" w:eastAsia="Arial" w:hAnsi="Arial"/>
                <w:sz w:val="18"/>
                <w:szCs w:val="18"/>
                <w:color w:val="auto"/>
                <w:w w:val="99"/>
              </w:rPr>
              <w:t>(3,401,716)</w:t>
            </w:r>
          </w:p>
        </w:tc>
      </w:tr>
      <w:tr>
        <w:trPr>
          <w:trHeight w:val="257"/>
        </w:trPr>
        <w:tc>
          <w:tcPr>
            <w:tcW w:w="20" w:type="dxa"/>
            <w:vAlign w:val="bottom"/>
          </w:tcPr>
          <w:p>
            <w:pPr>
              <w:spacing w:after="0"/>
              <w:rPr>
                <w:sz w:val="22"/>
                <w:szCs w:val="22"/>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44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9"/>
              </w:rPr>
              <w:t>9,668,707</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99"/>
              </w:rPr>
              <w:t>1,408,421</w:t>
            </w:r>
          </w:p>
        </w:tc>
      </w:tr>
      <w:tr>
        <w:trPr>
          <w:trHeight w:val="277"/>
        </w:trPr>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590"/>
              <w:spacing w:after="0"/>
              <w:rPr>
                <w:sz w:val="20"/>
                <w:szCs w:val="20"/>
                <w:color w:val="auto"/>
              </w:rPr>
            </w:pPr>
            <w:r>
              <w:rPr>
                <w:rFonts w:ascii="Arial" w:cs="Arial" w:eastAsia="Arial" w:hAnsi="Arial"/>
                <w:sz w:val="18"/>
                <w:szCs w:val="18"/>
                <w:color w:val="auto"/>
                <w:w w:val="99"/>
              </w:rPr>
              <w:t>3,483,898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9"/>
              </w:rPr>
              <w:t>(1,993,295)</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used in operating activities was $6,184,809 and $3,401,716 for the six months ended June 30, 2020 and June 30, 2019, respectively, an increase of $2,783,093. This cash spending increase was primarily due to increased clinical trial and related research costs plus the Company's increased spending for the transformation into a public company during 2020. During the six months ended June 30, 2020, the Company received $0.18 million from the Payroll Protection Program established under the CARES Act and it was included in net cash used in operation activities.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for the six months ended June 30, 2020 was $9,668,707 , compared to $1,408,421 for the same period of the year 2019. The increase of cash provided by financing activities resulted from the Company completing a public offering on February 11, 2020 with net proceeds of approximately $9.6 million, and received approximately $0.6 million cash from the warrant exercised in June 2020, partially offset by the payment of $502,332 towards the principal on an insurance financing note by the Company. There were no such payments during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maintain “disclosure controls and procedures,” as such term is defined in Rules 13a-15(e) </w:t>
      </w:r>
      <w:r>
        <w:rPr>
          <w:rFonts w:ascii="Arial" w:cs="Arial" w:eastAsia="Arial" w:hAnsi="Arial"/>
          <w:sz w:val="16"/>
          <w:szCs w:val="16"/>
          <w:color w:val="333333"/>
        </w:rPr>
        <w:t>and 15d-15(e)</w:t>
      </w:r>
      <w:r>
        <w:rPr>
          <w:rFonts w:ascii="Arial" w:cs="Arial" w:eastAsia="Arial" w:hAnsi="Arial"/>
          <w:sz w:val="18"/>
          <w:szCs w:val="18"/>
          <w:color w:val="auto"/>
        </w:rPr>
        <w:t xml:space="preserv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Based on management’s evaluation </w:t>
      </w:r>
      <w:r>
        <w:rPr>
          <w:rFonts w:ascii="Arial" w:cs="Arial" w:eastAsia="Arial" w:hAnsi="Arial"/>
          <w:sz w:val="21"/>
          <w:szCs w:val="21"/>
          <w:color w:val="333333"/>
        </w:rPr>
        <w:t>(</w:t>
      </w:r>
      <w:r>
        <w:rPr>
          <w:rFonts w:ascii="Arial" w:cs="Arial" w:eastAsia="Arial" w:hAnsi="Arial"/>
          <w:sz w:val="18"/>
          <w:szCs w:val="18"/>
          <w:color w:val="auto"/>
        </w:rPr>
        <w:t>with the participation of our principal executive officer and principal financial officer</w:t>
      </w:r>
      <w:r>
        <w:rPr>
          <w:rFonts w:ascii="Arial" w:cs="Arial" w:eastAsia="Arial" w:hAnsi="Arial"/>
          <w:sz w:val="21"/>
          <w:szCs w:val="21"/>
          <w:color w:val="333333"/>
        </w:rPr>
        <w:t>),</w:t>
      </w:r>
      <w:r>
        <w:rPr>
          <w:rFonts w:ascii="Arial" w:cs="Arial" w:eastAsia="Arial" w:hAnsi="Arial"/>
          <w:sz w:val="18"/>
          <w:szCs w:val="18"/>
          <w:color w:val="auto"/>
        </w:rPr>
        <w:t xml:space="preserve"> as of the end of the period covered by this Quarterly Report on Form 10-Q, our Chief Executive Officer (our principal executive officer) and our Chief Financial Officer (our principal financial and accounting officer) have concluded that, as of such date, our disclosure controls and procedures (</w:t>
      </w:r>
      <w:r>
        <w:rPr>
          <w:rFonts w:ascii="Arial" w:cs="Arial" w:eastAsia="Arial" w:hAnsi="Arial"/>
          <w:sz w:val="16"/>
          <w:szCs w:val="16"/>
          <w:color w:val="333333"/>
        </w:rPr>
        <w:t>as defined in Rules 13a-15(e) and 15d-15(e) under the Exchange Act)</w:t>
      </w:r>
      <w:r>
        <w:rPr>
          <w:rFonts w:ascii="Arial" w:cs="Arial" w:eastAsia="Arial" w:hAnsi="Arial"/>
          <w:sz w:val="18"/>
          <w:szCs w:val="18"/>
          <w:color w:val="auto"/>
        </w:rPr>
        <w:t xml:space="preserve"> were effective at the reasonable assurance level.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and six months ended June 30, 2020,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9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2019, filed with the SEC on March 23, 2020, as well as the risk factors set forth below. The risk factors below are in addition to and supplement (and with respect to certain matters, update) the risk factors discussed in our Annual Report on Form 10-K and in our Current Report on From 8-K filed on July 29, 2020. Other than as set forth below, there have been no material changes to the risk factors included in our Annual Report on Form 10-K filed with the SEC on March 23, 2020 and in our Current Report on Form 8-K filed on July 29,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To date, the COVID-19 pandemic has negatively impacted the global economy and the magnitude, severity, and duration of this impact is unclear and difficult to assess. In addition, certain areas, including Texas where we are headquartered, have recently experienced a resurgence of COVID-19 cases. We have worked to adapt to the unexpected and challenging circumstances resulting from the COVID-19 pandemic and we have experienced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minimal COVID-19 disruptions to our clinical programs, our manufacturing capabilities and our financing capabilities during the six months ended June 30, 2020. Both our Ewing sarcoma clinical study and our Advanced Solid Tumor clinical study are active and continue to enroll</w:t>
      </w:r>
    </w:p>
    <w:p>
      <w:pPr>
        <w:spacing w:after="0" w:line="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patients. We plan to release clinical data from both studies, as previously disclosed, during 2020 and 2021. However, the situation with respect to the COVID-19 pandemic and its impact changes daily and is difficult to predict.</w:t>
      </w:r>
    </w:p>
    <w:p>
      <w:pPr>
        <w:spacing w:after="0" w:line="19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 has impacted all aspects of our business as well as those of the third-parties we rely upon for certain supplies and services. The continuation 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217" w:lineRule="exact"/>
        <w:rPr>
          <w:sz w:val="20"/>
          <w:szCs w:val="20"/>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continue to monitor the situation and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to the third parties with which we do business. As a result, the effects of the COVID-19 pandemic could have a material adverse impact on our business, results of operations, and financial condition for the remainder of 2020 and beyond.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$6.9 million for the year ended December 31, 2019, and we have incurred net loss of $1.8 million and $3.9 million for the three and the six months ended June 30, 2020,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have been funded in part through federal and state grants, including, but not limited to, the funding received from CPRIT. The amount and timing of our future funding requirements will depend on many factors, including but not limited to the pace and results of our clinical development efforts, as well as our ability to access the funding remaining available under the CPRIT grant. To date, we have also financed our operations primarily through the sale of equity securities. Our stock price has been negatively impacted in part by the downturn</w:t>
      </w:r>
    </w:p>
    <w:p>
      <w:pPr>
        <w:spacing w:after="0" w:line="1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the financial markets due to the COVID-19 pandemic. This in turn will likely negatively impact our ability to raise funds through equity-related financings. Further, the global economic</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downturn may impair our ability to obtain additional financing through other means, such as debt financing. There can be no assurance we</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will be able to 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convertible debt, or other securities convertible into equity, the ownership interest of our existing stockholders will be diluted, and the terms of these new securities may include liquidation or other preferences that adversely affect rights of our equity holders. Debt financing, if available at all,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its product candidates or future revenue streams or grant licenses on terms that are not favorable to us. We may not be able to obtain additional funding when necessary to fund our entire portfolio of product candidates to meet its projected plans. If we are unable to obtain funding on a timely basis, we may be required to delay or discontinue one or more of our development programs or the commercialization of any product candidates or be unable to expand our operations or otherwise capitalize on potential business opportunities. The occurrence of any of these events could materially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federal and state grants, including funding from CPRIT and failure to receive additional grants may harm our business.</w:t>
      </w:r>
    </w:p>
    <w:p>
      <w:pPr>
        <w:spacing w:after="0" w:line="2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During the course of the development of our product candidates, we have been funded in part through federal and state grants, including but not limited to the funding we received from CPRIT. The grants have been, and any future government grants and contracts we may receive may be, subject to the risks and contingencies set forth in our Annual Report on Form 10-K for the year ended December 31, 2019, including under the risk factor entitled “Reliance on government funding for our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it to potential financial penalties, which could materially and adversely affect our business, financial condition and results of operations.” The CPRIT agreement was awarded in June 2016 and originally provided for a three-year grant award of up to $18.7 million to fund the development of the LSD-1 inhibitor. As of March 31, 2020, we had received an aggregate of $9.6 million from the CPRIT grant. A portion of the remaining $9.1 million CPRIT grant was for a castration-resistant prostate study (approximately $2.6 million). As we have elected not to pursue this study, we will be requesting from CPRIT approval to redeploy the allocated prostate study funds to our expanded Ewing sarcoma trial. If CPRIT terminates our agreement prior to the expiration due to an event of default or if we terminate the agreement, CPRIT may require us to repay some or all of the disbursed grant. The term of the CPRIT agreement was extended through May 2020 and we have applied for an extension with a proposed contract end date of November 30, 2020. Although we may apply for government contracts and grants in the future, we may not be successful in obtaining additional grants for any product candidates or programs. Failure to receive government grants in the future may harm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Reliance on Third Parties</w:t>
      </w:r>
    </w:p>
    <w:p>
      <w:pPr>
        <w:spacing w:after="0" w:line="19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i w:val="1"/>
          <w:iCs w:val="1"/>
          <w:color w:val="auto"/>
        </w:rPr>
        <w:t>We rely on third parties to conduct our clinical trials, manufacture our product candidates, and perform other services. If these parties are not able to successfully perform due to the impact of the COVID-19 pandemic or otherwise, there may be delays in our ability to successfully complete clinical development, obtain regulatory approval or commercialize our product candidates, any of which in turn could substantially harm our business.</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relied and plan to continue to rely upon third-parties such as contract research organizations ("CROs,") and hospitals to conduct, monitor and manage our ongoing clinical programs. We rely on these parties for execution of clinical trials and manage and control only some aspects of their activities. In addition, third parties may not prioritize our clinical trials relative to those of other customers due to resource or other constraints as a result of the COVID-19 pandemic. Due to the continued impact of the COVID-19 pandemic or otherwise,</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experience enrollment at a slower pace at certain of our clinical trial sites than initially anticipated. Further, our clinical trial sites may be required to suspend enrollment due to travel restrictions, workplace safety concerns, quarantine, facility closures, and other governmental restrictions. As a result, results from our clinical trials may be delayed, which 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expect to rely on third parties to manufacture our clinical product supplies and to produce and process our product candidates, if approved. The commercialization of any of our product candidates could be stopped, delayed or made less profitable if those third parties are unable to provide us with sufficient quantities of drug product, or to do so at acceptable quality levels or prices due to the COVID-19 pandemic or otherwise.</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rely on outside vendors to manufacture our clinical supplies of our product candidates and plans to continue relying on third parties to manufacture our product candidates on a commercial scale, if approved. The COVID-19 pandemic has placed a significant strain on the pharmaceutical industry, manufacturers of clinical supplies, healthcare-related supplies and resources, and the healthcare-related manufacturing sector in general. The impact of the COVID-19 pandemic has exacerbated the risks to which we are subject due to its reliance</w:t>
      </w:r>
    </w:p>
    <w:p>
      <w:pPr>
        <w:spacing w:after="0" w:line="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third-party manufacturers. For example, we may be unable to identify manufacturers on acceptable terms or at all or third-party manufacturers may not be able to execute our manufacturing procedures appropriately or may not perform as agreed or may not remain in the contract manufacturing business for the time required to supply our clinical trials or to successfully produce, store and distribute our products.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our manufacturers may experience manufacturing difficulties due to resource constraints, the impact of the COVID-19 pandemic, or as a result of labor disputes or unstable political environments. If our manufacturers were to encounter any of these difficulties, or otherwise fail to comply with their contractual obligations, our ability to provide our its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Business Operations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Due to our limited number of employees, our operations could be significantly and disproportionately impacted if any of our personnel were to test positive for COVID-19.</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small company with a limited number of employees performing multiple tasks each. We are also highly dependent on David J. Arthur, our president and chief executive officer, the loss of whose services may adversely impact the achievement of our objectives. There is currently a shortage of highly qualified personnel in our industry, which is likely to continue. Additionally, this shortage of highly qualified personnel is particularly acute in the area where our headquarter is located. If any of our personnel were to test positive for COVID-19, it</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would likely significantly impair our operations. The loss of services of any of our personnel, including Mr. Arthur, particularly for an extended period due to COVID-19 or otherwise, would likely impede the progress of our research, development, and commercialization objectives and would negatively impact our ability to succeed in our product development strategy.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face business disruption and related risks resulting from President Trump's recent invocation of the Defense Production Act, either of which could have a material adverse effect on our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response to the COVID-19 pandemic, President Trump invoked the Defense Production Act, codified at 50 U.S.C. §§ 4501 et seq. (the “Defense Production Act”). Pursuant to the, Defense Production Act the federal government may, among other things, require domestic industries to provide essential goods and services needed for the national defense. While we have not experienced any significant impact on our business as a result of such actions, we continue to assess the potential impact COVID-19 and the invocation of the Defense Production Act may have on our ability to effectively conduct our commercialization efforts and development programs and otherwise conduct our</w:t>
      </w:r>
    </w:p>
    <w:p>
      <w:pPr>
        <w:spacing w:after="0" w:line="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operations as planned. There can be no assurance that we will not be further impacted by the COVID-19 pandemic or by any action taken by the federal government under the Defense Production Act, including downturns in business sentiment generally or in our industry and business in particular.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Future sales of a significant number of our shares of common stock in the public markets, or the perception that such sales could occur, could depress the market price of our shares of our common stock or cause our stock price to decline.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The terms of the warrants issued in the February Offering could impede our ability to enter into certain transactions or obtain additional financing.</w:t>
      </w:r>
    </w:p>
    <w:p>
      <w:pPr>
        <w:spacing w:after="0" w:line="20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terms of the warrants issued in the February Offering require us, upon the consummation of any “fundamental transaction” (as defined in the securities), to, among other obligations, cause any successor entity resulting from the fundamental transaction to assume all of our obligations under the such warrants and the associated transaction documents. In addition, holders of Series A convertible preferred stock and such warrants are entitled to participate in any fundamental transaction on an as-converted or as-exercised basis, which could result in the holders of our common stock receiving a lesser portion of the consideration from a fundamental transaction. The terms of such warrants could also impede our ability to enter into certain transactions or obtain additional financing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subsequent financings may adversely impact our stockholders.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To finance our future business plans and working capital needs, we will need to raise funds through the issuance of equity or debt securities. Depending on the type and the terms of any financing we pursue, stockholders’ rights and the value of their investment in our common stock and warrants could be reduced. A financing could involve one or more types of securities including common stock, convertible debt, or warrants to acquire common stock. These securities could be issued at or below the then prevailing market price for our common stock. In addition, if we issue secured debt securities, the holders of the debt would have a claim to our assets that would be senior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and the value of any outstanding warrants could be negatively impacted.</w:t>
      </w:r>
    </w:p>
    <w:p>
      <w:pPr>
        <w:spacing w:after="0" w:line="199" w:lineRule="exact"/>
        <w:rPr>
          <w:sz w:val="20"/>
          <w:szCs w:val="20"/>
          <w:color w:val="auto"/>
        </w:rPr>
      </w:pPr>
    </w:p>
    <w:p>
      <w:pPr>
        <w:jc w:val="both"/>
        <w:ind w:right="20"/>
        <w:spacing w:after="0"/>
        <w:rPr>
          <w:sz w:val="20"/>
          <w:szCs w:val="20"/>
          <w:color w:val="auto"/>
        </w:rPr>
      </w:pPr>
      <w:r>
        <w:rPr>
          <w:rFonts w:ascii="Arial" w:cs="Arial" w:eastAsia="Arial" w:hAnsi="Arial"/>
          <w:sz w:val="18"/>
          <w:szCs w:val="18"/>
          <w:b w:val="1"/>
          <w:bCs w:val="1"/>
          <w:i w:val="1"/>
          <w:iCs w:val="1"/>
          <w:color w:val="auto"/>
        </w:rPr>
        <w:t>We do not currently intend to pay dividends on our common stock, and any return to investors is expected to come, if at all, only from potential increases in the price of our common stock.</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At the present time, we intend to use available funds to finance our operations. Accordingly, while payment of dividends rests within the discretion of our board of directors, we have no intention of paying any such dividends in the foreseeable future.</w:t>
      </w:r>
    </w:p>
    <w:p>
      <w:pPr>
        <w:spacing w:after="0" w:line="18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i w:val="1"/>
          <w:iCs w:val="1"/>
          <w:color w:val="auto"/>
        </w:rPr>
        <w:t>If we fail to comply with the continued listing standards of Nasdaq, our common stock may be delisted from Nasdaq. This in turn could result in significantly reduced trading liquidity, reduced trading volumes, and loss of research analyst coverage, among other consequences. These in turn could result in a further decline in the market price of common stock and would have a material adverse effect on our company.</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April 9, 2020, we were notified (the "Notice") by Nasdaq Stock Market, LLC ("Nasdaq") that on April 8, 2020 the average closing price of our common stock over the prior 30 consecutive trading days had fallen below $1.00 per share, which is the minimum average closing price</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required to maintain listing on Nasdaq under Nasdaq Listing Rule 5450(a)(1) (the “Minimum Bid Requirement”). We were subsequent notified by Nasdaq on June 15, 2020 that we have regained compliance with the Minimum Bid Requirement.</w:t>
      </w:r>
    </w:p>
    <w:p>
      <w:pPr>
        <w:spacing w:after="0" w:line="18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However, we cannot assure you that we will continue to comply with the continued listing standards of Nasdaq. To the extent that we are unable to maintain listing compliance or are unable to resolve any listing deficiency in the future, there is a risk that our common stock may be delisted from Nasdaq, which would adversely impact liquidity of our common stock and potentially result in even lower bid prices for our common stock.</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for any reasons, Nasdaq should delist our common stock, and if our common stock is not then eligible for quotation on another market for exchange, trading of shares of our common stock could be conducted in the over-the=counter markets. In such event, a reduction in some or all of the following may occur, each of which could materially and adversely affect our stockholders:</w:t>
      </w:r>
    </w:p>
    <w:p>
      <w:pPr>
        <w:spacing w:after="0" w:line="19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liquidity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market price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financing for the continuation of our operations;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institutional and general investors that will consider investing in our common stock;</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number of market makers in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availability of information concerning the trading prices and volume of our common stock;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number of broker-dealers willing to execute trades in shares of our common stock.</w:t>
      </w:r>
    </w:p>
    <w:p>
      <w:pPr>
        <w:spacing w:after="0" w:line="20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occurrence of any of these events could result in a further decline in the market price of common stock and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30" w:name="page31"/>
    <w:bookmarkEnd w:id="30"/>
    <w:p>
      <w:pPr>
        <w:spacing w:after="0"/>
        <w:rPr>
          <w:rFonts w:ascii="Arial" w:cs="Arial" w:eastAsia="Arial" w:hAnsi="Arial"/>
          <w:sz w:val="15"/>
          <w:szCs w:val="15"/>
          <w:u w:val="single" w:color="auto"/>
          <w:color w:val="0000FF"/>
        </w:rPr>
      </w:pPr>
      <w:hyperlink w:anchor="page1">
        <w:r>
          <w:rPr>
            <w:rFonts w:ascii="Arial" w:cs="Arial" w:eastAsia="Arial" w:hAnsi="Arial"/>
            <w:sz w:val="15"/>
            <w:szCs w:val="15"/>
            <w:u w:val="single" w:color="auto"/>
            <w:color w:val="0000FF"/>
          </w:rPr>
          <w:t>Table of Contents</w:t>
        </w:r>
      </w:hyperlink>
    </w:p>
    <w:p>
      <w:pPr>
        <w:sectPr>
          <w:pgSz w:w="11900" w:h="16838" w:orient="portrait"/>
          <w:cols w:equalWidth="0" w:num="1">
            <w:col w:w="11140"/>
          </w:cols>
          <w:pgMar w:left="320" w:top="29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28" w:lineRule="exact"/>
        <w:rPr>
          <w:sz w:val="20"/>
          <w:szCs w:val="20"/>
          <w:color w:val="auto"/>
        </w:rPr>
      </w:pPr>
    </w:p>
    <w:p>
      <w:pPr>
        <w:ind w:left="200" w:right="20" w:firstLine="30"/>
        <w:spacing w:after="0" w:line="301"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686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28575</wp:posOffset>
            </wp:positionV>
            <wp:extent cx="6103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9" w:lineRule="exact"/>
        <w:rPr>
          <w:sz w:val="20"/>
          <w:szCs w:val="20"/>
          <w:color w:val="auto"/>
        </w:rPr>
      </w:pPr>
    </w:p>
    <w:p>
      <w:pPr>
        <w:ind w:left="360" w:right="380"/>
        <w:spacing w:after="0" w:line="219"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Amended and Restated Certificate of Incorporation of the Registrant (incorporated by reference to Exhibit 3.1 to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Registrant’s Current Report on Form 8-K filed with the SEC on February 9, 2015).</w:t>
        </w:r>
      </w:hyperlink>
    </w:p>
    <w:p>
      <w:pPr>
        <w:ind w:left="360" w:right="180"/>
        <w:spacing w:after="0" w:line="209"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Certificate of Amendment of Certificate of Incorporation, filed with Secretary of State of Delaware on July 18, 2019</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(incorporated by reference to Exhibit 3.1 to the Registrant’s Current Report on Form 8-K filed with the SEC on July 22,</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2019).</w:t>
        </w:r>
      </w:hyperlink>
    </w:p>
    <w:p>
      <w:pPr>
        <w:spacing w:after="0" w:line="26"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Certificate of Designation of Preferences, Rights and Limitations of Series A Convertible Preferred Stock, dated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February 10, 2020 (incorporated by reference to Exhibit 3.1 to the Registrant’s Current Report on Form 8-K filed with the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SEC on February 12, 2020).</w:t>
        </w:r>
      </w:hyperlink>
    </w:p>
    <w:p>
      <w:pPr>
        <w:spacing w:after="0" w:line="10" w:lineRule="exact"/>
        <w:rPr>
          <w:rFonts w:ascii="Arial" w:cs="Arial" w:eastAsia="Arial" w:hAnsi="Arial"/>
          <w:sz w:val="18"/>
          <w:szCs w:val="18"/>
          <w:u w:val="single" w:color="auto"/>
          <w:color w:val="0000FF"/>
        </w:rPr>
      </w:pPr>
    </w:p>
    <w:p>
      <w:pPr>
        <w:sectPr>
          <w:pgSz w:w="11900" w:h="16838" w:orient="portrait"/>
          <w:cols w:equalWidth="0" w:num="2">
            <w:col w:w="880" w:space="340"/>
            <w:col w:w="9920"/>
          </w:cols>
          <w:pgMar w:left="320" w:top="290" w:right="439" w:bottom="1440" w:gutter="0" w:footer="0" w:header="0"/>
          <w:type w:val="continuous"/>
        </w:sectPr>
      </w:pPr>
    </w:p>
    <w:tbl>
      <w:tblPr>
        <w:tblLayout w:type="fixed"/>
        <w:tblInd w:w="58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color w:val="auto"/>
              </w:rPr>
              <w:t>3.4</w:t>
            </w:r>
          </w:p>
        </w:tc>
        <w:tc>
          <w:tcPr>
            <w:tcW w:w="9520" w:type="dxa"/>
            <w:vAlign w:val="bottom"/>
            <w:gridSpan w:val="10"/>
          </w:tcPr>
          <w:p>
            <w:pPr>
              <w:spacing w:after="0"/>
              <w:rPr>
                <w:rFonts w:ascii="Arial" w:cs="Arial" w:eastAsia="Arial" w:hAnsi="Arial"/>
                <w:sz w:val="18"/>
                <w:szCs w:val="18"/>
                <w:color w:val="0000FF"/>
              </w:rPr>
            </w:pPr>
            <w:hyperlink r:id="rId47">
              <w:r>
                <w:rPr>
                  <w:rFonts w:ascii="Arial" w:cs="Arial" w:eastAsia="Arial" w:hAnsi="Arial"/>
                  <w:sz w:val="18"/>
                  <w:szCs w:val="18"/>
                  <w:color w:val="0000FF"/>
                </w:rPr>
                <w:t>Amended and Restated Bylaws, effective July 19, 2019 (incorporated by reference to Exhibit 3.2 to the Registrant’s</w:t>
              </w:r>
            </w:hyperlink>
          </w:p>
        </w:tc>
      </w:tr>
      <w:tr>
        <w:trPr>
          <w:trHeight w:val="183"/>
        </w:trPr>
        <w:tc>
          <w:tcPr>
            <w:tcW w:w="1000" w:type="dxa"/>
            <w:vAlign w:val="bottom"/>
          </w:tcPr>
          <w:p>
            <w:pPr>
              <w:spacing w:after="0"/>
              <w:rPr>
                <w:sz w:val="15"/>
                <w:szCs w:val="15"/>
                <w:color w:val="auto"/>
              </w:rPr>
            </w:pPr>
          </w:p>
        </w:tc>
        <w:tc>
          <w:tcPr>
            <w:tcW w:w="914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47">
              <w:r>
                <w:rPr>
                  <w:rFonts w:ascii="Arial" w:cs="Arial" w:eastAsia="Arial" w:hAnsi="Arial"/>
                  <w:sz w:val="18"/>
                  <w:szCs w:val="18"/>
                  <w:color w:val="0000FF"/>
                </w:rPr>
                <w:t>Current Report on Form 8-K filed with the SEC on July 22, 2019).</w:t>
              </w:r>
            </w:hyperlink>
          </w:p>
        </w:tc>
        <w:tc>
          <w:tcPr>
            <w:tcW w:w="380" w:type="dxa"/>
            <w:vAlign w:val="bottom"/>
            <w:gridSpan w:val="2"/>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000" w:type="dxa"/>
            <w:vAlign w:val="bottom"/>
          </w:tcPr>
          <w:p>
            <w:pPr>
              <w:jc w:val="right"/>
              <w:ind w:right="610"/>
              <w:spacing w:after="0"/>
              <w:rPr>
                <w:sz w:val="20"/>
                <w:szCs w:val="20"/>
                <w:color w:val="auto"/>
              </w:rPr>
            </w:pPr>
            <w:r>
              <w:rPr>
                <w:rFonts w:ascii="Arial" w:cs="Arial" w:eastAsia="Arial" w:hAnsi="Arial"/>
                <w:sz w:val="18"/>
                <w:szCs w:val="18"/>
                <w:color w:val="auto"/>
              </w:rPr>
              <w:t>4.1</w:t>
            </w:r>
          </w:p>
        </w:tc>
        <w:tc>
          <w:tcPr>
            <w:tcW w:w="9520" w:type="dxa"/>
            <w:vAlign w:val="bottom"/>
            <w:gridSpan w:val="10"/>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Common Stock Purchase Warrant dated February 11, 2020 (incorporated by reference to Exhibit 4.1 to the Registrant’s</w:t>
              </w:r>
            </w:hyperlink>
          </w:p>
        </w:tc>
      </w:tr>
      <w:tr>
        <w:trPr>
          <w:trHeight w:val="183"/>
        </w:trPr>
        <w:tc>
          <w:tcPr>
            <w:tcW w:w="1000" w:type="dxa"/>
            <w:vAlign w:val="bottom"/>
          </w:tcPr>
          <w:p>
            <w:pPr>
              <w:spacing w:after="0"/>
              <w:rPr>
                <w:sz w:val="15"/>
                <w:szCs w:val="15"/>
                <w:color w:val="auto"/>
              </w:rPr>
            </w:pPr>
          </w:p>
        </w:tc>
        <w:tc>
          <w:tcPr>
            <w:tcW w:w="45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Current Report on Form 8-K filed on February 12, 2020).</w:t>
              </w:r>
            </w:hyperlink>
          </w:p>
        </w:tc>
        <w:tc>
          <w:tcPr>
            <w:tcW w:w="498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000" w:type="dxa"/>
            <w:vAlign w:val="bottom"/>
          </w:tcPr>
          <w:p>
            <w:pPr>
              <w:jc w:val="right"/>
              <w:ind w:right="610"/>
              <w:spacing w:after="0"/>
              <w:rPr>
                <w:sz w:val="20"/>
                <w:szCs w:val="20"/>
                <w:color w:val="auto"/>
              </w:rPr>
            </w:pPr>
            <w:r>
              <w:rPr>
                <w:rFonts w:ascii="Arial" w:cs="Arial" w:eastAsia="Arial" w:hAnsi="Arial"/>
                <w:sz w:val="18"/>
                <w:szCs w:val="18"/>
                <w:color w:val="auto"/>
              </w:rPr>
              <w:t>4.2</w:t>
            </w:r>
          </w:p>
        </w:tc>
        <w:tc>
          <w:tcPr>
            <w:tcW w:w="9520" w:type="dxa"/>
            <w:vAlign w:val="bottom"/>
            <w:gridSpan w:val="10"/>
          </w:tcPr>
          <w:p>
            <w:pPr>
              <w:spacing w:after="0"/>
              <w:rPr>
                <w:rFonts w:ascii="Arial" w:cs="Arial" w:eastAsia="Arial" w:hAnsi="Arial"/>
                <w:sz w:val="18"/>
                <w:szCs w:val="18"/>
                <w:color w:val="0000FF"/>
              </w:rPr>
            </w:pPr>
            <w:hyperlink r:id="rId49">
              <w:r>
                <w:rPr>
                  <w:rFonts w:ascii="Arial" w:cs="Arial" w:eastAsia="Arial" w:hAnsi="Arial"/>
                  <w:sz w:val="18"/>
                  <w:szCs w:val="18"/>
                  <w:color w:val="0000FF"/>
                </w:rPr>
                <w:t>Form of Common Stock Purchase Warrant (incorporated by reference to Exhibit 4.8 to the Registrant’s Registration</w:t>
              </w:r>
            </w:hyperlink>
          </w:p>
        </w:tc>
      </w:tr>
      <w:tr>
        <w:trPr>
          <w:trHeight w:val="183"/>
        </w:trPr>
        <w:tc>
          <w:tcPr>
            <w:tcW w:w="100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Statement on Form S-1/A filed on February 6, 2020).</w:t>
              </w:r>
            </w:hyperlink>
          </w:p>
        </w:tc>
        <w:tc>
          <w:tcPr>
            <w:tcW w:w="4940" w:type="dxa"/>
            <w:vAlign w:val="bottom"/>
            <w:tcBorders>
              <w:top w:val="single" w:sz="8" w:color="0000FF"/>
            </w:tcBorders>
            <w:gridSpan w:val="6"/>
          </w:tcPr>
          <w:p>
            <w:pPr>
              <w:spacing w:after="0"/>
              <w:rPr>
                <w:sz w:val="15"/>
                <w:szCs w:val="15"/>
                <w:color w:val="auto"/>
              </w:rPr>
            </w:pPr>
          </w:p>
        </w:tc>
        <w:tc>
          <w:tcPr>
            <w:tcW w:w="380" w:type="dxa"/>
            <w:vAlign w:val="bottom"/>
            <w:gridSpan w:val="2"/>
          </w:tcPr>
          <w:p>
            <w:pPr>
              <w:spacing w:after="0"/>
              <w:rPr>
                <w:sz w:val="15"/>
                <w:szCs w:val="15"/>
                <w:color w:val="auto"/>
              </w:rPr>
            </w:pPr>
          </w:p>
        </w:tc>
      </w:tr>
      <w:tr>
        <w:trPr>
          <w:trHeight w:val="237"/>
        </w:trPr>
        <w:tc>
          <w:tcPr>
            <w:tcW w:w="1000" w:type="dxa"/>
            <w:vAlign w:val="bottom"/>
          </w:tcPr>
          <w:p>
            <w:pPr>
              <w:jc w:val="right"/>
              <w:ind w:right="610"/>
              <w:spacing w:after="0"/>
              <w:rPr>
                <w:sz w:val="20"/>
                <w:szCs w:val="20"/>
                <w:color w:val="auto"/>
              </w:rPr>
            </w:pPr>
            <w:r>
              <w:rPr>
                <w:rFonts w:ascii="Arial" w:cs="Arial" w:eastAsia="Arial" w:hAnsi="Arial"/>
                <w:sz w:val="18"/>
                <w:szCs w:val="18"/>
                <w:color w:val="auto"/>
              </w:rPr>
              <w:t>4.3</w:t>
            </w:r>
          </w:p>
        </w:tc>
        <w:tc>
          <w:tcPr>
            <w:tcW w:w="8600" w:type="dxa"/>
            <w:vAlign w:val="bottom"/>
            <w:tcBorders>
              <w:bottom w:val="single" w:sz="8" w:color="0000FF"/>
            </w:tcBorders>
            <w:gridSpan w:val="6"/>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Form of Preferred Stock Certificate of Registrant (incorporated by reference to Exhibit 4.9 to the Registrant’s</w:t>
              </w:r>
            </w:hyperlink>
          </w:p>
        </w:tc>
        <w:tc>
          <w:tcPr>
            <w:tcW w:w="920" w:type="dxa"/>
            <w:vAlign w:val="bottom"/>
            <w:gridSpan w:val="4"/>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9520" w:type="dxa"/>
            <w:vAlign w:val="bottom"/>
            <w:gridSpan w:val="10"/>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Registration Statement on Form S-1/A filed on February 6, 2020).</w:t>
              </w:r>
            </w:hyperlink>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r>
      <w:tr>
        <w:trPr>
          <w:trHeight w:val="236"/>
        </w:trPr>
        <w:tc>
          <w:tcPr>
            <w:tcW w:w="1000" w:type="dxa"/>
            <w:vAlign w:val="bottom"/>
          </w:tcPr>
          <w:p>
            <w:pPr>
              <w:jc w:val="right"/>
              <w:ind w:right="450"/>
              <w:spacing w:after="0"/>
              <w:rPr>
                <w:sz w:val="20"/>
                <w:szCs w:val="20"/>
                <w:color w:val="auto"/>
              </w:rPr>
            </w:pPr>
            <w:r>
              <w:rPr>
                <w:rFonts w:ascii="Arial" w:cs="Arial" w:eastAsia="Arial" w:hAnsi="Arial"/>
                <w:sz w:val="18"/>
                <w:szCs w:val="18"/>
                <w:color w:val="auto"/>
                <w:w w:val="96"/>
              </w:rPr>
              <w:t>10.1+</w:t>
            </w:r>
          </w:p>
        </w:tc>
        <w:tc>
          <w:tcPr>
            <w:tcW w:w="8700" w:type="dxa"/>
            <w:vAlign w:val="bottom"/>
            <w:tcBorders>
              <w:bottom w:val="single" w:sz="8" w:color="0000FF"/>
            </w:tcBorders>
            <w:gridSpan w:val="7"/>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Employment Agreement between Mark J. Rosenblum and Salarius Pharmaceutical, Inc., dated April 24, 2020</w:t>
              </w:r>
            </w:hyperlink>
          </w:p>
        </w:tc>
        <w:tc>
          <w:tcPr>
            <w:tcW w:w="820" w:type="dxa"/>
            <w:vAlign w:val="bottom"/>
            <w:gridSpan w:val="3"/>
          </w:tcPr>
          <w:p>
            <w:pPr>
              <w:spacing w:after="0"/>
              <w:rPr>
                <w:sz w:val="20"/>
                <w:szCs w:val="20"/>
                <w:color w:val="auto"/>
              </w:rPr>
            </w:pPr>
          </w:p>
        </w:tc>
      </w:tr>
      <w:tr>
        <w:trPr>
          <w:trHeight w:val="183"/>
        </w:trPr>
        <w:tc>
          <w:tcPr>
            <w:tcW w:w="1000" w:type="dxa"/>
            <w:vAlign w:val="bottom"/>
          </w:tcPr>
          <w:p>
            <w:pPr>
              <w:spacing w:after="0"/>
              <w:rPr>
                <w:sz w:val="15"/>
                <w:szCs w:val="15"/>
                <w:color w:val="auto"/>
              </w:rPr>
            </w:pPr>
          </w:p>
        </w:tc>
        <w:tc>
          <w:tcPr>
            <w:tcW w:w="952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(incorporated by reference to Exhibit 10.1 to the Registrant’s Current Report on Form 8-K filed with the SEC on April 29,</w:t>
              </w:r>
            </w:hyperlink>
          </w:p>
        </w:tc>
      </w:tr>
      <w:tr>
        <w:trPr>
          <w:trHeight w:val="183"/>
        </w:trPr>
        <w:tc>
          <w:tcPr>
            <w:tcW w:w="1000" w:type="dxa"/>
            <w:vAlign w:val="bottom"/>
          </w:tcPr>
          <w:p>
            <w:pPr>
              <w:spacing w:after="0"/>
              <w:rPr>
                <w:sz w:val="15"/>
                <w:szCs w:val="15"/>
                <w:color w:val="auto"/>
              </w:rPr>
            </w:pPr>
          </w:p>
        </w:tc>
        <w:tc>
          <w:tcPr>
            <w:tcW w:w="500" w:type="dxa"/>
            <w:vAlign w:val="bottom"/>
            <w:tcBorders>
              <w:bottom w:val="single" w:sz="8" w:color="0000FF"/>
            </w:tcBorders>
          </w:tcPr>
          <w:p>
            <w:pPr>
              <w:spacing w:after="0" w:line="182"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2020).</w:t>
              </w:r>
            </w:hyperlink>
          </w:p>
        </w:tc>
        <w:tc>
          <w:tcPr>
            <w:tcW w:w="3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67" w:lineRule="exact"/>
        <w:rPr>
          <w:sz w:val="20"/>
          <w:szCs w:val="20"/>
          <w:color w:val="auto"/>
        </w:rPr>
      </w:pPr>
    </w:p>
    <w:p>
      <w:pPr>
        <w:sectPr>
          <w:pgSz w:w="11900" w:h="16838" w:orient="portrait"/>
          <w:cols w:equalWidth="0" w:num="1">
            <w:col w:w="11140"/>
          </w:cols>
          <w:pgMar w:left="320" w:top="290" w:right="439" w:bottom="1440" w:gutter="0" w:footer="0" w:header="0"/>
          <w:type w:val="continuous"/>
        </w:sectPr>
      </w:pPr>
    </w:p>
    <w:p>
      <w:pPr>
        <w:jc w:val="center"/>
        <w:ind w:left="580"/>
        <w:spacing w:after="0"/>
        <w:rPr>
          <w:sz w:val="20"/>
          <w:szCs w:val="20"/>
          <w:color w:val="auto"/>
        </w:rPr>
      </w:pPr>
      <w:r>
        <w:rPr>
          <w:rFonts w:ascii="Arial" w:cs="Arial" w:eastAsia="Arial" w:hAnsi="Arial"/>
          <w:sz w:val="18"/>
          <w:szCs w:val="18"/>
          <w:color w:val="auto"/>
        </w:rPr>
        <w:t>10.2+</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32.1*</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br w:type="column"/>
      </w:r>
    </w:p>
    <w:p>
      <w:pPr>
        <w:ind w:right="260"/>
        <w:spacing w:after="0" w:line="246"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Salarius Pharmaceuticals, Inc., 2015 Equity Incentive Plan, as amended (incorporated by reference to Exhibit 10.1 to</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the Registrant’s Current Report on Form 8-K filed with the SEC on June 19, 2020).</w:t>
        </w:r>
      </w:hyperlink>
    </w:p>
    <w:p>
      <w:pPr>
        <w:spacing w:after="0" w:line="21" w:lineRule="exact"/>
        <w:rPr>
          <w:sz w:val="20"/>
          <w:szCs w:val="20"/>
          <w:color w:val="auto"/>
        </w:rPr>
      </w:pPr>
    </w:p>
    <w:p>
      <w:pPr>
        <w:ind w:right="40"/>
        <w:spacing w:after="0" w:line="227"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Salarius Pharmaceuticals, Inc., 2015 Employee Stock Purchase Plan, as amended (incorporated by reference to Exhibit</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10.2 to the Registrant’s Current Report on Form 8-K filed with the SEC on June 19, 2020).</w:t>
        </w:r>
      </w:hyperlink>
    </w:p>
    <w:p>
      <w:pPr>
        <w:spacing w:after="0" w:line="13" w:lineRule="exact"/>
        <w:rPr>
          <w:sz w:val="20"/>
          <w:szCs w:val="20"/>
          <w:color w:val="auto"/>
        </w:rPr>
      </w:pPr>
    </w:p>
    <w:p>
      <w:pPr>
        <w:ind w:right="20"/>
        <w:spacing w:after="0" w:line="227"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the Principal Executive Officer pursuant to Rule 13a-14(a) or 15d-14(a) of the Securities Exchange Act of</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1934.</w:t>
        </w:r>
      </w:hyperlink>
    </w:p>
    <w:p>
      <w:pPr>
        <w:spacing w:after="0" w:line="13" w:lineRule="exact"/>
        <w:rPr>
          <w:sz w:val="20"/>
          <w:szCs w:val="20"/>
          <w:color w:val="auto"/>
        </w:rPr>
      </w:pPr>
    </w:p>
    <w:p>
      <w:pPr>
        <w:ind w:right="80"/>
        <w:spacing w:after="0" w:line="227" w:lineRule="auto"/>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the Principal Financial Officer pursuant to Rule 13a-14(a) or 15d-14(a) of the Securities Exchange Act of</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1934.</w:t>
        </w:r>
      </w:hyperlink>
    </w:p>
    <w:p>
      <w:pPr>
        <w:spacing w:after="0" w:line="13" w:lineRule="exact"/>
        <w:rPr>
          <w:sz w:val="20"/>
          <w:szCs w:val="20"/>
          <w:color w:val="auto"/>
        </w:rPr>
      </w:pPr>
    </w:p>
    <w:p>
      <w:pPr>
        <w:ind w:right="80"/>
        <w:spacing w:after="0" w:line="227" w:lineRule="auto"/>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Certification of Principal Executive Officer and Principal Financial Officer pursuant to Rule 13a-14(b) or 15d-14(b) of the</w:t>
        </w:r>
      </w:hyperlink>
      <w:r>
        <w:rPr>
          <w:rFonts w:ascii="Arial" w:cs="Arial" w:eastAsia="Arial" w:hAnsi="Arial"/>
          <w:sz w:val="18"/>
          <w:szCs w:val="18"/>
          <w:u w:val="single" w:color="auto"/>
          <w:color w:val="0000FF"/>
        </w:rPr>
        <w:t xml:space="preserve"> </w:t>
      </w:r>
      <w:hyperlink w:anchor="page35">
        <w:r>
          <w:rPr>
            <w:rFonts w:ascii="Arial" w:cs="Arial" w:eastAsia="Arial" w:hAnsi="Arial"/>
            <w:sz w:val="18"/>
            <w:szCs w:val="18"/>
            <w:u w:val="single" w:color="auto"/>
            <w:color w:val="0000FF"/>
          </w:rPr>
          <w:t>Exchange Act and 18 U.S.C. Section 1350.</w:t>
        </w:r>
      </w:hyperlink>
    </w:p>
    <w:p>
      <w:pPr>
        <w:spacing w:after="0" w:line="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materials from Salarius Pharmaceuticals, Inc.'s Quarterly Report on Form 10-Q for the quarter ended March 31, 2020,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626110</wp:posOffset>
            </wp:positionV>
            <wp:extent cx="2734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40" w:space="540"/>
            <w:col w:w="9560"/>
          </w:cols>
          <w:pgMar w:left="320" w:top="29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plans or arrangements.</w:t>
      </w:r>
    </w:p>
    <w:p>
      <w:pPr>
        <w:spacing w:after="0" w:line="1" w:lineRule="exact"/>
        <w:rPr>
          <w:sz w:val="20"/>
          <w:szCs w:val="20"/>
          <w:color w:val="auto"/>
        </w:rPr>
      </w:pPr>
    </w:p>
    <w:p>
      <w:pPr>
        <w:ind w:left="180" w:right="20" w:hanging="172"/>
        <w:spacing w:after="0" w:line="249" w:lineRule="auto"/>
        <w:tabs>
          <w:tab w:leader="none" w:pos="11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90" w:right="4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112"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17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David J. Arthur</w:t>
      </w:r>
    </w:p>
    <w:p>
      <w:pPr>
        <w:ind w:left="592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20"/>
        <w:spacing w:after="0"/>
        <w:rPr>
          <w:sz w:val="20"/>
          <w:szCs w:val="20"/>
          <w:color w:val="auto"/>
        </w:rPr>
      </w:pPr>
      <w:r>
        <w:rPr>
          <w:rFonts w:ascii="Arial" w:cs="Arial" w:eastAsia="Arial" w:hAnsi="Arial"/>
          <w:sz w:val="18"/>
          <w:szCs w:val="18"/>
          <w:i w:val="1"/>
          <w:iCs w:val="1"/>
          <w:color w:val="auto"/>
        </w:rPr>
        <w:t>Officer)</w:t>
      </w:r>
    </w:p>
    <w:p>
      <w:pPr>
        <w:spacing w:after="0" w:line="144"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17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J. Rosenblum</w:t>
      </w:r>
    </w:p>
    <w:p>
      <w:pPr>
        <w:ind w:left="592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5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August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290" w:right="4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20" w:firstLine="4"/>
        <w:spacing w:after="0" w:line="261" w:lineRule="auto"/>
        <w:tabs>
          <w:tab w:leader="none" w:pos="153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36258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J. Arthur</w:t>
      </w:r>
    </w:p>
    <w:p>
      <w:pPr>
        <w:spacing w:after="0" w:line="50" w:lineRule="exact"/>
        <w:rPr>
          <w:sz w:val="20"/>
          <w:szCs w:val="20"/>
          <w:color w:val="auto"/>
        </w:rPr>
      </w:pPr>
    </w:p>
    <w:p>
      <w:pPr>
        <w:ind w:left="1000"/>
        <w:spacing w:after="0"/>
        <w:tabs>
          <w:tab w:leader="none" w:pos="5480" w:val="left"/>
        </w:tabs>
        <w:rPr>
          <w:sz w:val="20"/>
          <w:szCs w:val="20"/>
          <w:color w:val="auto"/>
        </w:rPr>
      </w:pPr>
      <w:r>
        <w:rPr>
          <w:rFonts w:ascii="Arial" w:cs="Arial" w:eastAsia="Arial" w:hAnsi="Arial"/>
          <w:sz w:val="18"/>
          <w:szCs w:val="18"/>
          <w:color w:val="auto"/>
        </w:rPr>
        <w:t>August 12, 2020</w:t>
      </w:r>
      <w:r>
        <w:rPr>
          <w:sz w:val="20"/>
          <w:szCs w:val="20"/>
          <w:color w:val="auto"/>
        </w:rPr>
        <w:tab/>
      </w:r>
      <w:r>
        <w:rPr>
          <w:rFonts w:ascii="Arial" w:cs="Arial" w:eastAsia="Arial" w:hAnsi="Arial"/>
          <w:sz w:val="17"/>
          <w:szCs w:val="17"/>
          <w:color w:val="auto"/>
        </w:rPr>
        <w:t>President and Chief Executive Officer (Principal Executive Officer)</w:t>
      </w:r>
    </w:p>
    <w:p>
      <w:pPr>
        <w:sectPr>
          <w:pgSz w:w="11900" w:h="16838" w:orient="portrait"/>
          <w:cols w:equalWidth="0" w:num="1">
            <w:col w:w="11240"/>
          </w:cols>
          <w:pgMar w:left="320" w:top="103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firstLine="4"/>
        <w:spacing w:after="0" w:line="256"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 w:lineRule="exact"/>
        <w:rPr>
          <w:sz w:val="20"/>
          <w:szCs w:val="20"/>
          <w:color w:val="auto"/>
        </w:rPr>
      </w:pPr>
    </w:p>
    <w:tbl>
      <w:tblPr>
        <w:tblLayout w:type="fixed"/>
        <w:tblInd w:w="1000" w:type="dxa"/>
        <w:tblCellMar>
          <w:top w:w="0" w:type="dxa"/>
          <w:left w:w="0" w:type="dxa"/>
          <w:bottom w:w="0" w:type="dxa"/>
          <w:right w:w="0" w:type="dxa"/>
        </w:tblCellMar>
      </w:tblPr>
      <w:tr>
        <w:trPr>
          <w:trHeight w:val="224"/>
        </w:trPr>
        <w:tc>
          <w:tcPr>
            <w:tcW w:w="4480" w:type="dxa"/>
            <w:vAlign w:val="bottom"/>
          </w:tcPr>
          <w:p>
            <w:pPr>
              <w:spacing w:after="0"/>
              <w:rPr>
                <w:sz w:val="19"/>
                <w:szCs w:val="19"/>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3"/>
        </w:trPr>
        <w:tc>
          <w:tcPr>
            <w:tcW w:w="448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42"/>
        </w:trPr>
        <w:tc>
          <w:tcPr>
            <w:tcW w:w="448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480" w:type="dxa"/>
            <w:vAlign w:val="bottom"/>
          </w:tcPr>
          <w:p>
            <w:pPr>
              <w:spacing w:after="0"/>
              <w:rPr>
                <w:sz w:val="20"/>
                <w:szCs w:val="20"/>
                <w:color w:val="auto"/>
              </w:rPr>
            </w:pPr>
            <w:r>
              <w:rPr>
                <w:rFonts w:ascii="Arial" w:cs="Arial" w:eastAsia="Arial" w:hAnsi="Arial"/>
                <w:sz w:val="18"/>
                <w:szCs w:val="18"/>
                <w:color w:val="auto"/>
              </w:rPr>
              <w:t>August 12,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June 30, 2020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29" w:lineRule="exact"/>
        <w:rPr>
          <w:sz w:val="20"/>
          <w:szCs w:val="20"/>
          <w:color w:val="auto"/>
        </w:rPr>
      </w:pPr>
    </w:p>
    <w:p>
      <w:pPr>
        <w:ind w:left="660" w:right="220" w:hanging="4"/>
        <w:spacing w:after="0" w:line="261"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900" w:type="dxa"/>
        <w:tblCellMar>
          <w:top w:w="0" w:type="dxa"/>
          <w:left w:w="0" w:type="dxa"/>
          <w:bottom w:w="0" w:type="dxa"/>
          <w:right w:w="0" w:type="dxa"/>
        </w:tblCellMar>
      </w:tblPr>
      <w:tr>
        <w:trPr>
          <w:trHeight w:val="224"/>
        </w:trPr>
        <w:tc>
          <w:tcPr>
            <w:tcW w:w="4580" w:type="dxa"/>
            <w:vAlign w:val="bottom"/>
          </w:tcPr>
          <w:p>
            <w:pPr>
              <w:spacing w:after="0"/>
              <w:rPr>
                <w:sz w:val="19"/>
                <w:szCs w:val="19"/>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43"/>
        </w:trPr>
        <w:tc>
          <w:tcPr>
            <w:tcW w:w="458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56"/>
        </w:trPr>
        <w:tc>
          <w:tcPr>
            <w:tcW w:w="4580" w:type="dxa"/>
            <w:vAlign w:val="bottom"/>
          </w:tcPr>
          <w:p>
            <w:pPr>
              <w:spacing w:after="0"/>
              <w:rPr>
                <w:sz w:val="20"/>
                <w:szCs w:val="20"/>
                <w:color w:val="auto"/>
              </w:rPr>
            </w:pPr>
            <w:r>
              <w:rPr>
                <w:rFonts w:ascii="Arial" w:cs="Arial" w:eastAsia="Arial" w:hAnsi="Arial"/>
                <w:sz w:val="18"/>
                <w:szCs w:val="18"/>
                <w:color w:val="auto"/>
              </w:rPr>
              <w:t>August 12,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642"/>
        </w:trPr>
        <w:tc>
          <w:tcPr>
            <w:tcW w:w="4580" w:type="dxa"/>
            <w:vAlign w:val="bottom"/>
          </w:tcPr>
          <w:p>
            <w:pPr>
              <w:spacing w:after="0"/>
              <w:rPr>
                <w:sz w:val="24"/>
                <w:szCs w:val="24"/>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3"/>
        </w:trPr>
        <w:tc>
          <w:tcPr>
            <w:tcW w:w="458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42"/>
        </w:trPr>
        <w:tc>
          <w:tcPr>
            <w:tcW w:w="458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580" w:type="dxa"/>
            <w:vAlign w:val="bottom"/>
          </w:tcPr>
          <w:p>
            <w:pPr>
              <w:spacing w:after="0"/>
              <w:rPr>
                <w:sz w:val="20"/>
                <w:szCs w:val="20"/>
                <w:color w:val="auto"/>
              </w:rPr>
            </w:pPr>
            <w:r>
              <w:rPr>
                <w:rFonts w:ascii="Arial" w:cs="Arial" w:eastAsia="Arial" w:hAnsi="Arial"/>
                <w:sz w:val="18"/>
                <w:szCs w:val="18"/>
                <w:color w:val="auto"/>
              </w:rPr>
              <w:t>August 12,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44" Type="http://schemas.openxmlformats.org/officeDocument/2006/relationships/hyperlink" Target="http://www.sec.gov/Archives/edgar/data/1615219/000110465915007801/a15-4061_1ex3d1.htm" TargetMode="External"/><Relationship Id="rId45" Type="http://schemas.openxmlformats.org/officeDocument/2006/relationships/hyperlink" Target="http://www.sec.gov/Archives/edgar/data/1615219/000119312519199074/d754556dex31.htm" TargetMode="External"/><Relationship Id="rId46" Type="http://schemas.openxmlformats.org/officeDocument/2006/relationships/hyperlink" Target="http://www.sec.gov/Archives/edgar/data/1615219/000119312520033412/d863520dex31.htm" TargetMode="External"/><Relationship Id="rId47" Type="http://schemas.openxmlformats.org/officeDocument/2006/relationships/hyperlink" Target="http://www.sec.gov/Archives/edgar/data/1615219/000119312519199074/d754556dex32.htm" TargetMode="External"/><Relationship Id="rId48" Type="http://schemas.openxmlformats.org/officeDocument/2006/relationships/hyperlink" Target="http://www.sec.gov/Archives/edgar/data/1615219/000119312520033412/d863520dex41.htm" TargetMode="External"/><Relationship Id="rId49" Type="http://schemas.openxmlformats.org/officeDocument/2006/relationships/hyperlink" Target="http://www.sec.gov/Archives/edgar/data/1615219/000119312520025727/d857822dex48.htm" TargetMode="External"/><Relationship Id="rId50" Type="http://schemas.openxmlformats.org/officeDocument/2006/relationships/hyperlink" Target="http://www.sec.gov/Archives/edgar/data/1615219/000119312520025727/d857822dex49.htm" TargetMode="External"/><Relationship Id="rId51" Type="http://schemas.openxmlformats.org/officeDocument/2006/relationships/hyperlink" Target="http://www.sec.gov/Archives/edgar/data/1615219/000161521920000050/mrosenblum-executiveem.htm" TargetMode="External"/><Relationship Id="rId52" Type="http://schemas.openxmlformats.org/officeDocument/2006/relationships/hyperlink" Target="http://www.sec.gov/Archives/edgar/data/1615219/000161521920000072/salarius-2015equityinc.htm" TargetMode="External"/><Relationship Id="rId53" Type="http://schemas.openxmlformats.org/officeDocument/2006/relationships/hyperlink" Target="http://www.sec.gov/Archives/edgar/data/1615219/000161521920000072/salarius-2015employ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2020-08-12T15:06:44Z</dcterms:created>
  <dcterms:modified xsi:type="dcterms:W3CDTF">2020-08-12T15:06:44Z</dcterms:modified>
</cp:coreProperties>
</file>