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10-K</w:t>
      </w:r>
    </w:p>
    <w:p>
      <w:pPr>
        <w:pStyle w:val="TextBody"/>
        <w:bidi w:val="0"/>
        <w:spacing w:lineRule="auto" w:line="288" w:before="0" w:after="0"/>
        <w:jc w:val="center"/>
        <w:rPr>
          <w:color w:val="000000"/>
        </w:rPr>
      </w:pPr>
      <w:r>
        <w:rPr>
          <w:color w:val="000000"/>
        </w:rPr>
        <w:t>————————————</w:t>
      </w:r>
    </w:p>
    <w:tbl>
      <w:tblPr>
        <w:tblW w:w="10205" w:type="dxa"/>
        <w:jc w:val="center"/>
        <w:tblInd w:w="0" w:type="dxa"/>
        <w:tblLayout w:type="fixed"/>
        <w:tblCellMar>
          <w:top w:w="28" w:type="dxa"/>
          <w:left w:w="28" w:type="dxa"/>
          <w:bottom w:w="28" w:type="dxa"/>
          <w:right w:w="28" w:type="dxa"/>
        </w:tblCellMar>
      </w:tblPr>
      <w:tblGrid>
        <w:gridCol w:w="191"/>
        <w:gridCol w:w="168"/>
        <w:gridCol w:w="168"/>
        <w:gridCol w:w="2868"/>
        <w:gridCol w:w="2796"/>
        <w:gridCol w:w="4014"/>
      </w:tblGrid>
      <w:tr>
        <w:trPr/>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(Mark One)</w:t>
            </w:r>
          </w:p>
        </w:tc>
      </w:tr>
      <w:tr>
        <w:trPr/>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67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0"/>
              </w:rPr>
            </w:pPr>
            <w:r>
              <w:rPr>
                <w:rFonts w:ascii="Arial;sans-serif" w:hAnsi="Arial;sans-serif"/>
                <w:b/>
                <w:color w:val="000000"/>
                <w:sz w:val="20"/>
              </w:rPr>
              <w:t>ANNUAL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For the fiscal year ended December 31, 2023</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OR</w:t>
            </w:r>
          </w:p>
        </w:tc>
      </w:tr>
      <w:tr>
        <w:trPr/>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TRANSITION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Transition Period from                                  to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Commission File Number: 001-36812</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SALARIUS PHARMACEUTICALS,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p>
      <w:pPr>
        <w:pStyle w:val="TextBody"/>
        <w:bidi w:val="0"/>
        <w:spacing w:lineRule="auto" w:line="288" w:before="0" w:after="0"/>
        <w:jc w:val="center"/>
        <w:rPr>
          <w:color w:val="000000"/>
        </w:rPr>
      </w:pPr>
      <w:r>
        <w:rPr>
          <w:color w:val="000000"/>
        </w:rPr>
        <w:t>———————————————————</w:t>
      </w:r>
    </w:p>
    <w:tbl>
      <w:tblPr>
        <w:tblW w:w="4700" w:type="dxa"/>
        <w:jc w:val="center"/>
        <w:tblInd w:w="0" w:type="dxa"/>
        <w:tblLayout w:type="fixed"/>
        <w:tblCellMar>
          <w:top w:w="28" w:type="dxa"/>
          <w:left w:w="28" w:type="dxa"/>
          <w:bottom w:w="28" w:type="dxa"/>
          <w:right w:w="28" w:type="dxa"/>
        </w:tblCellMar>
      </w:tblPr>
      <w:tblGrid>
        <w:gridCol w:w="124"/>
        <w:gridCol w:w="109"/>
        <w:gridCol w:w="109"/>
        <w:gridCol w:w="762"/>
        <w:gridCol w:w="762"/>
        <w:gridCol w:w="771"/>
        <w:gridCol w:w="109"/>
        <w:gridCol w:w="109"/>
        <w:gridCol w:w="109"/>
        <w:gridCol w:w="453"/>
        <w:gridCol w:w="453"/>
        <w:gridCol w:w="45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46-5087339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(State or Other Jurisdiction of</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(I.R.S. Employer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2450 Holcombe Blvd., Suite X, Houston, TX 77021</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(Address of principal executive offices)(Zip Code)</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18"/>
        </w:rPr>
        <w:t>Registrant's Telephone Number, Including Area Cod</w:t>
      </w:r>
      <w:r>
        <w:rPr>
          <w:rFonts w:ascii="Arial;sans-serif" w:hAnsi="Arial;sans-serif"/>
          <w:b/>
          <w:color w:val="000000"/>
          <w:sz w:val="18"/>
        </w:rPr>
        <w:t>e: (832) 834-9144</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571" w:type="dxa"/>
        <w:jc w:val="center"/>
        <w:tblInd w:w="0" w:type="dxa"/>
        <w:tblLayout w:type="fixed"/>
        <w:tblCellMar>
          <w:top w:w="28" w:type="dxa"/>
          <w:left w:w="28" w:type="dxa"/>
          <w:bottom w:w="28" w:type="dxa"/>
          <w:right w:w="28" w:type="dxa"/>
        </w:tblCellMar>
      </w:tblPr>
      <w:tblGrid>
        <w:gridCol w:w="970"/>
        <w:gridCol w:w="852"/>
        <w:gridCol w:w="862"/>
        <w:gridCol w:w="109"/>
        <w:gridCol w:w="109"/>
        <w:gridCol w:w="109"/>
        <w:gridCol w:w="524"/>
        <w:gridCol w:w="524"/>
        <w:gridCol w:w="526"/>
        <w:gridCol w:w="109"/>
        <w:gridCol w:w="109"/>
        <w:gridCol w:w="109"/>
        <w:gridCol w:w="1071"/>
        <w:gridCol w:w="1071"/>
        <w:gridCol w:w="1517"/>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$ 0.0001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SLRX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 Nasdaq Stock Market LLC</w:t>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Securities registered pursuant to Section 12(g) of the Act: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None.</w:t>
      </w:r>
    </w:p>
    <w:p>
      <w:pPr>
        <w:pStyle w:val="TextBody"/>
        <w:bidi w:val="0"/>
        <w:spacing w:before="0" w:after="0"/>
        <w:jc w:val="center"/>
        <w:rPr/>
      </w:pPr>
      <w:r>
        <w:rPr/>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Indicate by check mark if the registrant is a well-known seasoned issuer as defined in Rule 405 of the Securities Act. Yes ☐ No ☒</w:t>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 xml:space="preserve">Indicate by check mark if the registrant is not required to file reports pursuant to Section 13 or Section 15(d) of the Exchange Act. </w:t>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Yes ☐ No ☒</w:t>
      </w:r>
    </w:p>
    <w:p>
      <w:pPr>
        <w:pStyle w:val="TextBody"/>
        <w:bidi w:val="0"/>
        <w:spacing w:lineRule="auto" w:line="288" w:before="60" w:after="60"/>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w:t>
      </w:r>
      <w:r>
        <w:rPr>
          <w:color w:val="000000"/>
        </w:rPr>
        <w:t xml:space="preserve"> ☒ </w:t>
      </w:r>
      <w:r>
        <w:rPr>
          <w:rFonts w:ascii="Arial;sans-serif" w:hAnsi="Arial;sans-serif"/>
          <w:b w:val="false"/>
          <w:color w:val="000000"/>
          <w:sz w:val="16"/>
        </w:rPr>
        <w:t>No</w:t>
      </w:r>
      <w:r>
        <w:rPr>
          <w:color w:val="000000"/>
        </w:rPr>
        <w:t xml:space="preserve"> ☐</w:t>
      </w:r>
    </w:p>
    <w:p>
      <w:pPr>
        <w:pStyle w:val="TextBody"/>
        <w:bidi w:val="0"/>
        <w:spacing w:lineRule="auto" w:line="288" w:before="60" w:after="60"/>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 </w:t>
      </w:r>
      <w:r>
        <w:rPr>
          <w:rFonts w:ascii="Arial;sans-serif" w:hAnsi="Arial;sans-serif"/>
          <w:b w:val="false"/>
          <w:color w:val="000000"/>
          <w:sz w:val="16"/>
        </w:rPr>
        <w:t>No</w:t>
      </w:r>
      <w:r>
        <w:rPr>
          <w:color w:val="000000"/>
        </w:rPr>
        <w:t>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67" w:type="dxa"/>
        <w:jc w:val="left"/>
        <w:tblInd w:w="0" w:type="dxa"/>
        <w:tblLayout w:type="fixed"/>
        <w:tblCellMar>
          <w:top w:w="28" w:type="dxa"/>
          <w:left w:w="28" w:type="dxa"/>
          <w:bottom w:w="28" w:type="dxa"/>
          <w:right w:w="28" w:type="dxa"/>
        </w:tblCellMar>
      </w:tblPr>
      <w:tblGrid>
        <w:gridCol w:w="396"/>
        <w:gridCol w:w="348"/>
        <w:gridCol w:w="348"/>
        <w:gridCol w:w="348"/>
        <w:gridCol w:w="348"/>
        <w:gridCol w:w="354"/>
        <w:gridCol w:w="109"/>
        <w:gridCol w:w="109"/>
        <w:gridCol w:w="109"/>
        <w:gridCol w:w="109"/>
        <w:gridCol w:w="109"/>
        <w:gridCol w:w="109"/>
        <w:gridCol w:w="109"/>
        <w:gridCol w:w="109"/>
        <w:gridCol w:w="109"/>
        <w:gridCol w:w="109"/>
        <w:gridCol w:w="109"/>
        <w:gridCol w:w="109"/>
        <w:gridCol w:w="356"/>
        <w:gridCol w:w="356"/>
        <w:gridCol w:w="356"/>
        <w:gridCol w:w="356"/>
        <w:gridCol w:w="356"/>
        <w:gridCol w:w="365"/>
        <w:gridCol w:w="109"/>
        <w:gridCol w:w="109"/>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14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14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bidi w:val="0"/>
        <w:spacing w:lineRule="auto" w:line="288" w:before="0" w:after="0"/>
        <w:jc w:val="left"/>
        <w:rPr/>
      </w:pPr>
      <w:r>
        <w:rPr>
          <w:rFonts w:ascii="Arial;sans-serif" w:hAnsi="Arial;sans-serif"/>
          <w:b w:val="false"/>
          <w:color w:val="000000"/>
          <w:sz w:val="16"/>
        </w:rPr>
        <w:t>Indicate by check mark whether the registrant is a shell company (as defined in Rule 12b-2 of the Exchange Act.) Yes</w:t>
      </w:r>
      <w:r>
        <w:rPr>
          <w:color w:val="000000"/>
        </w:rPr>
        <w:t xml:space="preserve"> ☐ </w:t>
      </w:r>
      <w:r>
        <w:rPr>
          <w:rFonts w:ascii="Arial;sans-serif" w:hAnsi="Arial;sans-serif"/>
          <w:b w:val="false"/>
          <w:color w:val="000000"/>
          <w:sz w:val="16"/>
        </w:rPr>
        <w:t>No</w:t>
      </w:r>
      <w:r>
        <w:rPr>
          <w:color w:val="000000"/>
        </w:rPr>
        <w:t> ☒</w:t>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 xml:space="preserve">As of June 30, 2023 (the last business day of the registrant's most recently completed second fiscal quarter, the aggregate market value of the common stock of the registrant held by non-affiliates of the registrant was $4,920,592 based on the last reported sale price of the registrant's common stock on the Nasdaq Capital Market on June 30, 2023. </w:t>
      </w:r>
    </w:p>
    <w:p>
      <w:pPr>
        <w:pStyle w:val="TextBody"/>
        <w:bidi w:val="0"/>
        <w:spacing w:lineRule="auto" w:line="288" w:before="60" w:after="60"/>
        <w:jc w:val="left"/>
        <w:rPr/>
      </w:pPr>
      <w:r>
        <w:rPr>
          <w:rFonts w:ascii="Arial;sans-serif" w:hAnsi="Arial;sans-serif"/>
          <w:b w:val="false"/>
          <w:color w:val="000000"/>
          <w:sz w:val="16"/>
        </w:rPr>
        <w:t>As of March 15, 2024, there were 4,314,433</w:t>
      </w:r>
      <w:r>
        <w:rPr>
          <w:color w:val="000000"/>
          <w:shd w:fill="FFFFFF" w:val="clear"/>
        </w:rPr>
        <w:t xml:space="preserve"> </w:t>
      </w:r>
      <w:r>
        <w:rPr>
          <w:rFonts w:ascii="Arial;sans-serif" w:hAnsi="Arial;sans-serif"/>
          <w:b w:val="false"/>
          <w:color w:val="000000"/>
          <w:sz w:val="16"/>
        </w:rPr>
        <w:t>shares of common stock outstanding.</w:t>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DOCUMENTS INCORPORATED BY REFERENCE:</w:t>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Portions of the registrant’s definitive proxy statement for its 2024 Annual Meeting of Stockholders, which will be filed with the United States Securities and Exchange Commission within 120 days of December 31, 2023, are incorporated by reference into Part III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56"/>
        <w:gridCol w:w="669"/>
        <w:gridCol w:w="648"/>
        <w:gridCol w:w="2592"/>
        <w:gridCol w:w="2391"/>
        <w:gridCol w:w="2405"/>
        <w:gridCol w:w="158"/>
        <w:gridCol w:w="158"/>
        <w:gridCol w:w="228"/>
      </w:tblGrid>
      <w:tr>
        <w:trPr/>
        <w:tc>
          <w:tcPr>
            <w:tcW w:w="9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0">
              <w:r>
                <w:rPr>
                  <w:rStyle w:val="InternetLink"/>
                  <w:rFonts w:ascii="Arial;sans-serif" w:hAnsi="Arial;sans-serif"/>
                  <w:b w:val="false"/>
                  <w:color w:val="0000FF"/>
                  <w:sz w:val="20"/>
                  <w:u w:val="single"/>
                </w:rPr>
                <w:t>Special Note Regarding Forward Looking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10">
              <w:r>
                <w:rPr>
                  <w:rStyle w:val="InternetLink"/>
                  <w:rFonts w:ascii="Arial;sans-serif" w:hAnsi="Arial;sans-serif"/>
                  <w:b w:val="false"/>
                  <w:color w:val="0000FF"/>
                  <w:sz w:val="20"/>
                  <w:u w:val="single"/>
                </w:rPr>
                <w:t>5</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3">
              <w:r>
                <w:rPr>
                  <w:rStyle w:val="InternetLink"/>
                  <w:rFonts w:ascii="Arial;sans-serif" w:hAnsi="Arial;sans-serif"/>
                  <w:b w:val="false"/>
                  <w:color w:val="000080"/>
                  <w:sz w:val="20"/>
                  <w:u w:val="single"/>
                </w:rPr>
                <w:t xml:space="preserve">Summary of Selected Risks associated with our </w:t>
              </w:r>
            </w:hyperlink>
            <w:hyperlink w:anchor="iad49f35f870245a7936a54cfbba72753_13">
              <w:r>
                <w:rPr>
                  <w:rStyle w:val="InternetLink"/>
                  <w:rFonts w:ascii="Arial;sans-serif" w:hAnsi="Arial;sans-serif"/>
                  <w:b w:val="false"/>
                  <w:color w:val="000080"/>
                  <w:sz w:val="20"/>
                  <w:u w:val="single"/>
                </w:rPr>
                <w:t>B</w:t>
              </w:r>
            </w:hyperlink>
            <w:hyperlink w:anchor="iad49f35f870245a7936a54cfbba72753_13">
              <w:r>
                <w:rPr>
                  <w:rStyle w:val="InternetLink"/>
                  <w:rFonts w:ascii="Arial;sans-serif" w:hAnsi="Arial;sans-serif"/>
                  <w:b w:val="false"/>
                  <w:color w:val="000080"/>
                  <w:sz w:val="20"/>
                  <w:u w:val="single"/>
                </w:rPr>
                <w:t>usiness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13">
              <w:r>
                <w:rPr>
                  <w:rStyle w:val="InternetLink"/>
                  <w:rFonts w:ascii="Arial;sans-serif" w:hAnsi="Arial;sans-serif"/>
                  <w:b w:val="false"/>
                  <w:color w:val="0000FF"/>
                  <w:sz w:val="20"/>
                  <w:u w:val="single"/>
                </w:rPr>
                <w:t>7</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6">
              <w:r>
                <w:rPr>
                  <w:rStyle w:val="InternetLink"/>
                  <w:rFonts w:ascii="Arial;sans-serif" w:hAnsi="Arial;sans-serif"/>
                  <w:b w:val="false"/>
                  <w:color w:val="0000FF"/>
                  <w:sz w:val="20"/>
                  <w:u w:val="single"/>
                </w:rPr>
                <w:t xml:space="preserve">PART I. </w:t>
              </w:r>
            </w:hyperlink>
          </w:p>
        </w:tc>
        <w:tc>
          <w:tcPr>
            <w:tcW w:w="7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16">
              <w:r>
                <w:rPr>
                  <w:rStyle w:val="InternetLink"/>
                  <w:rFonts w:ascii="Arial;sans-serif" w:hAnsi="Arial;sans-serif"/>
                  <w:b w:val="false"/>
                  <w:color w:val="0000FF"/>
                  <w:sz w:val="20"/>
                  <w:u w:val="single"/>
                </w:rPr>
                <w:t>9</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9">
              <w:r>
                <w:rPr>
                  <w:rStyle w:val="InternetLink"/>
                  <w:rFonts w:ascii="Arial;sans-serif" w:hAnsi="Arial;sans-serif"/>
                  <w:b w:val="false"/>
                  <w:color w:val="0000FF"/>
                  <w:sz w:val="20"/>
                  <w:u w:val="single"/>
                </w:rPr>
                <w:t>Item 1.</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9">
              <w:r>
                <w:rPr>
                  <w:rStyle w:val="InternetLink"/>
                  <w:rFonts w:ascii="Arial;sans-serif" w:hAnsi="Arial;sans-serif"/>
                  <w:b w:val="false"/>
                  <w:color w:val="0000FF"/>
                  <w:sz w:val="20"/>
                  <w:u w:val="single"/>
                </w:rPr>
                <w:t>Business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19">
              <w:r>
                <w:rPr>
                  <w:rStyle w:val="InternetLink"/>
                  <w:rFonts w:ascii="Arial;sans-serif" w:hAnsi="Arial;sans-serif"/>
                  <w:b w:val="false"/>
                  <w:color w:val="0000FF"/>
                  <w:sz w:val="20"/>
                  <w:u w:val="single"/>
                </w:rPr>
                <w:t>9</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22">
              <w:r>
                <w:rPr>
                  <w:rStyle w:val="InternetLink"/>
                  <w:rFonts w:ascii="Arial;sans-serif" w:hAnsi="Arial;sans-serif"/>
                  <w:b w:val="false"/>
                  <w:color w:val="0000FF"/>
                  <w:sz w:val="20"/>
                  <w:u w:val="single"/>
                </w:rPr>
                <w:t>Item 1A.</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22">
              <w:r>
                <w:rPr>
                  <w:rStyle w:val="InternetLink"/>
                  <w:rFonts w:ascii="Arial;sans-serif" w:hAnsi="Arial;sans-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22">
              <w:r>
                <w:rPr>
                  <w:rStyle w:val="InternetLink"/>
                  <w:rFonts w:ascii="Arial;sans-serif" w:hAnsi="Arial;sans-serif"/>
                  <w:b w:val="false"/>
                  <w:color w:val="0000FF"/>
                  <w:sz w:val="20"/>
                  <w:u w:val="single"/>
                </w:rPr>
                <w:t>25</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25">
              <w:r>
                <w:rPr>
                  <w:rStyle w:val="InternetLink"/>
                  <w:rFonts w:ascii="Arial;sans-serif" w:hAnsi="Arial;sans-serif"/>
                  <w:b w:val="false"/>
                  <w:color w:val="0000FF"/>
                  <w:sz w:val="20"/>
                  <w:u w:val="single"/>
                </w:rPr>
                <w:t>Item 1B.</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25">
              <w:r>
                <w:rPr>
                  <w:rStyle w:val="InternetLink"/>
                  <w:rFonts w:ascii="Arial;sans-serif" w:hAnsi="Arial;sans-serif"/>
                  <w:b w:val="false"/>
                  <w:color w:val="0000FF"/>
                  <w:sz w:val="20"/>
                  <w:u w:val="single"/>
                </w:rPr>
                <w:t>Unresolved Staff Comments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25">
              <w:r>
                <w:rPr>
                  <w:rStyle w:val="InternetLink"/>
                  <w:rFonts w:ascii="Arial;sans-serif" w:hAnsi="Arial;sans-serif"/>
                  <w:b w:val="false"/>
                  <w:color w:val="0000FF"/>
                  <w:sz w:val="20"/>
                  <w:u w:val="single"/>
                </w:rPr>
                <w:t>49</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792">
              <w:r>
                <w:rPr>
                  <w:rStyle w:val="InternetLink"/>
                  <w:rFonts w:ascii="Arial;sans-serif" w:hAnsi="Arial;sans-serif"/>
                  <w:b w:val="false"/>
                  <w:color w:val="0000FF"/>
                  <w:sz w:val="20"/>
                  <w:u w:val="single"/>
                </w:rPr>
                <w:t>Item 1C</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792">
              <w:r>
                <w:rPr>
                  <w:rStyle w:val="InternetLink"/>
                  <w:rFonts w:ascii="Arial;sans-serif" w:hAnsi="Arial;sans-serif"/>
                  <w:b w:val="false"/>
                  <w:color w:val="0000FF"/>
                  <w:sz w:val="20"/>
                  <w:u w:val="single"/>
                </w:rPr>
                <w:t>Cybersecurity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792">
              <w:r>
                <w:rPr>
                  <w:rStyle w:val="InternetLink"/>
                  <w:rFonts w:ascii="Arial;sans-serif" w:hAnsi="Arial;sans-serif"/>
                  <w:b w:val="false"/>
                  <w:color w:val="0000FF"/>
                  <w:sz w:val="20"/>
                  <w:u w:val="single"/>
                </w:rPr>
                <w:t>50</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28">
              <w:r>
                <w:rPr>
                  <w:rStyle w:val="InternetLink"/>
                  <w:rFonts w:ascii="Arial;sans-serif" w:hAnsi="Arial;sans-serif"/>
                  <w:b w:val="false"/>
                  <w:color w:val="0000FF"/>
                  <w:sz w:val="20"/>
                  <w:u w:val="single"/>
                </w:rPr>
                <w:t>Item 2.</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28">
              <w:r>
                <w:rPr>
                  <w:rStyle w:val="InternetLink"/>
                  <w:rFonts w:ascii="Arial;sans-serif" w:hAnsi="Arial;sans-serif"/>
                  <w:b w:val="false"/>
                  <w:color w:val="0000FF"/>
                  <w:sz w:val="20"/>
                  <w:u w:val="single"/>
                </w:rPr>
                <w:t>Properties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28">
              <w:r>
                <w:rPr>
                  <w:rStyle w:val="InternetLink"/>
                  <w:rFonts w:ascii="Arial;sans-serif" w:hAnsi="Arial;sans-serif"/>
                  <w:b w:val="false"/>
                  <w:color w:val="0000FF"/>
                  <w:sz w:val="20"/>
                  <w:u w:val="single"/>
                </w:rPr>
                <w:t>50</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31">
              <w:r>
                <w:rPr>
                  <w:rStyle w:val="InternetLink"/>
                  <w:rFonts w:ascii="Arial;sans-serif" w:hAnsi="Arial;sans-serif"/>
                  <w:b w:val="false"/>
                  <w:color w:val="0000FF"/>
                  <w:sz w:val="20"/>
                  <w:u w:val="single"/>
                </w:rPr>
                <w:t>Item 3.</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31">
              <w:r>
                <w:rPr>
                  <w:rStyle w:val="InternetLink"/>
                  <w:rFonts w:ascii="Arial;sans-serif" w:hAnsi="Arial;sans-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31">
              <w:r>
                <w:rPr>
                  <w:rStyle w:val="InternetLink"/>
                  <w:rFonts w:ascii="Arial;sans-serif" w:hAnsi="Arial;sans-serif"/>
                  <w:b w:val="false"/>
                  <w:color w:val="0000FF"/>
                  <w:sz w:val="20"/>
                  <w:u w:val="single"/>
                </w:rPr>
                <w:t>50</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34">
              <w:r>
                <w:rPr>
                  <w:rStyle w:val="InternetLink"/>
                  <w:rFonts w:ascii="Arial;sans-serif" w:hAnsi="Arial;sans-serif"/>
                  <w:b w:val="false"/>
                  <w:color w:val="0000FF"/>
                  <w:sz w:val="20"/>
                  <w:u w:val="single"/>
                </w:rPr>
                <w:t>Item 4.</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34">
              <w:r>
                <w:rPr>
                  <w:rStyle w:val="InternetLink"/>
                  <w:rFonts w:ascii="Arial;sans-serif" w:hAnsi="Arial;sans-serif"/>
                  <w:b w:val="false"/>
                  <w:color w:val="0000FF"/>
                  <w:sz w:val="20"/>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34">
              <w:r>
                <w:rPr>
                  <w:rStyle w:val="InternetLink"/>
                  <w:rFonts w:ascii="Arial;sans-serif" w:hAnsi="Arial;sans-serif"/>
                  <w:b w:val="false"/>
                  <w:color w:val="0000FF"/>
                  <w:sz w:val="20"/>
                  <w:u w:val="single"/>
                </w:rPr>
                <w:t>50</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37">
              <w:r>
                <w:rPr>
                  <w:rStyle w:val="InternetLink"/>
                  <w:rFonts w:ascii="Arial;sans-serif" w:hAnsi="Arial;sans-serif"/>
                  <w:b w:val="false"/>
                  <w:color w:val="0000FF"/>
                  <w:sz w:val="20"/>
                  <w:u w:val="single"/>
                </w:rPr>
                <w:t>Part II</w:t>
              </w:r>
            </w:hyperlink>
          </w:p>
        </w:tc>
        <w:tc>
          <w:tcPr>
            <w:tcW w:w="7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37">
              <w:r>
                <w:rPr>
                  <w:rStyle w:val="InternetLink"/>
                  <w:rFonts w:ascii="Arial;sans-serif" w:hAnsi="Arial;sans-serif"/>
                  <w:b w:val="false"/>
                  <w:color w:val="0000FF"/>
                  <w:sz w:val="20"/>
                  <w:u w:val="single"/>
                </w:rPr>
                <w:t>50</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40">
              <w:r>
                <w:rPr>
                  <w:rStyle w:val="InternetLink"/>
                  <w:rFonts w:ascii="Arial;sans-serif" w:hAnsi="Arial;sans-serif"/>
                  <w:b w:val="false"/>
                  <w:color w:val="0000FF"/>
                  <w:sz w:val="20"/>
                  <w:u w:val="single"/>
                </w:rPr>
                <w:t>Item 5.</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40">
              <w:r>
                <w:rPr>
                  <w:rStyle w:val="InternetLink"/>
                  <w:rFonts w:ascii="Arial;sans-serif" w:hAnsi="Arial;sans-serif"/>
                  <w:b w:val="false"/>
                  <w:color w:val="0000FF"/>
                  <w:sz w:val="20"/>
                  <w:u w:val="single"/>
                </w:rPr>
                <w:t>Market for Registrant’s Common Equity, Related Stockholder Matters and Issuer Purchases of Equity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40">
              <w:r>
                <w:rPr>
                  <w:rStyle w:val="InternetLink"/>
                  <w:rFonts w:ascii="Arial;sans-serif" w:hAnsi="Arial;sans-serif"/>
                  <w:b w:val="false"/>
                  <w:color w:val="0000FF"/>
                  <w:sz w:val="20"/>
                  <w:u w:val="single"/>
                </w:rPr>
                <w:t>50</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43">
              <w:r>
                <w:rPr>
                  <w:rStyle w:val="InternetLink"/>
                  <w:rFonts w:ascii="Arial;sans-serif" w:hAnsi="Arial;sans-serif"/>
                  <w:b w:val="false"/>
                  <w:color w:val="0000FF"/>
                  <w:sz w:val="20"/>
                  <w:u w:val="single"/>
                </w:rPr>
                <w:t>Item 6.</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43">
              <w:r>
                <w:rPr>
                  <w:rStyle w:val="InternetLink"/>
                  <w:rFonts w:ascii="Arial;sans-serif" w:hAnsi="Arial;sans-serif"/>
                  <w:b w:val="false"/>
                  <w:color w:val="0000FF"/>
                  <w:sz w:val="20"/>
                  <w:u w:val="single"/>
                </w:rPr>
                <w:t>Reserved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43">
              <w:r>
                <w:rPr>
                  <w:rStyle w:val="InternetLink"/>
                  <w:rFonts w:ascii="Arial;sans-serif" w:hAnsi="Arial;sans-serif"/>
                  <w:b w:val="false"/>
                  <w:color w:val="0000FF"/>
                  <w:sz w:val="20"/>
                  <w:u w:val="single"/>
                </w:rPr>
                <w:t>50</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46">
              <w:r>
                <w:rPr>
                  <w:rStyle w:val="InternetLink"/>
                  <w:rFonts w:ascii="Arial;sans-serif" w:hAnsi="Arial;sans-serif"/>
                  <w:b w:val="false"/>
                  <w:color w:val="0000FF"/>
                  <w:sz w:val="20"/>
                  <w:u w:val="single"/>
                </w:rPr>
                <w:t>Item 7.</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46">
              <w:r>
                <w:rPr>
                  <w:rStyle w:val="InternetLink"/>
                  <w:rFonts w:ascii="Arial;sans-serif" w:hAnsi="Arial;sans-serif"/>
                  <w:b w:val="false"/>
                  <w:color w:val="0000FF"/>
                  <w:sz w:val="20"/>
                  <w:u w:val="single"/>
                </w:rPr>
                <w:t>Management’s Discussion and Analysis of Financial Condition and Results of Operations Overview</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46">
              <w:r>
                <w:rPr>
                  <w:rStyle w:val="InternetLink"/>
                  <w:rFonts w:ascii="Arial;sans-serif" w:hAnsi="Arial;sans-serif"/>
                  <w:b w:val="false"/>
                  <w:color w:val="0000FF"/>
                  <w:sz w:val="20"/>
                  <w:u w:val="single"/>
                </w:rPr>
                <w:t>52</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49">
              <w:r>
                <w:rPr>
                  <w:rStyle w:val="InternetLink"/>
                  <w:rFonts w:ascii="Arial;sans-serif" w:hAnsi="Arial;sans-serif"/>
                  <w:b w:val="false"/>
                  <w:color w:val="0000FF"/>
                  <w:sz w:val="20"/>
                  <w:u w:val="single"/>
                </w:rPr>
                <w:t>Item 7A.</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49">
              <w:r>
                <w:rPr>
                  <w:rStyle w:val="InternetLink"/>
                  <w:rFonts w:ascii="Arial;sans-serif" w:hAnsi="Arial;sans-serif"/>
                  <w:b w:val="false"/>
                  <w:color w:val="0000FF"/>
                  <w:sz w:val="20"/>
                  <w:u w:val="single"/>
                </w:rPr>
                <w:t>Quantitative and Qualitative Disclosure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49">
              <w:r>
                <w:rPr>
                  <w:rStyle w:val="InternetLink"/>
                  <w:rFonts w:ascii="Arial;sans-serif" w:hAnsi="Arial;sans-serif"/>
                  <w:b w:val="false"/>
                  <w:color w:val="0000FF"/>
                  <w:sz w:val="20"/>
                  <w:u w:val="single"/>
                </w:rPr>
                <w:t>55</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52">
              <w:r>
                <w:rPr>
                  <w:rStyle w:val="InternetLink"/>
                  <w:rFonts w:ascii="Arial;sans-serif" w:hAnsi="Arial;sans-serif"/>
                  <w:b w:val="false"/>
                  <w:color w:val="0000FF"/>
                  <w:sz w:val="20"/>
                  <w:u w:val="single"/>
                </w:rPr>
                <w:t>Item 8.</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52">
              <w:r>
                <w:rPr>
                  <w:rStyle w:val="InternetLink"/>
                  <w:rFonts w:ascii="Arial;sans-serif" w:hAnsi="Arial;sans-serif"/>
                  <w:b w:val="false"/>
                  <w:color w:val="0000FF"/>
                  <w:sz w:val="20"/>
                  <w:u w:val="single"/>
                </w:rPr>
                <w:t>Financial Statements and Supplementary Data</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52">
              <w:r>
                <w:rPr>
                  <w:rStyle w:val="InternetLink"/>
                  <w:rFonts w:ascii="Arial;sans-serif" w:hAnsi="Arial;sans-serif"/>
                  <w:b w:val="false"/>
                  <w:color w:val="0000FF"/>
                  <w:sz w:val="20"/>
                  <w:u w:val="single"/>
                </w:rPr>
                <w:t>56</w:t>
              </w:r>
            </w:hyperlink>
          </w:p>
        </w:tc>
      </w:tr>
      <w:tr>
        <w:trPr/>
        <w:tc>
          <w:tcPr>
            <w:tcW w:w="2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55">
              <w:r>
                <w:rPr>
                  <w:rStyle w:val="InternetLink"/>
                  <w:rFonts w:ascii="Arial;sans-serif" w:hAnsi="Arial;sans-serif"/>
                  <w:b w:val="false"/>
                  <w:color w:val="0000FF"/>
                  <w:sz w:val="20"/>
                  <w:u w:val="single"/>
                </w:rPr>
                <w:t>Index to Financial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55">
              <w:r>
                <w:rPr>
                  <w:rStyle w:val="InternetLink"/>
                  <w:rFonts w:ascii="Arial;sans-serif" w:hAnsi="Arial;sans-serif"/>
                  <w:b w:val="false"/>
                  <w:color w:val="0000FF"/>
                  <w:sz w:val="20"/>
                  <w:u w:val="single"/>
                </w:rPr>
                <w:t>56</w:t>
              </w:r>
            </w:hyperlink>
          </w:p>
        </w:tc>
      </w:tr>
      <w:tr>
        <w:trPr/>
        <w:tc>
          <w:tcPr>
            <w:tcW w:w="2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58">
              <w:r>
                <w:rPr>
                  <w:rStyle w:val="InternetLink"/>
                  <w:rFonts w:ascii="Arial;sans-serif" w:hAnsi="Arial;sans-serif"/>
                  <w:b w:val="false"/>
                  <w:color w:val="0000FF"/>
                  <w:sz w:val="20"/>
                  <w:u w:val="single"/>
                </w:rPr>
                <w:t>Report of Independent Registered Public Accounting Firm</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58">
              <w:r>
                <w:rPr>
                  <w:rStyle w:val="InternetLink"/>
                  <w:rFonts w:ascii="Arial;sans-serif" w:hAnsi="Arial;sans-serif"/>
                  <w:b w:val="false"/>
                  <w:color w:val="0000FF"/>
                  <w:sz w:val="20"/>
                  <w:u w:val="single"/>
                </w:rPr>
                <w:t>57</w:t>
              </w:r>
            </w:hyperlink>
          </w:p>
        </w:tc>
      </w:tr>
      <w:tr>
        <w:trPr/>
        <w:tc>
          <w:tcPr>
            <w:tcW w:w="2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64">
              <w:r>
                <w:rPr>
                  <w:rStyle w:val="InternetLink"/>
                  <w:rFonts w:ascii="Arial;sans-serif" w:hAnsi="Arial;sans-serif"/>
                  <w:b w:val="false"/>
                  <w:color w:val="0000FF"/>
                  <w:sz w:val="20"/>
                  <w:u w:val="single"/>
                </w:rPr>
                <w:t>Consolidated Balance Sheets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64">
              <w:r>
                <w:rPr>
                  <w:rStyle w:val="InternetLink"/>
                  <w:rFonts w:ascii="Arial;sans-serif" w:hAnsi="Arial;sans-serif"/>
                  <w:b w:val="false"/>
                  <w:color w:val="0000FF"/>
                  <w:sz w:val="20"/>
                  <w:u w:val="single"/>
                </w:rPr>
                <w:t>59</w:t>
              </w:r>
            </w:hyperlink>
          </w:p>
        </w:tc>
      </w:tr>
      <w:tr>
        <w:trPr/>
        <w:tc>
          <w:tcPr>
            <w:tcW w:w="2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67">
              <w:r>
                <w:rPr>
                  <w:rStyle w:val="InternetLink"/>
                  <w:rFonts w:ascii="Arial;sans-serif" w:hAnsi="Arial;sans-serif"/>
                  <w:b w:val="false"/>
                  <w:color w:val="0000FF"/>
                  <w:sz w:val="20"/>
                  <w:u w:val="single"/>
                </w:rPr>
                <w:t>Consolidated Statements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67">
              <w:r>
                <w:rPr>
                  <w:rStyle w:val="InternetLink"/>
                  <w:rFonts w:ascii="Arial;sans-serif" w:hAnsi="Arial;sans-serif"/>
                  <w:b w:val="false"/>
                  <w:color w:val="0000FF"/>
                  <w:sz w:val="20"/>
                  <w:u w:val="single"/>
                </w:rPr>
                <w:t>60</w:t>
              </w:r>
            </w:hyperlink>
          </w:p>
        </w:tc>
      </w:tr>
      <w:tr>
        <w:trPr/>
        <w:tc>
          <w:tcPr>
            <w:tcW w:w="2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70">
              <w:r>
                <w:rPr>
                  <w:rStyle w:val="InternetLink"/>
                  <w:rFonts w:ascii="Arial;sans-serif" w:hAnsi="Arial;sans-serif"/>
                  <w:b w:val="false"/>
                  <w:color w:val="0000FF"/>
                  <w:sz w:val="20"/>
                  <w:u w:val="single"/>
                </w:rPr>
                <w:t xml:space="preserve">Consolidated Statements of Cash Flows </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70">
              <w:r>
                <w:rPr>
                  <w:rStyle w:val="InternetLink"/>
                  <w:rFonts w:ascii="Arial;sans-serif" w:hAnsi="Arial;sans-serif"/>
                  <w:b w:val="false"/>
                  <w:color w:val="0000FF"/>
                  <w:sz w:val="20"/>
                  <w:u w:val="single"/>
                </w:rPr>
                <w:t>61</w:t>
              </w:r>
            </w:hyperlink>
          </w:p>
        </w:tc>
      </w:tr>
      <w:tr>
        <w:trPr/>
        <w:tc>
          <w:tcPr>
            <w:tcW w:w="2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73">
              <w:r>
                <w:rPr>
                  <w:rStyle w:val="InternetLink"/>
                  <w:rFonts w:ascii="Arial;sans-serif" w:hAnsi="Arial;sans-serif"/>
                  <w:b w:val="false"/>
                  <w:color w:val="000080"/>
                  <w:sz w:val="20"/>
                  <w:u w:val="single"/>
                </w:rPr>
                <w:t>Consolidated Statement of Stockholders' Equity</w:t>
              </w:r>
            </w:hyperlink>
            <w:r>
              <w:rPr>
                <w:rFonts w:ascii="Arial;sans-serif" w:hAnsi="Arial;sans-serif"/>
                <w:b w:val="false"/>
                <w:color w:val="0000FF"/>
                <w:sz w:val="20"/>
                <w:u w:val="single"/>
              </w:rPr>
              <w:t xml:space="preserve"> (Deficit)</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73">
              <w:r>
                <w:rPr>
                  <w:rStyle w:val="InternetLink"/>
                  <w:rFonts w:ascii="Arial;sans-serif" w:hAnsi="Arial;sans-serif"/>
                  <w:b w:val="false"/>
                  <w:color w:val="0000FF"/>
                  <w:sz w:val="20"/>
                  <w:u w:val="single"/>
                </w:rPr>
                <w:t>62</w:t>
              </w:r>
            </w:hyperlink>
          </w:p>
        </w:tc>
      </w:tr>
      <w:tr>
        <w:trPr/>
        <w:tc>
          <w:tcPr>
            <w:tcW w:w="2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76">
              <w:r>
                <w:rPr>
                  <w:rStyle w:val="InternetLink"/>
                  <w:rFonts w:ascii="Arial;sans-serif" w:hAnsi="Arial;sans-serif"/>
                  <w:b w:val="false"/>
                  <w:color w:val="0000FF"/>
                  <w:sz w:val="20"/>
                  <w:u w:val="single"/>
                </w:rPr>
                <w:t>Notes to Consolidated Financial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76">
              <w:r>
                <w:rPr>
                  <w:rStyle w:val="InternetLink"/>
                  <w:rFonts w:ascii="Arial;sans-serif" w:hAnsi="Arial;sans-serif"/>
                  <w:b w:val="false"/>
                  <w:color w:val="0000FF"/>
                  <w:sz w:val="20"/>
                  <w:u w:val="single"/>
                </w:rPr>
                <w:t>63</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30">
              <w:r>
                <w:rPr>
                  <w:rStyle w:val="InternetLink"/>
                  <w:rFonts w:ascii="Arial;sans-serif" w:hAnsi="Arial;sans-serif"/>
                  <w:b w:val="false"/>
                  <w:color w:val="0000FF"/>
                  <w:sz w:val="20"/>
                  <w:u w:val="single"/>
                </w:rPr>
                <w:t>Item 9.</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30">
              <w:r>
                <w:rPr>
                  <w:rStyle w:val="InternetLink"/>
                  <w:rFonts w:ascii="Arial;sans-serif" w:hAnsi="Arial;sans-serif"/>
                  <w:b w:val="false"/>
                  <w:color w:val="0000FF"/>
                  <w:sz w:val="20"/>
                  <w:u w:val="single"/>
                </w:rPr>
                <w:t>Changes in and Disagreements with Accountants on Accounting and Financial Disclosure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130">
              <w:r>
                <w:rPr>
                  <w:rStyle w:val="InternetLink"/>
                  <w:rFonts w:ascii="Arial;sans-serif" w:hAnsi="Arial;sans-serif"/>
                  <w:b w:val="false"/>
                  <w:color w:val="0000FF"/>
                  <w:sz w:val="20"/>
                  <w:u w:val="single"/>
                </w:rPr>
                <w:t>72</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33">
              <w:r>
                <w:rPr>
                  <w:rStyle w:val="InternetLink"/>
                  <w:rFonts w:ascii="Arial;sans-serif" w:hAnsi="Arial;sans-serif"/>
                  <w:b w:val="false"/>
                  <w:color w:val="0000FF"/>
                  <w:sz w:val="20"/>
                  <w:u w:val="single"/>
                </w:rPr>
                <w:t>Item 9A.</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33">
              <w:r>
                <w:rPr>
                  <w:rStyle w:val="InternetLink"/>
                  <w:rFonts w:ascii="Arial;sans-serif" w:hAnsi="Arial;sans-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133">
              <w:r>
                <w:rPr>
                  <w:rStyle w:val="InternetLink"/>
                  <w:rFonts w:ascii="Arial;sans-serif" w:hAnsi="Arial;sans-serif"/>
                  <w:b w:val="false"/>
                  <w:color w:val="0000FF"/>
                  <w:sz w:val="20"/>
                  <w:u w:val="single"/>
                </w:rPr>
                <w:t>72</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36">
              <w:r>
                <w:rPr>
                  <w:rStyle w:val="InternetLink"/>
                  <w:rFonts w:ascii="Arial;sans-serif" w:hAnsi="Arial;sans-serif"/>
                  <w:b w:val="false"/>
                  <w:color w:val="0000FF"/>
                  <w:sz w:val="20"/>
                  <w:u w:val="single"/>
                </w:rPr>
                <w:t>Item 9B.</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36">
              <w:r>
                <w:rPr>
                  <w:rStyle w:val="InternetLink"/>
                  <w:rFonts w:ascii="Arial;sans-serif" w:hAnsi="Arial;sans-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136">
              <w:r>
                <w:rPr>
                  <w:rStyle w:val="InternetLink"/>
                  <w:rFonts w:ascii="Arial;sans-serif" w:hAnsi="Arial;sans-serif"/>
                  <w:b w:val="false"/>
                  <w:color w:val="0000FF"/>
                  <w:sz w:val="20"/>
                  <w:u w:val="single"/>
                </w:rPr>
                <w:t>72</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39">
              <w:r>
                <w:rPr>
                  <w:rStyle w:val="InternetLink"/>
                  <w:rFonts w:ascii="Arial;sans-serif" w:hAnsi="Arial;sans-serif"/>
                  <w:b w:val="false"/>
                  <w:color w:val="0000FF"/>
                  <w:sz w:val="20"/>
                  <w:u w:val="single"/>
                </w:rPr>
                <w:t>Part III</w:t>
              </w:r>
            </w:hyperlink>
          </w:p>
        </w:tc>
        <w:tc>
          <w:tcPr>
            <w:tcW w:w="7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139">
              <w:r>
                <w:rPr>
                  <w:rStyle w:val="InternetLink"/>
                  <w:rFonts w:ascii="Arial;sans-serif" w:hAnsi="Arial;sans-serif"/>
                  <w:b w:val="false"/>
                  <w:color w:val="0000FF"/>
                  <w:sz w:val="20"/>
                  <w:u w:val="single"/>
                </w:rPr>
                <w:t>73</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42">
              <w:r>
                <w:rPr>
                  <w:rStyle w:val="InternetLink"/>
                  <w:rFonts w:ascii="Arial;sans-serif" w:hAnsi="Arial;sans-serif"/>
                  <w:b w:val="false"/>
                  <w:color w:val="0000FF"/>
                  <w:sz w:val="20"/>
                  <w:u w:val="single"/>
                </w:rPr>
                <w:t>Item 10.</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42">
              <w:r>
                <w:rPr>
                  <w:rStyle w:val="InternetLink"/>
                  <w:rFonts w:ascii="Arial;sans-serif" w:hAnsi="Arial;sans-serif"/>
                  <w:b w:val="false"/>
                  <w:color w:val="0000FF"/>
                  <w:sz w:val="20"/>
                  <w:u w:val="single"/>
                </w:rPr>
                <w:t>Directors, Executive Officers and Corporate Governance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142">
              <w:r>
                <w:rPr>
                  <w:rStyle w:val="InternetLink"/>
                  <w:rFonts w:ascii="Arial;sans-serif" w:hAnsi="Arial;sans-serif"/>
                  <w:b w:val="false"/>
                  <w:color w:val="0000FF"/>
                  <w:sz w:val="20"/>
                  <w:u w:val="single"/>
                </w:rPr>
                <w:t>73</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45">
              <w:r>
                <w:rPr>
                  <w:rStyle w:val="InternetLink"/>
                  <w:rFonts w:ascii="Arial;sans-serif" w:hAnsi="Arial;sans-serif"/>
                  <w:b w:val="false"/>
                  <w:color w:val="0000FF"/>
                  <w:sz w:val="20"/>
                  <w:u w:val="single"/>
                </w:rPr>
                <w:t>Item 11.</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45">
              <w:r>
                <w:rPr>
                  <w:rStyle w:val="InternetLink"/>
                  <w:rFonts w:ascii="Arial;sans-serif" w:hAnsi="Arial;sans-serif"/>
                  <w:b w:val="false"/>
                  <w:color w:val="0000FF"/>
                  <w:sz w:val="20"/>
                  <w:u w:val="single"/>
                </w:rPr>
                <w:t>Executive Compensation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145">
              <w:r>
                <w:rPr>
                  <w:rStyle w:val="InternetLink"/>
                  <w:rFonts w:ascii="Arial;sans-serif" w:hAnsi="Arial;sans-serif"/>
                  <w:b w:val="false"/>
                  <w:color w:val="0000FF"/>
                  <w:sz w:val="20"/>
                  <w:u w:val="single"/>
                </w:rPr>
                <w:t>73</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48">
              <w:r>
                <w:rPr>
                  <w:rStyle w:val="InternetLink"/>
                  <w:rFonts w:ascii="Arial;sans-serif" w:hAnsi="Arial;sans-serif"/>
                  <w:b w:val="false"/>
                  <w:color w:val="0000FF"/>
                  <w:sz w:val="20"/>
                  <w:u w:val="single"/>
                </w:rPr>
                <w:t>Item 12.</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48">
              <w:r>
                <w:rPr>
                  <w:rStyle w:val="InternetLink"/>
                  <w:rFonts w:ascii="Arial;sans-serif" w:hAnsi="Arial;sans-serif"/>
                  <w:b w:val="false"/>
                  <w:color w:val="0000FF"/>
                  <w:sz w:val="20"/>
                  <w:u w:val="single"/>
                </w:rPr>
                <w:t>Security Ownership of Certain Beneficial Owners and Management and Related Stockholder Matters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148">
              <w:r>
                <w:rPr>
                  <w:rStyle w:val="InternetLink"/>
                  <w:rFonts w:ascii="Arial;sans-serif" w:hAnsi="Arial;sans-serif"/>
                  <w:b w:val="false"/>
                  <w:color w:val="0000FF"/>
                  <w:sz w:val="20"/>
                  <w:u w:val="single"/>
                </w:rPr>
                <w:t>73</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51">
              <w:r>
                <w:rPr>
                  <w:rStyle w:val="InternetLink"/>
                  <w:rFonts w:ascii="Arial;sans-serif" w:hAnsi="Arial;sans-serif"/>
                  <w:b w:val="false"/>
                  <w:color w:val="0000FF"/>
                  <w:sz w:val="20"/>
                  <w:u w:val="single"/>
                </w:rPr>
                <w:t>Item 13.</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51">
              <w:r>
                <w:rPr>
                  <w:rStyle w:val="InternetLink"/>
                  <w:rFonts w:ascii="Arial;sans-serif" w:hAnsi="Arial;sans-serif"/>
                  <w:b w:val="false"/>
                  <w:color w:val="0000FF"/>
                  <w:sz w:val="20"/>
                  <w:u w:val="single"/>
                </w:rPr>
                <w:t>Certain Relationships and Related Transactions, and Director Independence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151">
              <w:r>
                <w:rPr>
                  <w:rStyle w:val="InternetLink"/>
                  <w:rFonts w:ascii="Arial;sans-serif" w:hAnsi="Arial;sans-serif"/>
                  <w:b w:val="false"/>
                  <w:color w:val="0000FF"/>
                  <w:sz w:val="20"/>
                  <w:u w:val="single"/>
                </w:rPr>
                <w:t>73</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54">
              <w:r>
                <w:rPr>
                  <w:rStyle w:val="InternetLink"/>
                  <w:rFonts w:ascii="Arial;sans-serif" w:hAnsi="Arial;sans-serif"/>
                  <w:b w:val="false"/>
                  <w:color w:val="0000FF"/>
                  <w:sz w:val="20"/>
                  <w:u w:val="single"/>
                </w:rPr>
                <w:t>Item 14.</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54">
              <w:r>
                <w:rPr>
                  <w:rStyle w:val="InternetLink"/>
                  <w:rFonts w:ascii="Arial;sans-serif" w:hAnsi="Arial;sans-serif"/>
                  <w:b w:val="false"/>
                  <w:color w:val="0000FF"/>
                  <w:sz w:val="20"/>
                  <w:u w:val="single"/>
                </w:rPr>
                <w:t>Principle Accounting Fees and Services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154">
              <w:r>
                <w:rPr>
                  <w:rStyle w:val="InternetLink"/>
                  <w:rFonts w:ascii="Arial;sans-serif" w:hAnsi="Arial;sans-serif"/>
                  <w:b w:val="false"/>
                  <w:color w:val="0000FF"/>
                  <w:sz w:val="20"/>
                  <w:u w:val="single"/>
                </w:rPr>
                <w:t>73</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57">
              <w:r>
                <w:rPr>
                  <w:rStyle w:val="InternetLink"/>
                  <w:rFonts w:ascii="Arial;sans-serif" w:hAnsi="Arial;sans-serif"/>
                  <w:b w:val="false"/>
                  <w:color w:val="0000FF"/>
                  <w:sz w:val="20"/>
                  <w:u w:val="single"/>
                </w:rPr>
                <w:t>Part IV</w:t>
              </w:r>
            </w:hyperlink>
          </w:p>
        </w:tc>
        <w:tc>
          <w:tcPr>
            <w:tcW w:w="7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157">
              <w:r>
                <w:rPr>
                  <w:rStyle w:val="InternetLink"/>
                  <w:rFonts w:ascii="Arial;sans-serif" w:hAnsi="Arial;sans-serif"/>
                  <w:b w:val="false"/>
                  <w:color w:val="0000FF"/>
                  <w:sz w:val="20"/>
                  <w:u w:val="single"/>
                </w:rPr>
                <w:t>74</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60">
              <w:r>
                <w:rPr>
                  <w:rStyle w:val="InternetLink"/>
                  <w:rFonts w:ascii="Arial;sans-serif" w:hAnsi="Arial;sans-serif"/>
                  <w:b w:val="false"/>
                  <w:color w:val="0000FF"/>
                  <w:sz w:val="20"/>
                  <w:u w:val="single"/>
                </w:rPr>
                <w:t>Item 15.</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60">
              <w:r>
                <w:rPr>
                  <w:rStyle w:val="InternetLink"/>
                  <w:rFonts w:ascii="Arial;sans-serif" w:hAnsi="Arial;sans-serif"/>
                  <w:b w:val="false"/>
                  <w:color w:val="0000FF"/>
                  <w:sz w:val="20"/>
                  <w:u w:val="single"/>
                </w:rPr>
                <w:t>Exhibits, Financial Statement Schedules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160">
              <w:r>
                <w:rPr>
                  <w:rStyle w:val="InternetLink"/>
                  <w:rFonts w:ascii="Arial;sans-serif" w:hAnsi="Arial;sans-serif"/>
                  <w:b w:val="false"/>
                  <w:color w:val="0000FF"/>
                  <w:sz w:val="20"/>
                  <w:u w:val="single"/>
                </w:rPr>
                <w:t>74</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63">
              <w:r>
                <w:rPr>
                  <w:rStyle w:val="InternetLink"/>
                  <w:rFonts w:ascii="Arial;sans-serif" w:hAnsi="Arial;sans-serif"/>
                  <w:b w:val="false"/>
                  <w:color w:val="0000FF"/>
                  <w:sz w:val="20"/>
                  <w:u w:val="single"/>
                </w:rPr>
                <w:t>Item 16.</w:t>
              </w:r>
            </w:hyperlink>
          </w:p>
        </w:tc>
        <w:tc>
          <w:tcPr>
            <w:tcW w:w="73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63">
              <w:r>
                <w:rPr>
                  <w:rStyle w:val="InternetLink"/>
                  <w:rFonts w:ascii="Arial;sans-serif" w:hAnsi="Arial;sans-serif"/>
                  <w:b w:val="false"/>
                  <w:color w:val="000080"/>
                  <w:sz w:val="20"/>
                  <w:u w:val="single"/>
                </w:rPr>
                <w:t>Form 10-</w:t>
              </w:r>
            </w:hyperlink>
            <w:hyperlink w:anchor="iad49f35f870245a7936a54cfbba72753_163">
              <w:r>
                <w:rPr>
                  <w:rStyle w:val="InternetLink"/>
                  <w:rFonts w:ascii="Arial;sans-serif" w:hAnsi="Arial;sans-serif"/>
                  <w:b w:val="false"/>
                  <w:color w:val="000080"/>
                  <w:sz w:val="20"/>
                  <w:u w:val="single"/>
                </w:rPr>
                <w:t>K</w:t>
              </w:r>
            </w:hyperlink>
            <w:hyperlink w:anchor="iad49f35f870245a7936a54cfbba72753_163">
              <w:r>
                <w:rPr>
                  <w:rStyle w:val="InternetLink"/>
                  <w:rFonts w:ascii="Arial;sans-serif" w:hAnsi="Arial;sans-serif"/>
                  <w:b w:val="false"/>
                  <w:color w:val="000080"/>
                  <w:sz w:val="20"/>
                  <w:u w:val="single"/>
                </w:rPr>
                <w:t xml:space="preserve"> Summary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163">
              <w:r>
                <w:rPr>
                  <w:rStyle w:val="InternetLink"/>
                  <w:rFonts w:ascii="Arial;sans-serif" w:hAnsi="Arial;sans-serif"/>
                  <w:b w:val="false"/>
                  <w:color w:val="0000FF"/>
                  <w:sz w:val="20"/>
                  <w:u w:val="single"/>
                </w:rPr>
                <w:t>76</w:t>
              </w:r>
            </w:hyperlink>
          </w:p>
        </w:tc>
      </w:tr>
      <w:tr>
        <w:trPr/>
        <w:tc>
          <w:tcPr>
            <w:tcW w:w="2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49f35f870245a7936a54cfbba72753_166">
              <w:r>
                <w:rPr>
                  <w:rStyle w:val="InternetLink"/>
                  <w:rFonts w:ascii="Arial;sans-serif" w:hAnsi="Arial;sans-serif"/>
                  <w:b w:val="false"/>
                  <w:color w:val="0000FF"/>
                  <w:sz w:val="20"/>
                  <w:u w:val="single"/>
                </w:rPr>
                <w:t>SIGNATURES</w:t>
              </w:r>
            </w:hyperlink>
          </w:p>
        </w:tc>
        <w:tc>
          <w:tcPr>
            <w:tcW w:w="7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49f35f870245a7936a54cfbba72753_166">
              <w:r>
                <w:rPr>
                  <w:rStyle w:val="InternetLink"/>
                  <w:rFonts w:ascii="Arial;sans-serif" w:hAnsi="Arial;sans-serif"/>
                  <w:b w:val="false"/>
                  <w:color w:val="0000FF"/>
                  <w:sz w:val="20"/>
                  <w:u w:val="single"/>
                </w:rPr>
                <w:t>77</w:t>
              </w:r>
            </w:hyperlink>
          </w:p>
        </w:tc>
      </w:tr>
    </w:tbl>
    <w:p>
      <w:pPr>
        <w:pStyle w:val="TextBody"/>
        <w:bidi w:val="0"/>
        <w:spacing w:lineRule="auto" w:line="268" w:before="0" w:after="0"/>
        <w:jc w:val="both"/>
        <w:rPr/>
      </w:pPr>
      <w:r>
        <w:rPr>
          <w:rFonts w:ascii="Arial;sans-serif" w:hAnsi="Arial;sans-serif"/>
          <w:b w:val="false"/>
          <w:color w:val="000000"/>
          <w:sz w:val="20"/>
        </w:rPr>
        <w:t>October 14, 2022, the Company filed a Certificate of Amendment to the Company’s restated certificate of incorporation with the Secretary of State of the State of Delaware to effect a 1-for-25 reverse stock split of the Company’s issued and outstanding shares of common stock, par value $0.0001</w:t>
      </w:r>
      <w:r>
        <w:rPr>
          <w:color w:val="000000"/>
        </w:rPr>
        <w:t xml:space="preserve"> </w:t>
      </w:r>
      <w:r>
        <w:rPr>
          <w:rFonts w:ascii="Arial;sans-serif" w:hAnsi="Arial;sans-serif"/>
          <w:b w:val="false"/>
          <w:color w:val="000000"/>
          <w:sz w:val="20"/>
        </w:rPr>
        <w:t xml:space="preserve">per share (the Reverse Stock Split),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which became effective on October 14, 2022. All historical share and per share amounts reflected throughout this report have been adjusted to reflect the Reverse Stock Split.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SPECIAL NOTE REGARDING FORWARD-LOOKING STATEMENTS</w:t>
      </w:r>
    </w:p>
    <w:p>
      <w:pPr>
        <w:pStyle w:val="TextBody"/>
        <w:bidi w:val="0"/>
        <w:spacing w:before="0" w:after="0"/>
        <w:jc w:val="center"/>
        <w:rPr/>
      </w:pPr>
      <w:r>
        <w:rPr/>
      </w:r>
    </w:p>
    <w:p>
      <w:pPr>
        <w:pStyle w:val="TextBody"/>
        <w:bidi w:val="0"/>
        <w:spacing w:lineRule="auto" w:line="268" w:before="0" w:after="240"/>
        <w:jc w:val="both"/>
        <w:rPr>
          <w:rFonts w:ascii="Arial;sans-serif" w:hAnsi="Arial;sans-serif"/>
          <w:b w:val="false"/>
          <w:i/>
          <w:color w:val="000000"/>
          <w:sz w:val="20"/>
        </w:rPr>
      </w:pPr>
      <w:r>
        <w:rPr>
          <w:rFonts w:ascii="Arial;sans-serif" w:hAnsi="Arial;sans-serif"/>
          <w:b w:val="false"/>
          <w:i/>
          <w:color w:val="000000"/>
          <w:sz w:val="20"/>
        </w:rPr>
        <w:t>Various statements made in this Annual Report on Form 10-K are forward-looking and involve risks and uncertainties.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Such statements give our current expectations or forecasts of future events and are not statements of historical or current facts. These statements include, among others, statements about:</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Company's ability to continue as a going concern and its ability to support it operations into the first half of 2025;</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the Company’s expectations regarding the exploration of strategic alternatives;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the Company's strategy, including significantly reducing its expenditures on operational and research and development activities and taking other cost savings measures in connection with the Company’s ongoing review of strategic alternatives;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Company's expectations regarding the benefits of its cost-saving measures;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Company’s ability to preserve capital while it continues to await clinical data and assess potential strategic alternatives;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the expected timing for incurring costs associated with the cost savings measures;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the Company’s expectations regarding its clinical trials and any investigator-initiated clinical trials, including expected costs, goals, timing and other expectations related thereto;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potential advantages of its lead compound, seclidemstat or SP-2577, as a treatment for Ewing sarcoma, and other cancers and its ability to improve the life of patients;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the potential for seclidemstat to target the epigenetic dysregulation underlying Ewing sarcoma;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the potential advantages of protein degraders including the value of SP-3164 as a cancer treatment;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commercial or market opportunity and expansion for each therapeutic option, including the availability and value of a pediatric priority review voucher for in-clinic treatments and potential for accelerated approval;</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the Company’s expectations as to revenue, cash flow, and expenses;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Company's liquidity position, the expected sufficiency of such position for anticipated operating and capital requirements into the first half of 2025;</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Company's ability to remain listed on Nasdaq;</w:t>
      </w:r>
    </w:p>
    <w:p>
      <w:pPr>
        <w:pStyle w:val="TextBody"/>
        <w:bidi w:val="0"/>
        <w:spacing w:before="0" w:after="0"/>
        <w:jc w:val="both"/>
        <w:rPr/>
      </w:pPr>
      <w:r>
        <w:rPr/>
      </w:r>
    </w:p>
    <w:p>
      <w:pPr>
        <w:pStyle w:val="TextBody"/>
        <w:bidi w:val="0"/>
        <w:spacing w:lineRule="auto" w:line="288" w:before="0" w:after="240"/>
        <w:jc w:val="both"/>
        <w:rPr/>
      </w:pPr>
      <w:r>
        <w:rPr>
          <w:rFonts w:ascii="Arial;sans-serif" w:hAnsi="Arial;sans-serif"/>
          <w:b w:val="false"/>
          <w:i/>
          <w:color w:val="000000"/>
          <w:sz w:val="20"/>
        </w:rPr>
        <w:t>Forward-looking statements also include statements other than statements of current or historical fact, including, without limitation, all statements</w:t>
      </w:r>
      <w:r>
        <w:rPr>
          <w:color w:val="000000"/>
        </w:rPr>
        <w:t xml:space="preserve"> </w:t>
      </w:r>
      <w:r>
        <w:rPr>
          <w:rFonts w:ascii="Arial;sans-serif" w:hAnsi="Arial;sans-serif"/>
          <w:b w:val="false"/>
          <w:i/>
          <w:color w:val="000000"/>
          <w:sz w:val="20"/>
        </w:rPr>
        <w:t>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“believe,” “may,” “could,” “will,” “estimate,” “continue,” “anticipate,” “intend,” “expect,” “indicate,” “seek,” “should,” “would,”</w:t>
      </w:r>
      <w:r>
        <w:rPr>
          <w:color w:val="000000"/>
        </w:rPr>
        <w:t xml:space="preserve"> “</w:t>
      </w:r>
      <w:r>
        <w:rPr>
          <w:rFonts w:ascii="Arial;sans-serif" w:hAnsi="Arial;sans-serif"/>
          <w:b w:val="false"/>
          <w:i/>
          <w:color w:val="000000"/>
          <w:sz w:val="20"/>
        </w:rPr>
        <w:t>target”,</w:t>
      </w:r>
      <w:r>
        <w:rPr>
          <w:color w:val="000000"/>
        </w:rPr>
        <w:t xml:space="preserve"> “</w:t>
      </w:r>
      <w:r>
        <w:rPr>
          <w:rFonts w:ascii="Arial;sans-serif" w:hAnsi="Arial;sans-serif"/>
          <w:b w:val="false"/>
          <w:i/>
          <w:color w:val="000000"/>
          <w:sz w:val="20"/>
        </w:rPr>
        <w:t>potential,” “evaluate,” “proceeding.”</w:t>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The following are some of the factors that could cause actual results to differ materially from the anticipated results or other expectations expressed, anticipated or implied in our forward-looking statements: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risk that if we do not successfully complete a strategic transaction or obtain financing in the near term, the company will need to pursue a dissolution and liquidation of our company;</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uncertainties regarding the timing and results of additional clinical data from ongoing clinical trials evaluating seclidemstat;</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uncertainties about the exploration and evaluation of strategic alternatives, including that they may not result in a definitive transaction or enhance stockholder value and may create a distraction or uncertainty that may adversely affect our operating results, business or investor perceptions;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potential adverse impacts regarding our announcement regarding our implementation of a series of additional cost-savings measures designed to extend our expected cash runway into the first half of 2025, including the cessation of employment of David Arthur, our Chief Executive Officer, who will continue serving in such role as a part-time consulting basis;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risk that the Company’s cost saving initiatives and exploration of strategic alternatives are not successful and do not increase stockholder value;</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unanticipated difficulties with preserving capital;</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unanticipated charges not currently contemplated that may occur as a result of the Company’s cost savings plan;</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uncertainties about the paths of our programs and our ability to evaluate and identify a path forward for those programs, particularly given the constraints we have as a small company with limited financial, personnel and other operating resources;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effectiveness and timeliness of limited ongoing clinical trials, and the usefulness of the data; the adequacy of our capital to support our future operations;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fluctuations in our operating results;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success of current and future license and collaboration agreements;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dependence on contract research organizations, vendors and investigators;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effects of competition and other developments affecting development of products;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market acceptance of our product candidates;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protection of intellectual property and avoiding intellectual property infringement;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product liability; and</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other factors described in our filings with the SEC.</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 xml:space="preserve">We cannot guarantee that the results and other expectations expressed, anticipated or implied in any forward-looking statement will be realized. The risks set forth under Item 1A of this Annual Report on Form 10-K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40"/>
        <w:jc w:val="center"/>
        <w:rPr>
          <w:rFonts w:ascii="Arial;sans-serif" w:hAnsi="Arial;sans-serif"/>
          <w:b/>
          <w:color w:val="000000"/>
          <w:sz w:val="20"/>
        </w:rPr>
      </w:pPr>
      <w:r>
        <w:rPr>
          <w:rFonts w:ascii="Arial;sans-serif" w:hAnsi="Arial;sans-serif"/>
          <w:b/>
          <w:color w:val="000000"/>
          <w:sz w:val="20"/>
        </w:rPr>
        <w:t>SUMMARY OF SELECTED RISKS ASSOCIATED WITH OUR BUSINESS</w:t>
      </w:r>
    </w:p>
    <w:p>
      <w:pPr>
        <w:pStyle w:val="TextBody"/>
        <w:bidi w:val="0"/>
        <w:spacing w:lineRule="auto" w:line="276" w:before="0" w:after="0"/>
        <w:ind w:left="0" w:right="0" w:firstLine="641"/>
        <w:jc w:val="left"/>
        <w:rPr>
          <w:rFonts w:ascii="Arial;sans-serif" w:hAnsi="Arial;sans-serif"/>
          <w:b w:val="false"/>
          <w:color w:val="000000"/>
          <w:sz w:val="20"/>
        </w:rPr>
      </w:pPr>
      <w:r>
        <w:rPr>
          <w:rFonts w:ascii="Arial;sans-serif" w:hAnsi="Arial;sans-serif"/>
          <w:b w:val="false"/>
          <w:color w:val="000000"/>
          <w:sz w:val="20"/>
        </w:rPr>
        <w:t>Our business is subject to numerous risks and uncertainties, including those discussed at length in the section titled “Risk Factors.” These risks include, among others, the following:</w:t>
      </w:r>
    </w:p>
    <w:p>
      <w:pPr>
        <w:pStyle w:val="TextBody"/>
        <w:bidi w:val="0"/>
        <w:spacing w:before="0" w:after="0"/>
        <w:ind w:left="0" w:right="0" w:firstLine="641"/>
        <w:jc w:val="left"/>
        <w:rPr/>
      </w:pPr>
      <w:r>
        <w:rPr/>
      </w:r>
    </w:p>
    <w:p>
      <w:pPr>
        <w:pStyle w:val="TextBody"/>
        <w:bidi w:val="0"/>
        <w:spacing w:lineRule="auto" w:line="276" w:before="0" w:after="240"/>
        <w:jc w:val="left"/>
        <w:rPr>
          <w:rFonts w:ascii="Arial;sans-serif" w:hAnsi="Arial;sans-serif"/>
          <w:b/>
          <w:color w:val="000000"/>
          <w:sz w:val="20"/>
        </w:rPr>
      </w:pPr>
      <w:r>
        <w:rPr>
          <w:rFonts w:ascii="Arial;sans-serif" w:hAnsi="Arial;sans-serif"/>
          <w:b/>
          <w:color w:val="000000"/>
          <w:sz w:val="20"/>
        </w:rPr>
        <w:t>Risks Related to our Financial Position and Capital Needs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 xml:space="preserve">We do not currently have sufficient working capital to fund our planned operations for the next twelve months and may not be able to continue as a going concern. There is uncertainty regarding our ability to maintain liquidity sufficient to operate our business effectively, which raises substantial doubt about our ability to continue as a going concern.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activities to evaluate and pursue strategic alternatives has not resulted in and may never result in any definitive transaction or enhance shareholder value, and may create a distraction for our management and uncertainty that may adversely affect our operating results and business.</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If we do not successfully complete a strategic transaction or raise additional capital, we will need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We could be delisted from Nasdaq, which would seriously harm the liquidity of our stock and our ability to raise capital.</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Certain of our warrants to purchase common stock include a right to receive the Black-Scholes value of the unexercised portion of the warrants in the event of a fundamental transaction, which payment could be significant.</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The terms of the warrants could impede our ability to enter into transactions or obtain additional financing.</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Our cost savings plans and the associated headcount reductions may not result in anticipated savings, could result in total costs and expenses that are greater than expected and could disrupt our business.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We have never generated any revenue from product sales and may never generate revenue or be profitable.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Raising additional capital may cause dilution to our stockholders, restrict our operations or require us to relinquish rights.</w:t>
      </w:r>
    </w:p>
    <w:p>
      <w:pPr>
        <w:pStyle w:val="TextBody"/>
        <w:bidi w:val="0"/>
        <w:spacing w:before="0" w:after="0"/>
        <w:jc w:val="left"/>
        <w:rPr/>
      </w:pPr>
      <w:r>
        <w:rPr/>
      </w:r>
    </w:p>
    <w:p>
      <w:pPr>
        <w:pStyle w:val="TextBody"/>
        <w:bidi w:val="0"/>
        <w:spacing w:lineRule="auto" w:line="276" w:before="0" w:after="240"/>
        <w:jc w:val="left"/>
        <w:rPr>
          <w:rFonts w:ascii="Arial;sans-serif" w:hAnsi="Arial;sans-serif"/>
          <w:b/>
          <w:color w:val="000000"/>
          <w:sz w:val="20"/>
        </w:rPr>
      </w:pPr>
      <w:r>
        <w:rPr>
          <w:rFonts w:ascii="Arial;sans-serif" w:hAnsi="Arial;sans-serif"/>
          <w:b/>
          <w:color w:val="000000"/>
          <w:sz w:val="20"/>
        </w:rPr>
        <w:t>Risks Related to the Development of our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approach to discovering and developing novel oncology therapeutics makes it difficult to predict timing and costs and obtaining regulatory approval may never lead to marketable products.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Clinical trials are costly, time consuming and inherently risky, and we may fail to demonstrate safety and efficacy to the satisfaction of applicable regulatory authorities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Product development involves a lengthy and expensive process with an uncertain outcome, and results of earlier pre-clinical and clinical trials may not be predictive of future clinical trial results.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cannot give any assurance that our clinical trials will generate positive data for any of our product candidates or indications which we are pursuing.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Difficulty in enrolling patients is a common hurdle faced by early stage biotechnology companies and could, and often does, delay or prevent clinical trials of product candidates.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 xml:space="preserve">We may face potential product liability and incur substantial liability and costs and our regulatory approvals, if any, could be revoked or otherwise negatively impacted. </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Risks Related to Regulatory Approval of our Product Candidates and Other Legal Compliance Matters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Fast Track designation may not actually lead to a faster development or regulatory review or approval process. Additionally, FDA may rescind the designation if it determines the product candidate no longer meets the qualifying criteria for Fast Track.</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fail to obtain the necessary regulatory approvals to market our product candidates and may not be able to commercialize our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Even if we obtain regulatory approval for a product, we will remain subject to ongoing regulatory requirements, we may be subject to penalties if we fail to comply with regulatory requirements.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Healthcare reform measures may have a material adverse effect on our business, financial condition or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be subject to fraud and abuse laws, false claims laws, and health information privacy and security laws under which we could become subject to substantial penalties.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Reliance on government funding for our programs may add uncertainty to our research and commercialization efforts and may impose requirements that limit our ability to take specified actions.</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 xml:space="preserve">Risks Related to our Intellectual Property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not be successful in obtaining or maintaining exclusive or other necessary rights to our targets, product compounds and processes for our development pipeline.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not have sufficient patent term protections for our product candidates to protect our business.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U.S. patent law could diminish the value of patents in general and could increase the uncertainties and costs surrounding prosecution and enforcement.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Third-party claims of intellectual property infringement may prevent or delay our development and commercialization efforts.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patent protection and patent prosecution for some of our product candidates is dependent on third parties.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We may be involved in lawsuits to protect or enforce our patents or the patents of our licensors, which could be expensive, time consuming, and unsuccessful.</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Risks Related to our Reliance on Third Parties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If third parties on which we rely fail to obtain or maintain approval of government regulators, fail to comply with applicable regulations, fail to provide us with sufficient quantities of drug product, or fail to do so at acceptable quality levels or prices, we may not be able to successfully complete clinical development, obtain regulatory approval or commercialize our product candidates and our business could be substantially harmed.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be unable to realize the potential benefits of any current or future collaboration.</w:t>
      </w:r>
    </w:p>
    <w:p>
      <w:pPr>
        <w:pStyle w:val="TextBody"/>
        <w:bidi w:val="0"/>
        <w:spacing w:before="0" w:after="0"/>
        <w:jc w:val="left"/>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Risks Related to our Business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We are substantially dependent on our remaining employees and consultants to continue our operations and facilitate the consideration and consummation of a potential strategic transaction.</w:t>
      </w:r>
    </w:p>
    <w:p>
      <w:pPr>
        <w:pStyle w:val="TextBody"/>
        <w:bidi w:val="0"/>
        <w:spacing w:lineRule="auto" w:line="276" w:before="0" w:after="240"/>
        <w:jc w:val="both"/>
        <w:rPr>
          <w:rFonts w:ascii="Arial;sans-serif" w:hAnsi="Arial;sans-serif"/>
          <w:b/>
          <w:color w:val="000000"/>
          <w:sz w:val="20"/>
        </w:rPr>
      </w:pPr>
      <w:r>
        <w:rPr>
          <w:rFonts w:ascii="Arial;sans-serif" w:hAnsi="Arial;sans-serif"/>
          <w:b/>
          <w:color w:val="000000"/>
          <w:sz w:val="20"/>
        </w:rPr>
        <w:t>Risks Related to Our Common Stock</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Future sales of a significant number of our shares of common stock in the public markets, or the perception that such sales could occur, could depress the market price of our shares of our common stock.</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do not currently intend to pay dividends on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40"/>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 Business</w:t>
      </w:r>
    </w:p>
    <w:p>
      <w:pPr>
        <w:pStyle w:val="TextBody"/>
        <w:bidi w:val="0"/>
        <w:spacing w:lineRule="auto" w:line="288" w:before="0" w:after="240"/>
        <w:jc w:val="both"/>
        <w:rPr/>
      </w:pPr>
      <w:r>
        <w:rPr>
          <w:rFonts w:ascii="Arial;sans-serif" w:hAnsi="Arial;sans-serif"/>
          <w:b w:val="false"/>
          <w:i/>
          <w:color w:val="000000"/>
          <w:sz w:val="20"/>
        </w:rPr>
        <w:t>References to “Salarius,” the “Company,” “we,” “us” and “our”</w:t>
      </w:r>
      <w:r>
        <w:rPr>
          <w:color w:val="000000"/>
        </w:rPr>
        <w:t xml:space="preserve"> </w:t>
      </w:r>
      <w:r>
        <w:rPr>
          <w:rFonts w:ascii="Arial;sans-serif" w:hAnsi="Arial;sans-serif"/>
          <w:b w:val="false"/>
          <w:i/>
          <w:color w:val="000000"/>
          <w:sz w:val="20"/>
        </w:rPr>
        <w:t>refer to Salarius Pharmaceuticals, Inc. and its consolidated subsidiaries following the completion of the Merger and Salarius Pharmaceuticals, LLC prior to the completion of the Merger. References to “Notes” refer to the Notes to Consolidated Financial Statements included herein (refer to Item 8).</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76" w:before="0" w:after="240"/>
        <w:jc w:val="both"/>
        <w:rPr/>
      </w:pPr>
      <w:r>
        <w:rPr>
          <w:rFonts w:ascii="Arial;sans-serif" w:hAnsi="Arial;sans-serif"/>
          <w:b w:val="false"/>
          <w:color w:val="000000"/>
          <w:sz w:val="20"/>
        </w:rPr>
        <w:t>We are a clinical-stage biopharmaceutical company focused on developing treatments for parties with cancers in need of new treatment options</w:t>
      </w:r>
      <w:r>
        <w:rPr>
          <w:rFonts w:ascii="Times New Roman;sans-serif" w:hAnsi="Times New Roman;sans-serif"/>
          <w:b w:val="false"/>
          <w:color w:val="000000"/>
          <w:sz w:val="24"/>
        </w:rPr>
        <w:t xml:space="preserve">. </w:t>
      </w:r>
      <w:r>
        <w:rPr>
          <w:rFonts w:ascii="Arial;sans-serif" w:hAnsi="Arial;sans-serif"/>
          <w:b w:val="false"/>
          <w:color w:val="000000"/>
          <w:sz w:val="20"/>
        </w:rPr>
        <w:t xml:space="preserve">Specifically, we are concentrated on developing treatments for cancers caused by dysregulated gene expression, i.e., genes which are incorrectly turned on or off. We have two primary classes of drugs that address gene dysregulation: protein inhibitors and targeted protein degraders. Our technologies have the potential to work in both liquid and solid tumors. Our current pipeline consists of two primary compounds: 1) SP-3164, a small molecule protein degrader, and 2) seclidemstat (SP-2577), a small molecule inhibitor.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Recent Developments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On July 11, 2023 we announced that the U.S. Food &amp; Drug Administration (FDA) had cleared our investigational new drug (IND) application to treat relapsed/refractory non-Hodgkin lymphoma patients with SP-3164. </w:t>
      </w:r>
    </w:p>
    <w:p>
      <w:pPr>
        <w:pStyle w:val="TextBody"/>
        <w:bidi w:val="0"/>
        <w:spacing w:lineRule="auto" w:line="276" w:before="0" w:after="2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On August 8, 2023, we announced that we retained Canaccord Genuity, LLC to lead a comprehensive review of strategic alternatives focusing on maximizing shareholder value, including but not limited to, an acquisition, merger, reverse merger, divestiture of assets, licensing, or other strategic transactions involving our company. In connection with the evaluation of strategic alternatives and in order to extend our resources, we implemented a cost-savings plan that includes a reduction in workforce by over 50% of our positions, with remaining employees focusing primarily on limited general operating activities, completing the FDA process to determine the clinical trial registration requirements for the seclidemstat Ewing sarcoma program and supporting the exploration of strategic alternatives.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On October 13, 2023 we met with the FDA to identify activities necessary to seek US registration of SP-2577 as a treatment for Ewing sarcoma. </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On January 3, 2024 we announced that the hematologic cancer Phase 1/2 clinical trial being conducted at MD Anderson cancer Center (MDACC) is listed as active and recruiting on clinical trials.gov – trial NCT04734990. We also announced that an additional Ewing sarcoma patient treated with seclidemstat, topotecan and cyclophosphamide (TC) had achieved a partial response as demonstrated by at least a 30% decrease in the sum of diameters of the patient’s target lesions, bringing the objective response rate (ORR) in Ewing sarcoma first-relapse patients to 60%, with a 60% disease control rate (DCR).</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On January 5, 2024 we announced the issuance of U.S. Patent No. 11,535,603, which covers our novel cereblon-binding protein degrader, SP-3204. SP-3204 is a GSPT1 protein degrader and has potential in hematological cancers.</w:t>
      </w:r>
    </w:p>
    <w:p>
      <w:pPr>
        <w:pStyle w:val="TextBody"/>
        <w:bidi w:val="0"/>
        <w:spacing w:lineRule="auto" w:line="268" w:before="0" w:after="240"/>
        <w:jc w:val="left"/>
        <w:rPr>
          <w:rFonts w:ascii="Arial;sans-serif" w:hAnsi="Arial;sans-serif"/>
          <w:b w:val="false"/>
          <w:color w:val="000000"/>
          <w:sz w:val="20"/>
        </w:rPr>
      </w:pPr>
      <w:r>
        <w:rPr>
          <w:rFonts w:ascii="Arial;sans-serif" w:hAnsi="Arial;sans-serif"/>
          <w:b w:val="false"/>
          <w:color w:val="000000"/>
          <w:sz w:val="20"/>
        </w:rPr>
        <w:t xml:space="preserve">On January 16, 2024, we announced the expansion of our intellectual property portfolio with composition-of-matter protection into 2039 for our novel molecular glue. Our protein degrader patent portfolio now includes 17 issued patents across six patent families. </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On February 22, 2024, our Board of Directors implemented a series of additional cost-savings measures designed to extend our expected cash runway into the first half of 2025. These measures will allow us to support the generation of additional clinical data for seclidemstat in the ongoing MDACC investigator-initiated Phase 1/2 clinical trial in hematologic cancers and Salarius’ Phase 1/2 trial in Ewing sarcoma. </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In connection with the cost-savings measures, David Arthur, the Company’s President and Chief Executive Officer, ended his full-time employment and transitioned to a part-time consultant role, effective February 20, 2024. He will continue to serve as Chief Executive Officer and support our ongoing activities. The cost-savings measures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included reducing operating expenses and reducing the cash compensation payable to our non-employee directors beginning in the second quarter of 2024.</w:t>
      </w:r>
    </w:p>
    <w:p>
      <w:pPr>
        <w:pStyle w:val="TextBody"/>
        <w:bidi w:val="0"/>
        <w:spacing w:lineRule="auto" w:line="268" w:before="0" w:after="240"/>
        <w:jc w:val="both"/>
        <w:rPr>
          <w:rFonts w:ascii="Arial;sans-serif" w:hAnsi="Arial;sans-serif"/>
          <w:b/>
          <w:color w:val="000000"/>
          <w:sz w:val="24"/>
        </w:rPr>
      </w:pPr>
      <w:r>
        <w:rPr>
          <w:rFonts w:ascii="Arial;sans-serif" w:hAnsi="Arial;sans-serif"/>
          <w:b/>
          <w:color w:val="000000"/>
          <w:sz w:val="24"/>
        </w:rPr>
        <w:t>Focused Programs</w:t>
      </w:r>
    </w:p>
    <w:p>
      <w:pPr>
        <w:pStyle w:val="TextBody"/>
        <w:bidi w:val="0"/>
        <w:spacing w:lineRule="auto" w:line="288" w:before="0" w:after="240"/>
        <w:jc w:val="both"/>
        <w:rPr/>
      </w:pPr>
      <w:r>
        <w:rPr>
          <w:rFonts w:ascii="Arial;sans-serif" w:hAnsi="Arial;sans-serif"/>
          <w:b/>
          <w:i/>
          <w:color w:val="000000"/>
          <w:sz w:val="20"/>
          <w:shd w:fill="FFFFFF" w:val="clear"/>
        </w:rPr>
        <w:t xml:space="preserve">SP-3164 - </w:t>
      </w:r>
      <w:r>
        <w:rPr>
          <w:rFonts w:ascii="Arial;sans-serif" w:hAnsi="Arial;sans-serif"/>
          <w:b/>
          <w:color w:val="000000"/>
          <w:sz w:val="20"/>
          <w:shd w:fill="FFFFFF" w:val="clear"/>
        </w:rPr>
        <w:t>A novel targeted protein degrader</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The field of targeted protein degradation (TPD) is rapidly growing. The two most common types of protein degraders are molecular glues (MGs) and proteolysis-targeting chimeras (PROTACs). SP-3164 is a next-generation cereblon-binding MG. The first generation MGs, lenalidomide (Revlimid®) and pomalidomide (Pomylast®), have had great success in treating hematological malignancies. </w:t>
      </w:r>
    </w:p>
    <w:p>
      <w:pPr>
        <w:pStyle w:val="TextBody"/>
        <w:bidi w:val="0"/>
        <w:spacing w:lineRule="auto" w:line="256" w:before="0" w:after="240"/>
        <w:jc w:val="both"/>
        <w:rPr/>
      </w:pPr>
      <w:r>
        <w:rPr>
          <w:rFonts w:ascii="Arial;sans-serif" w:hAnsi="Arial;sans-serif"/>
          <w:b w:val="false"/>
          <w:color w:val="000000"/>
          <w:sz w:val="20"/>
        </w:rPr>
        <w:t>MGs are small molecules that commandeer the body’s normal protein degradation processes by causing proteins to stick to one another thereby inducing selective degradation of cancer-causing proteins. Derived from avadomide, SP-3164 is engineered using DECS (deuterium-enabled chiral switching), a process that replaces hydrogen atoms with deuterium to stabilize the molecule’s active enantiomer, resulting in a novel molecular entity with the potential for increased efficacy and improved safety compared to the first generation compound. SP-3164 degrades transcription factors IKZF1 (Ikaros) and IKZF3 (Aiolos), along with other proteins, resulting in both direct anti-cancer activity and immune-modulating properties.</w:t>
      </w:r>
      <w:r>
        <w:rPr>
          <w:color w:val="000000"/>
        </w:rPr>
        <w:t xml:space="preserve"> </w:t>
      </w:r>
      <w:r>
        <w:rPr>
          <w:rFonts w:ascii="Arial;sans-serif" w:hAnsi="Arial;sans-serif"/>
          <w:b w:val="false"/>
          <w:color w:val="000000"/>
          <w:sz w:val="20"/>
        </w:rPr>
        <w:t xml:space="preserve">SP-3164 has potential in both hematologic and solid tumors and is currently in IND-enabling studies. In preclinical studies, SP-3164 demonstrated more efficient and robust degradation of Ikaros/Aiolos compared to lenalidomide and pomalidomide. Additionally, in animal models of lymphoma and multiple myeloma, treatment with SP-3164 resulted in significant tumor growth inhibition compared to control animals. When SP-3164 was combined with standard of care agents, the result was even more pronounced and in some cases resulted in complete regression of the tumors. </w:t>
      </w:r>
    </w:p>
    <w:p>
      <w:pPr>
        <w:pStyle w:val="TextBody"/>
        <w:bidi w:val="0"/>
        <w:spacing w:lineRule="auto" w:line="256" w:before="0" w:after="240"/>
        <w:jc w:val="both"/>
        <w:rPr/>
      </w:pPr>
      <w:r>
        <w:rPr>
          <w:rFonts w:ascii="Arial;sans-serif" w:hAnsi="Arial;sans-serif"/>
          <w:b w:val="false"/>
          <w:color w:val="000000"/>
          <w:sz w:val="20"/>
        </w:rPr>
        <w:t>On July 11, 2023 we announced that the FDA had cleared our IND application to treat relapsed/refractory non-Hodgkin lymphoma patients with SP-3164. We expect to initiate a Phase 1 clinical trial only if funds were available and therefore any such trial is on hold pending the completion of the strategic alternatives process or a financing that can support such trial.</w:t>
      </w:r>
      <w:r>
        <w:rPr>
          <w:color w:val="000000"/>
        </w:rPr>
        <w:t xml:space="preserve"> </w:t>
      </w:r>
    </w:p>
    <w:p>
      <w:pPr>
        <w:pStyle w:val="TextBody"/>
        <w:bidi w:val="0"/>
        <w:spacing w:lineRule="auto" w:line="276" w:before="0" w:after="240"/>
        <w:jc w:val="left"/>
        <w:rPr>
          <w:rFonts w:ascii="Arial;sans-serif" w:hAnsi="Arial;sans-serif"/>
          <w:b/>
          <w:i/>
          <w:color w:val="000000"/>
          <w:sz w:val="20"/>
        </w:rPr>
      </w:pPr>
      <w:r>
        <w:rPr>
          <w:rFonts w:ascii="Arial;sans-serif" w:hAnsi="Arial;sans-serif"/>
          <w:b/>
          <w:i/>
          <w:color w:val="000000"/>
          <w:sz w:val="20"/>
        </w:rPr>
        <w:t xml:space="preserve">SP-2577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SP-2577 is a small-molecule LSD1 inhibitor with a novel scaffold. The molecule was discovered using structure-based computational screening coupled with chemical screening and further optimization with structure-activity relationship studies.</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We believe that SP-2577 is different from the four other LSD1 inhibitors that have active clinical development programs because in addition to inhibiting LSD1’s enzymatic activity, we also believe it more comprehensively inhibits LSD1’s scaffolding properties. To our knowledge, SP-2577 is one of two reversible LSD1 inhibitors in clinical development. The three other LSD1 inhibitors in clinical development are irreversible inhibitors. SP-2577 has differentiated properties that may allow it to be developed in a broader range of cancer indications and in different combination regimens compared to the other LSD1 inhibitors in clinical development. Pharmacokinetic data indicates that SP-2577 can be given at dose levels that achieve drug exposure levels in patients above where activity was demonstrated in preclinical studies. We believe that SP-2577’s profile will allow for more flexible dosing strategies by potentially having a wide therapeutic window. This is being studied and developed in our ongoing clinical program.</w:t>
      </w:r>
    </w:p>
    <w:p>
      <w:pPr>
        <w:pStyle w:val="TextBody"/>
        <w:bidi w:val="0"/>
        <w:spacing w:lineRule="auto" w:line="268" w:before="0" w:after="240"/>
        <w:jc w:val="both"/>
        <w:rPr>
          <w:rFonts w:ascii="Arial;sans-serif" w:hAnsi="Arial;sans-serif"/>
          <w:b/>
          <w:color w:val="000000"/>
          <w:sz w:val="20"/>
          <w:shd w:fill="FFFFFF" w:val="clear"/>
        </w:rPr>
      </w:pPr>
      <w:r>
        <w:rPr>
          <w:rFonts w:ascii="Arial;sans-serif" w:hAnsi="Arial;sans-serif"/>
          <w:b/>
          <w:color w:val="000000"/>
          <w:sz w:val="20"/>
          <w:shd w:fill="FFFFFF" w:val="clear"/>
        </w:rPr>
        <w:t>Program Development</w:t>
      </w:r>
    </w:p>
    <w:p>
      <w:pPr>
        <w:pStyle w:val="TextBody"/>
        <w:bidi w:val="0"/>
        <w:spacing w:lineRule="auto" w:line="288" w:before="0" w:after="240"/>
        <w:jc w:val="both"/>
        <w:rPr/>
      </w:pPr>
      <w:r>
        <w:rPr>
          <w:rFonts w:ascii="Arial;sans-serif" w:hAnsi="Arial;sans-serif"/>
          <w:b w:val="false"/>
          <w:color w:val="000000"/>
          <w:sz w:val="20"/>
          <w:shd w:fill="FFFFFF" w:val="clear"/>
        </w:rPr>
        <w:t xml:space="preserve">Our goal is to </w:t>
      </w:r>
      <w:r>
        <w:rPr>
          <w:rFonts w:ascii="Arial;sans-serif" w:hAnsi="Arial;sans-serif"/>
          <w:b w:val="false"/>
          <w:color w:val="000000"/>
          <w:sz w:val="20"/>
        </w:rPr>
        <w:t>develop</w:t>
      </w:r>
      <w:r>
        <w:rPr>
          <w:color w:val="000000"/>
          <w:shd w:fill="FFFFFF" w:val="clear"/>
        </w:rPr>
        <w:t xml:space="preserve"> </w:t>
      </w:r>
      <w:r>
        <w:rPr>
          <w:rFonts w:ascii="Arial;sans-serif" w:hAnsi="Arial;sans-serif"/>
          <w:b w:val="false"/>
          <w:color w:val="000000"/>
          <w:sz w:val="20"/>
          <w:shd w:fill="FFFFFF" w:val="clear"/>
        </w:rPr>
        <w:t xml:space="preserve">SP-3164 and SP-2577 for treatment of cancers; however, due to limited financial and operational resources our Board of Directors continues to explore strategic alternatives to maximize return for investors, which strategic alternatives include selling or out licensing SP-3164 and/or SP-2577 to a third party. We have significantly reduced costs in both programs. For SP-2577, we plan to evaluate information from the investigator-initiated trial at MDACC and that data to augment our ongoing work in seeking strategic alternatives. </w:t>
      </w:r>
    </w:p>
    <w:p>
      <w:pPr>
        <w:pStyle w:val="TextBody"/>
        <w:bidi w:val="0"/>
        <w:spacing w:lineRule="auto" w:line="268" w:before="0" w:after="240"/>
        <w:jc w:val="both"/>
        <w:rPr>
          <w:rFonts w:ascii="Arial;sans-serif" w:hAnsi="Arial;sans-serif"/>
          <w:b/>
          <w:i/>
          <w:color w:val="000000"/>
          <w:sz w:val="20"/>
        </w:rPr>
      </w:pPr>
      <w:r>
        <w:rPr>
          <w:rFonts w:ascii="Arial;sans-serif" w:hAnsi="Arial;sans-serif"/>
          <w:b/>
          <w:i/>
          <w:color w:val="000000"/>
          <w:sz w:val="20"/>
        </w:rPr>
        <w:t>SP- 3164 Development</w:t>
      </w:r>
    </w:p>
    <w:p>
      <w:pPr>
        <w:pStyle w:val="TextBody"/>
        <w:bidi w:val="0"/>
        <w:spacing w:lineRule="auto" w:line="268" w:before="0" w:after="0"/>
        <w:jc w:val="both"/>
        <w:rPr/>
      </w:pPr>
      <w:r>
        <w:rPr>
          <w:rFonts w:ascii="Arial;sans-serif" w:hAnsi="Arial;sans-serif"/>
          <w:b w:val="false"/>
          <w:color w:val="000000"/>
          <w:sz w:val="20"/>
          <w:shd w:fill="FFFFFF" w:val="clear"/>
        </w:rPr>
        <w:t xml:space="preserve">Our plan has been to develop SP-3164 in high unmet need hematological indications and solid tumors. Our goal </w:t>
      </w:r>
      <w:r>
        <w:rPr>
          <w:rFonts w:ascii="Arial;sans-serif" w:hAnsi="Arial;sans-serif"/>
          <w:b w:val="false"/>
          <w:color w:val="000000"/>
          <w:sz w:val="24"/>
        </w:rPr>
        <w:t>was</w:t>
      </w:r>
      <w:r>
        <w:rPr>
          <w:color w:val="000000"/>
          <w:shd w:fill="FFFFFF" w:val="clear"/>
        </w:rPr>
        <w:t xml:space="preserve"> </w:t>
      </w:r>
      <w:r>
        <w:rPr>
          <w:rFonts w:ascii="Arial;sans-serif" w:hAnsi="Arial;sans-serif"/>
          <w:b w:val="false"/>
          <w:color w:val="000000"/>
          <w:sz w:val="20"/>
          <w:shd w:fill="FFFFFF" w:val="clear"/>
        </w:rPr>
        <w:t>to file an IND application with the FDA for SP-3164 in the first half of 2023, and begin a Phase 1/2 clinical trial in the second half of 2023</w:t>
      </w:r>
      <w:r>
        <w:rPr>
          <w:rFonts w:ascii="Arial;sans-serif" w:hAnsi="Arial;sans-serif"/>
          <w:b w:val="false"/>
          <w:color w:val="000000"/>
          <w:sz w:val="24"/>
        </w:rPr>
        <w:t>,</w:t>
      </w:r>
      <w:r>
        <w:rPr>
          <w:color w:val="000000"/>
        </w:rPr>
        <w:t xml:space="preserve"> </w:t>
      </w:r>
      <w:r>
        <w:rPr>
          <w:rFonts w:ascii="Arial;sans-serif" w:hAnsi="Arial;sans-serif"/>
          <w:b w:val="false"/>
          <w:color w:val="000000"/>
          <w:sz w:val="20"/>
        </w:rPr>
        <w:t xml:space="preserve">however the lack of funding required us to curtail spending necessary to begin the clinical trial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Development of SP-2577 in Ewing Sarcoma Patients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Ewing sarcoma is a devastating pediatric and young adult cancer for which there are no approved targeted therapies. The cause of Ewing sarcoma is a chromosomal translocation involving the Ewing sarcoma breakpoint region 1 (EWSR1) gene and ETS family genes, resulting in expression of a fusion oncoprotein. The resulting oncoprotein has been found to co-localize with LSD1 throughout the genome, making LSD1 an attractive therapeutic target for Ewing sarcoma. Based on data from the National Institute of Health (NIH) and physician collaborators, we believe there are approximately 500 Ewing sarcoma patients diagnosed annually in the United States. Current treatment for Ewing sarcoma consists of an intensive chemotherapy regime, radiation and often disfiguring surgeries. Due to the harshness of current treatment options, children and adolescents often experience long-term side effects such as slowed growth and development, learning problems and an increased risk of developing second cancers. According to published literature, including “Management of recurrent Ewing sarcoma: challenges and approaches” by David Van Mater and Lars Wagner, patients with overt metastasis (20-30% of patients) or recurrent disease (~20%) have poor prognosis, with less than a 30% chance of experiencing disease-free survival, and there is currently not a standardized treatment available for recurrent Ewing sarcoma. These are the patients that we aim to help.</w:t>
      </w:r>
    </w:p>
    <w:p>
      <w:pPr>
        <w:pStyle w:val="TextBody"/>
        <w:bidi w:val="0"/>
        <w:spacing w:before="0" w:after="0"/>
        <w:jc w:val="both"/>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Expand SP-2577 Market by Pursuing Large Market Indications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As LSD1 can interact with over 60 regulatory proteins other than FET-fusion oncoproteins, we believe that LSD1 may also play a critical role in progression of various other cancer types. </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In addition to solid tumors, SP-2577 has shown promising preclinical activity in hematologic cancers. In 2021 we announced the initiation of an MD Anderson Cancer Center sponsored Investigator Initiated Trial studying SP-2577 in combination with azacitidine for the treatment of patients with myelodysplastic syndromes (MDS) or chronic myelomonocytic leukemia (CMML). Myelodysplastic syndromes can progress into Acute Myeloid Leukemia (AML) and data from our ongoing trial could inform development of SP-2577 in hematologic cancers (also referred to as liquid tumors or blood cancer), including AML. The American Cancer Society estimates there were almost 20,000 new cases of AML in the US alone in 2020. MDACC is currently active and enrolling new patients in this investigator initiated clinical trial. We plan to evaluate information from the</w:t>
      </w:r>
      <w:r>
        <w:rPr>
          <w:color w:val="000000"/>
        </w:rPr>
        <w:t xml:space="preserve"> </w:t>
      </w:r>
      <w:r>
        <w:rPr>
          <w:rFonts w:ascii="Arial;sans-serif" w:hAnsi="Arial;sans-serif"/>
          <w:b w:val="false"/>
          <w:color w:val="000000"/>
          <w:sz w:val="20"/>
        </w:rPr>
        <w:t xml:space="preserve">MDACC trial related to hematological cancers and use that data to augment our ongoing work regarding the consideration of strategic alternatives.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The following figure lists our programs and their respective stages of development: </w:t>
      </w:r>
    </w:p>
    <w:p>
      <w:pPr>
        <w:pStyle w:val="TextBody"/>
        <w:bidi w:val="0"/>
        <w:spacing w:before="0" w:after="0"/>
        <w:jc w:val="both"/>
        <w:rPr/>
      </w:pPr>
      <w:r>
        <w:rPr/>
      </w:r>
    </w:p>
    <w:p>
      <w:pPr>
        <w:pStyle w:val="TextBody"/>
        <w:bidi w:val="0"/>
        <w:spacing w:before="0" w:after="0"/>
        <w:jc w:val="left"/>
        <w:rPr/>
      </w:pPr>
      <w:r>
        <w:rPr/>
        <w:drawing>
          <wp:inline distT="0" distB="0" distL="0" distR="0">
            <wp:extent cx="6515100" cy="322897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6515100" cy="322897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Ewing Sarcoma</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In June 2018 we started a multi-site, open-label Phase ½ trial of SP-2577 for treatment of patients with relapsed/refractory Ewing “sarcoma. Patients must have histologic confirmation of Ewing sarcoma that is refractory or recurrent and must have received one prior course of therapy for the disease. Among other inclusion criteria, patients must be 12 years or older and have a life expectancy of greater than 4 months.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primary objectives of this clinical trial were to study the safety and tolerability of SP-2577. Secondary objectives include pharmacokinetic assessment, food effects on drug pharmacokinetics, determination of the maximum tolerated dose (MTD) and assessment of preliminary signs of anti-tumor activity. Additionally, the trial will explore the use of circulating tumor cells (CTC), cell-free DNA (cfDNA), Hemoglobin F and changes in molecular signatures of the tumor as pharmacodynamic markers of disease burden, drug effect and tumor response.</w:t>
      </w:r>
    </w:p>
    <w:p>
      <w:pPr>
        <w:pStyle w:val="TextBody"/>
        <w:bidi w:val="0"/>
        <w:spacing w:lineRule="auto" w:line="288" w:before="0" w:after="240"/>
        <w:jc w:val="both"/>
        <w:rPr/>
      </w:pPr>
      <w:r>
        <w:rPr>
          <w:rFonts w:ascii="Arial;sans-serif" w:hAnsi="Arial;sans-serif"/>
          <w:b w:val="false"/>
          <w:color w:val="000000"/>
          <w:sz w:val="20"/>
        </w:rPr>
        <w:t>In February 2021, we announced that we reached the recommended</w:t>
      </w:r>
      <w:r>
        <w:rPr>
          <w:color w:val="000000"/>
        </w:rPr>
        <w:t xml:space="preserve"> </w:t>
      </w:r>
      <w:r>
        <w:rPr>
          <w:rFonts w:ascii="Arial;sans-serif" w:hAnsi="Arial;sans-serif"/>
          <w:b w:val="false"/>
          <w:color w:val="000000"/>
          <w:sz w:val="24"/>
        </w:rPr>
        <w:t>Phase</w:t>
      </w:r>
      <w:r>
        <w:rPr>
          <w:color w:val="000000"/>
        </w:rPr>
        <w:t xml:space="preserve"> </w:t>
      </w:r>
      <w:r>
        <w:rPr>
          <w:rFonts w:ascii="Arial;sans-serif" w:hAnsi="Arial;sans-serif"/>
          <w:b w:val="false"/>
          <w:color w:val="000000"/>
          <w:sz w:val="20"/>
        </w:rPr>
        <w:t>2 dose and would initiate the dose expansion portion of the trial. We also announced that Ewing sarcoma patients would be treated in combination with topotecan/cyclophosphamide.</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In October 2022, we voluntarily paused new patient enrollment in its Phase 1/2 trial of seclidemstat as a treatment for Ewing sarcoma and FET-rearranged sarcomas per protocol design. The pause in new patient enrollment was due to a metastatic FET-rearranged sarcoma patient death, not an Ewing sarcoma patient death, that was classified as a suspected unexpected serious adverse reaction (SUSAR). On November 1, 2022, the FDA provided verbal notification that the Ewing sarcoma and FET-rearranged sarcoma trial was on partial clinical hold.</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May 5, 2023, we were notified by FDA that they have completed the review of our submission and have concluded that the clinical trial may be resumed.</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November 7, 2023 we participated in a Type B End-of-Phase 2 (EOP2) meeting with the FDA to receive guidance regarding the development program for seclidemstat to treat Ewing sarcoma. We have received the final meeting minutes and submitted our amended clinical trial protocol in January, 2024 to reflect guidance agreed to with FDA during the EOP2 meeting. We currently have one active clinical trial patient receiving seclidemstat. Of our fourteen Phase ½ clinical trial sites, we have decided to close those sites with the least Ewing sarcoma enrollment and potential for enrollment. Our remaining sites will remain idle until the MDACC hematological cancer information is available for review in the second half of 2024.</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On January 3, 2024, we announced that an additional Ewing sarcoma patient treated with seclidemstat</w:t>
      </w:r>
      <w:r>
        <w:rPr>
          <w:strike/>
          <w:color w:val="000000"/>
        </w:rPr>
        <w:t xml:space="preserve"> </w:t>
      </w:r>
      <w:r>
        <w:rPr>
          <w:rFonts w:ascii="Arial;sans-serif" w:hAnsi="Arial;sans-serif"/>
          <w:b w:val="false"/>
          <w:color w:val="000000"/>
          <w:sz w:val="20"/>
        </w:rPr>
        <w:t>and TC had achieved a partial response as demonstrated by at least a 30% decrease in the sum of diameters of the patient’s target lesions, bringing the ORR</w:t>
      </w:r>
      <w:r>
        <w:rPr>
          <w:strike/>
          <w:color w:val="000000"/>
        </w:rPr>
        <w:t xml:space="preserve"> </w:t>
      </w:r>
      <w:r>
        <w:rPr>
          <w:rFonts w:ascii="Arial;sans-serif" w:hAnsi="Arial;sans-serif"/>
          <w:b w:val="false"/>
          <w:color w:val="000000"/>
          <w:sz w:val="20"/>
        </w:rPr>
        <w:t>in Ewing sarcoma first-relapse patients to 60%, with a 60% DCR.</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Hematological Cancers Trial at MD Anderson Cancer Center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June 2021 we announced the initiation of an MD Anderson Cancer Center Investigator Initiated Trial studying SP-2577 in combination with azacitidine for the treatment of patients with myelodysplastic syndromes (MDS) or chronic myelomonocytic leukemia (CMML). The Phase 1/2 trial is being led by Dr. Guillermo Montalban-Bravo from the Department of Leukemia at The University of Texas MD Anderson Cancer Center. The dose-escalation stage of the Phase 1/2 trial will enroll patients aged 18 and older with MDS or CMML. Patients will receive azacitidine, administered intravenously or subcutaneously, on days one through seven of each 28-day cycle in combination with an escalating, twice-daily dose of seclidemstat administered as an oral tablet.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October, 2022, in response to the Company voluntarily pausing the Phase 1/2 trial of seclidemstat as a treatment in Ewing sarcoma and FET-rearranged sarcomas, MD Anderson also voluntarily paused new patient enrollment. The FDA informed MD Anderson that the agency agreed with the voluntary enrollment pause and, as an administrative action, the FDA provided notification that the MDS and CMML trial was on partial clinical hold. While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partial clinical hold, FDA informed MD Anderson that the pause in patient enrollment shall remain in place and patients currently receiving seclidemstat treatment may continue treatment after consulting with their physician.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January 2024, Salarius announced that the MDACC Safety Review Committee completed its review and determined that MD Anderson could resume enrollment in the hematological trial, and the trial is currently recruiting.</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Currently, the hematologic cancer Phase 1/2 clinical trial being conducted at MD Anderson is now listed as active and recruiting on clinical trials.gov – trial NCT04734990.</w:t>
      </w:r>
    </w:p>
    <w:p>
      <w:pPr>
        <w:pStyle w:val="TextBody"/>
        <w:bidi w:val="0"/>
        <w:spacing w:before="0" w:after="0"/>
        <w:jc w:val="left"/>
        <w:rPr/>
      </w:pPr>
      <w:r>
        <w:rPr/>
      </w:r>
    </w:p>
    <w:p>
      <w:pPr>
        <w:pStyle w:val="TextBody"/>
        <w:bidi w:val="0"/>
        <w:spacing w:lineRule="auto" w:line="276" w:before="0" w:after="240"/>
        <w:jc w:val="left"/>
        <w:rPr>
          <w:rFonts w:ascii="Arial;sans-serif" w:hAnsi="Arial;sans-serif"/>
          <w:b/>
          <w:color w:val="000000"/>
          <w:sz w:val="20"/>
        </w:rPr>
      </w:pPr>
      <w:r>
        <w:rPr>
          <w:rFonts w:ascii="Arial;sans-serif" w:hAnsi="Arial;sans-serif"/>
          <w:b/>
          <w:color w:val="000000"/>
          <w:sz w:val="20"/>
        </w:rPr>
        <w:t>Strategic Agreements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Listed below are the strategic agreements that may have an impact on our results of operations:</w:t>
      </w:r>
    </w:p>
    <w:p>
      <w:pPr>
        <w:pStyle w:val="TextBody"/>
        <w:bidi w:val="0"/>
        <w:spacing w:before="0" w:after="0"/>
        <w:jc w:val="left"/>
        <w:rPr/>
      </w:pPr>
      <w:r>
        <w:rPr/>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The University of Utah Research Foundation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August 3, 2011, we entered into an Exclusive License Agreement with the University of Utah Research Foundation (the University of Utah), for the exclusive license with respect to patent rights protecting SP-2577 and related compounds. The patent rights were for a provisional patent. The term of agreement is until the last-to-expire of the patent rights licensed under the agreement, which is expected to be as late as 2037, unless otherwise terminated by law or by the parties pursuant to the agreement.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further consideration of the rights granted by the University of Utah, we agreed to pay all past patent expenses incurred in filing and prosecuting the patent application, and pay all future patent expenses incurred including filing, prosecuting, enforcing and maintaining the patent right.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Under the terms of the agreement, we may be obligated to make certain future milestone and royalty payments, including: (i) an earned royalty payment based on a single digit percentage of net sales and a required minimum annual royalty payment commencing with the third full calendar year after the first commercial sale in the U.S., Germany, France, Japan or the U.K. ranging from $10,000 to $40,000 per year which minimum payments are fully creditable towards the earned royalty payment with respect to the relevant calendar year, (ii) a sublicensee fee based on a single digit percentage of revenues received by sublicensees, (iii) milestone payments in agreed dollar amounts upon receiving regulatory approvals allowing the marketing and sale of licensed products or licensed methods relating to the patients’ rights in each of the U.S., the European Union and Japan not exceeding $150,000 in the aggregate and (iv) a milestone payment in an agreed dollar amount upon the two year anniversary of the first commercial sale of a licensed product not exceeding $1.0 million.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Either party has a right to terminate the agreement for a breach of or default under the agreement following a 60-day cure period. If we ceases to carry on our business with respect to the patent right granted under the agreement, the University of Utah has a right to terminate the agreement upon 60 days’ notice. In addition, we may terminate the agreement at any time upon ninety days’ notice to the University of Utah.</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Cancer Prevention and Research Institute of Texas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In June 2016, we entered into a Cancer Research Grant Contract with Cancer Prevention and Research Institute of Texas (CPRIT). The grant contract was for an amount up to $18.7 million to fund the development of LSD-1 inhibitor. The grant was subsequently amended to remove $2.6 million related to a discontinued prostate cancer program. We received approximately $16 million under the grant. The grant has been closed as of December 31, 2023. </w:t>
      </w:r>
    </w:p>
    <w:p>
      <w:pPr>
        <w:pStyle w:val="TextBody"/>
        <w:bidi w:val="0"/>
        <w:spacing w:before="0" w:after="0"/>
        <w:jc w:val="both"/>
        <w:rPr/>
      </w:pPr>
      <w:r>
        <w:rPr/>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 conditions of the grant include upon commercialization of SP-2577, and if our revenue is above a specified dollar threshold, we will be required to pay up to 3%-5% of such revenue during the revenue term until CPRIT receives an amount equal to a single digit multiple of the total grant award. The revenue term is determined on a country by country basis as revenue during the period beginning on the date of the first commercial sale of a product or service until there no longer exists any exclusivity for a commercial product or service in such country, which may be as late as 2037. In the event CPRIT receives such specified percentage of the total grant award from us during the revenue term, we will continue to pay CPRIT a reduced revenue sharing percentage during the remainder of the revenue term. Additionally, if we are required to obtain a license under the intellectual property rights of one or more third parties in order to sell commercial products in any given country, then the revenue sharing percentages may be reduced.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DeuteRx, LLC</w:t>
      </w:r>
    </w:p>
    <w:p>
      <w:pPr>
        <w:pStyle w:val="TextBody"/>
        <w:bidi w:val="0"/>
        <w:spacing w:lineRule="auto" w:line="268" w:before="0" w:after="240"/>
        <w:jc w:val="left"/>
        <w:rPr>
          <w:rFonts w:ascii="Arial;sans-serif" w:hAnsi="Arial;sans-serif"/>
          <w:b w:val="false"/>
          <w:color w:val="000000"/>
          <w:sz w:val="20"/>
        </w:rPr>
      </w:pPr>
      <w:r>
        <w:rPr>
          <w:rFonts w:ascii="Arial;sans-serif" w:hAnsi="Arial;sans-serif"/>
          <w:b w:val="false"/>
          <w:color w:val="000000"/>
          <w:sz w:val="20"/>
        </w:rPr>
        <w:t xml:space="preserve">On January 12, 2022, we entered into an acquisition and strategic collaboration agreement ( the ASCA) with DeuteRx, LLC (DeuteRx), pursuant to which we acquired targeted protein development portfolio.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portfolio was purchased for an aggregate purchase price of $1.5 million and the delivery of 40,000 shares of our common stock. We also agreed to pay to Seller (i) milestone payments upon the occurrence of certain events and (ii) royalty payments. All cost related to the transaction were immediately expensed in 2022 as acquired in-process research and development expenses since SP-3164 has not yet achieved regulatory approval and, absent obtaining such approval, has no alternative future use. A member of the Company’s Board of Directors also serves as a consultant to the Seller and is employed by an affiliate of the Seller.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Simultaneously with our entry into the ASCA, we and DeuteRx entered into the R&amp;D Services Agreement, which sets forth the terms and conditions upon which DeuteRx will provide services to us, including the implementation and performance of a Non-Clinical and Clinical Development Scope of Work. The ASCA remains in place, albeit at lower service levels resulting from company wide cost cutting measures.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Manufacturing, Sales and Marketing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currently has no manufacturing facilities, nor does it have a sales and marketing organization because our product candidates are still in preclinical or early-stage clinical development.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Intellectual Property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of December 31, 2023, we had a SP-2577 worldwide portfolio of 71 patents and patent applications of which 64 were issued or allowed and 7 are pending applications. This portfolio includes (i) composition of matter and methods of use patents on our lead candidate, SP-2577. Transaction have claims that cover the composition of matter of SP-3164 with a patent term expiration of January 14, 2034. The patents and patent applications related to SP-2577 are owned by the University of Utah Research Foundation and are exclusively licensed to us.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the United States, our anticipated first target market, we have two composition of matter patents (US#8,987,335 and US#9,266,838) and two methods of use patents (US#9,642,857, US#9,555,024) protecting SP-2577 and related compounds which will expire in 2032.</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As of December 31, 2023 the targeted degradation patent portfolio consisted of 6 patent families with 17 granted patents and 4 pending applications acquired in the DeuteRx Transaction.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addition to patent protection, we seek to rely on trade secret protection, trademark protection and know-how to expand our proprietary position around our chemistry, technology and other discoveries and inventions that we consider important to our business. We also seek to protect our intellectual property in part by entering into confidentiality agreements with our employees, consultants, scientific advisors, clinical investigators and other contractors and by requiring our employees, commercial contractors, and certain consultants and investigators, to enter into invention assignment agreements that grant us ownership of any discoveries or inventions made by them. Further, we seek trademark protection in the United States and internationally where available and when we deem appropriate.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Competition</w:t>
      </w:r>
    </w:p>
    <w:p>
      <w:pPr>
        <w:pStyle w:val="TextBody"/>
        <w:bidi w:val="0"/>
        <w:spacing w:lineRule="auto" w:line="268" w:before="0" w:after="240"/>
        <w:jc w:val="both"/>
        <w:rPr>
          <w:rFonts w:ascii="Arial;sans-serif" w:hAnsi="Arial;sans-serif"/>
          <w:b/>
          <w:i/>
          <w:color w:val="000000"/>
          <w:sz w:val="20"/>
          <w:shd w:fill="FFFFFF" w:val="clear"/>
        </w:rPr>
      </w:pPr>
      <w:r>
        <w:rPr>
          <w:rFonts w:ascii="Arial;sans-serif" w:hAnsi="Arial;sans-serif"/>
          <w:b/>
          <w:i/>
          <w:color w:val="000000"/>
          <w:sz w:val="20"/>
          <w:shd w:fill="FFFFFF" w:val="clear"/>
        </w:rPr>
        <w:t>SP-3164: Targeted Protein Degradation and Competitive Differentiation</w:t>
      </w:r>
    </w:p>
    <w:p>
      <w:pPr>
        <w:pStyle w:val="TextBody"/>
        <w:bidi w:val="0"/>
        <w:spacing w:lineRule="auto" w:line="268" w:before="0" w:after="240"/>
        <w:jc w:val="both"/>
        <w:rPr/>
      </w:pPr>
      <w:r>
        <w:rPr>
          <w:rFonts w:ascii="Arial;sans-serif" w:hAnsi="Arial;sans-serif"/>
          <w:b w:val="false"/>
          <w:color w:val="000000"/>
          <w:sz w:val="20"/>
        </w:rPr>
        <w:t>The field of targeted protein degradation (TPD) is rapidly growing and attracting a lot of interest from the biggest pharmaceutical companies.</w:t>
      </w:r>
      <w:r>
        <w:rPr>
          <w:color w:val="000000"/>
        </w:rPr>
        <w:t xml:space="preserve"> </w:t>
      </w:r>
      <w:r>
        <w:rPr>
          <w:rFonts w:ascii="Arial;sans-serif" w:hAnsi="Arial;sans-serif"/>
          <w:b w:val="false"/>
          <w:color w:val="000000"/>
          <w:sz w:val="20"/>
        </w:rPr>
        <w:t>The two most common types of protein degraders are molecular glues (MGs) and proteolysis-targeting chimeras (PROTACs). SP-3164 is a next-generation CRBN-binding MG. There are several MGs in clinical development (see table below for select MGs in development) and additional compounds in IND-enabling studies.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tbl>
      <w:tblPr>
        <w:tblW w:w="8639" w:type="dxa"/>
        <w:jc w:val="left"/>
        <w:tblInd w:w="0" w:type="dxa"/>
        <w:tblLayout w:type="fixed"/>
        <w:tblCellMar>
          <w:top w:w="28" w:type="dxa"/>
          <w:left w:w="28" w:type="dxa"/>
          <w:bottom w:w="28" w:type="dxa"/>
          <w:right w:w="28" w:type="dxa"/>
        </w:tblCellMar>
      </w:tblPr>
      <w:tblGrid>
        <w:gridCol w:w="827"/>
        <w:gridCol w:w="725"/>
        <w:gridCol w:w="728"/>
        <w:gridCol w:w="809"/>
        <w:gridCol w:w="809"/>
        <w:gridCol w:w="812"/>
        <w:gridCol w:w="644"/>
        <w:gridCol w:w="644"/>
        <w:gridCol w:w="647"/>
        <w:gridCol w:w="584"/>
        <w:gridCol w:w="584"/>
        <w:gridCol w:w="826"/>
      </w:tblGrid>
      <w:tr>
        <w:trPr/>
        <w:tc>
          <w:tcPr>
            <w:tcW w:w="82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Compound Name</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Company</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Main Protein Targets</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Indications</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Iberdomide (CC-220)</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Bristol Myers Squibb (BMS)</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Ikaros/Aiolos (I/A)</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MM , NHL </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Mezigdomide (CC-92480)</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BMS</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I/A</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R/R MM and ND MM </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CC-99282</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BMS</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I/A</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NHL, CLL </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CFT7455</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C4 Therapeutics</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I/A</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NHL and MM </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BTX-1188</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BioTheryX</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GSPT1, I/A</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AST, NHL and AML</w:t>
            </w:r>
          </w:p>
        </w:tc>
      </w:tr>
    </w:tbl>
    <w:p>
      <w:pPr>
        <w:pStyle w:val="TextBody"/>
        <w:bidi w:val="0"/>
        <w:spacing w:lineRule="auto" w:line="256" w:before="0" w:after="240"/>
        <w:jc w:val="both"/>
        <w:rPr/>
      </w:pPr>
      <w:r>
        <w:rPr>
          <w:rFonts w:ascii="Arial;sans-serif" w:hAnsi="Arial;sans-serif"/>
          <w:b w:val="false"/>
          <w:color w:val="000000"/>
          <w:sz w:val="20"/>
        </w:rPr>
        <w:t>To the best of our knowledge, SP-3164 will be the first, deuterium-stabilized cereblon-binding drug. Based on preclinical studies, SP-3164 may have advantageous pharmacokinetic properties that could increase tolerability. Compared to MGs currently on the market including Revlimid® and Pomalyst®, SP-3164 showed more robust degradation of Ikaros and Aiolos and resulted in improved tumor growth inhibition in mouse models. In addition, although SP-3164 is</w:t>
      </w:r>
      <w:r>
        <w:rPr>
          <w:color w:val="000000"/>
        </w:rPr>
        <w:t xml:space="preserve"> </w:t>
      </w:r>
      <w:r>
        <w:rPr>
          <w:rFonts w:ascii="Arial;sans-serif" w:hAnsi="Arial;sans-serif"/>
          <w:b w:val="false"/>
          <w:color w:val="000000"/>
          <w:sz w:val="20"/>
        </w:rPr>
        <w:t xml:space="preserve">currently in IND-enabling studies, there is extensive clinical data generated by the first-generation compound, avadomide, that SP-3164 can build upon. This includes development of a precision medicine approach to select for patients who may be more sensitive to SP-3164. </w:t>
      </w:r>
    </w:p>
    <w:p>
      <w:pPr>
        <w:pStyle w:val="TextBody"/>
        <w:bidi w:val="0"/>
        <w:spacing w:lineRule="auto" w:line="256" w:before="0" w:after="240"/>
        <w:jc w:val="both"/>
        <w:rPr>
          <w:rFonts w:ascii="Arial;sans-serif" w:hAnsi="Arial;sans-serif"/>
          <w:b/>
          <w:i/>
          <w:color w:val="000000"/>
          <w:sz w:val="20"/>
        </w:rPr>
      </w:pPr>
      <w:r>
        <w:rPr>
          <w:rFonts w:ascii="Arial;sans-serif" w:hAnsi="Arial;sans-serif"/>
          <w:b/>
          <w:i/>
          <w:color w:val="000000"/>
          <w:sz w:val="20"/>
        </w:rPr>
        <w:t>SP-2577: LSD1 Inhibition and Competitive Differentiation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LSD1 is a widely published epigenetic target and has attracted interest from several large pharmaceutical companies. LSD1 helps drive cancer progression through demethylation of histones and by acting as a scaffolding protein within various activator and repressor complexes. According to clinicaltrials.gov, there are four targeted LSD1 inhibitors and one dual LS1/HDAC6 inhibitor (JBI-295) in Phase 1/2 clinical development for a variety of cancer types (shown in the table below)</w:t>
      </w:r>
    </w:p>
    <w:tbl>
      <w:tblPr>
        <w:tblW w:w="5563" w:type="dxa"/>
        <w:jc w:val="center"/>
        <w:tblInd w:w="0" w:type="dxa"/>
        <w:tblLayout w:type="fixed"/>
        <w:tblCellMar>
          <w:top w:w="28" w:type="dxa"/>
          <w:left w:w="28" w:type="dxa"/>
          <w:bottom w:w="28" w:type="dxa"/>
          <w:right w:w="28" w:type="dxa"/>
        </w:tblCellMar>
      </w:tblPr>
      <w:tblGrid>
        <w:gridCol w:w="954"/>
        <w:gridCol w:w="840"/>
        <w:gridCol w:w="845"/>
        <w:gridCol w:w="599"/>
        <w:gridCol w:w="599"/>
        <w:gridCol w:w="601"/>
        <w:gridCol w:w="329"/>
        <w:gridCol w:w="329"/>
        <w:gridCol w:w="467"/>
      </w:tblGrid>
      <w:tr>
        <w:trPr/>
        <w:tc>
          <w:tcPr>
            <w:tcW w:w="9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Company</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Binding Mechanism</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Drug Name</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Salarius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Reversible</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SP-2577</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Oryzon</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Irreversible</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ORY-1001 </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Celgene/Bristol Myers Squibb </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Reversible</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CC-90011</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Imago</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Irreversible</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IMG-7289</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Jubilant</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Irreversible</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JBI-295 </w:t>
            </w:r>
          </w:p>
        </w:tc>
      </w:tr>
    </w:tbl>
    <w:p>
      <w:pPr>
        <w:pStyle w:val="TextBody"/>
        <w:bidi w:val="0"/>
        <w:spacing w:lineRule="auto" w:line="288" w:before="0" w:after="240"/>
        <w:jc w:val="both"/>
        <w:rPr/>
      </w:pPr>
      <w:r>
        <w:rPr>
          <w:rFonts w:ascii="Arial;sans-serif" w:hAnsi="Arial;sans-serif"/>
          <w:b w:val="false"/>
          <w:color w:val="000000"/>
          <w:sz w:val="20"/>
        </w:rPr>
        <w:t>We believe that SP-2577 is differentiated in its ability to effectively inhibit LSD1’s scaffolding properties in addition to LSD1’s demethylation activity. Compared to irreversible LSD1 inhibitors, our molecule has a novel binding mechanism (reversible as opposed to irreversible) and binding location (closer to substrate binding site as opposed to the FAD cofactor of LSD1). This was demonstrated in a study conducted by A. Sehrawat, et al. in “LSD1 activates a Lethal Prostate Cancer Gene Network Independently of its Demethylase Function” with SP-2509, an analogue of SP-2577. Compared to LSD1 inhibitors in clinical development, SP-2577 binds to LSD1 in a different manner, which we hypothesizes may grant it therapeutic advantages over the competition. To further justify this hypothesis, we compared the affect of SP-2577, GSK-LSD1 (analogue to GSK's former clinical candidate), CC-90011 (Celgene's reversible, enzymatic inhibiting clinical candidate), and ORY-1001 (Oryzon's irreversible, enzymatic-inhibiting clinical candidate)</w:t>
      </w:r>
      <w:r>
        <w:rPr>
          <w:color w:val="000000"/>
        </w:rPr>
        <w:t xml:space="preserve"> </w:t>
      </w:r>
      <w:r>
        <w:rPr>
          <w:rFonts w:ascii="Arial;sans-serif" w:hAnsi="Arial;sans-serif"/>
          <w:b w:val="false"/>
          <w:color w:val="000000"/>
          <w:sz w:val="20"/>
        </w:rPr>
        <w:t>on cell viability in vitro. SP-2577 was able to better inhibit cell growth across 32 cancer cell types compared to GSK-LSD1, 20 cell types compared to CC-90011, and 40 cell lines compared to ORY-1001.</w:t>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Government Regulation and Product Approvals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United States Government Regulation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In the United States, pharmaceutical products are subject to extensive regulation by the FDA. The Federal Food, Drug, and Cosmetic Act, the FDA’s implementing regulations, and other federal and state statutes and regulations, govern, among other things, the research, development, testing, manufacture, quality control, safety, effectiveness, storage, recordkeeping, approval, labeling, promotion and marketing, distribution, post-approval monitoring and reporting, sampling and import and export of pharmaceutical products. We cannot market a drug product candidate in the United States until the drug has received FDA approval.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 xml:space="preserve">Drug Development Process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process required before a drug may be marketed in the United States generally include the following: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completion of extensive non-clinical laboratory tests and animal studies in accordance with the FDA’s Good Laboratory Practices (GLP) regulations, applicable requirements for the humane use of laboratory animals, such as the Animal Welfare Act or other applicable regulations;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submission to the FDA of an Investigational New Drug (IND) for human clinical testing, which must be deemed effective before human clinical trials may begin;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approval by an independent institutional review board (IRB) overseeing each clinical site before each trial may be initiated at that site;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performance of adequate and well-controlled human clinical trials in accordance with Good Clinical Practices (GCP) requirements , and any additional requirements for the protection of human research subjects and their health information, to establish the safety and efficacy of the drug for each proposed indication;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submission to the FDA of a New Drug Approval (NDA) for marketing approval that includes substantial evidence of safety and effectiveness from results of clinical trials, as well as the results of preclinical testing, detailed information about the chemistry, manufacturing and controls, and proposed labeling and packaging for the product candidate;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consideration by an FDA Advisory Committee, if applicable;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satisfactory completion of potential FDA audits of the preclinical study and clinical trial sites that generated the data in support of the NDA;</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satisfactory completion of an FDA pre-approval inspection of the nonclinical, clinical and/or manufacturing sites or facilities at which the active pharmaceutical ingredient, (API), and finished drug product are produced and tested to assess compliance with current Good Manufacturing Practices (cGMP);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FDA review and approval of the NDA prior to any commercial marketing or sale of the drug in the United States, including agreement on post-marketing commitments, if applicable.</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Before testing any drugs with potential therapeutic value in humans, the drug enters the preclinical testing stage. 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GLP and the Animal Welfare Act.</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Before commencing the first clinical trial in humans, an IND must be submitted to the FDA, and the IND must become effective. An IND sponsor must submit the results of pre-clinical testing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if all other requirements, including IRB review and approval, have been met. If the FDA raises concerns or questions about the conduct of the trial, such as whether human research subjects will be exposed to an unreasonable health risk, the IND sponsor and the FDA must resolve any outstanding FDA concerns or questions before clinical trials can proceed. Even after the IND has gone into effect and clinical testing has begun, the FDA may also impose clinical holds on clinical trials due to safety concerns or non-compliance. If the FDA imposes a clinical hold, studies may not recommence without FDA authorization and then only under terms authorized by the FDA.</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Clinical trials involve the administration of the investigational new drug to healthy volunteers or patients under the supervision of a qualified investigator. Clinical trials must be conducted in compliance with state and federal regulations, including GCP requirements, which include the requirement that all research subjects provide their informed consent in writing for their participation in any clinical trial. Clinical trials are conducted under protocols detailing the objectives of the trial, dosing procedures, subject selection and exclusion criteria, and the parameters to be used in monitoring safety and the effectiveness criteria to be evaluated, including stopping rules that assure a clinical trial will be stopped if certain adverse events (AEs) should occur. Each protocol and subsequent protocol amendments must be submitted to the FDA as part of the IND.</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The FDA may order the temporary or permanent discontinuation of a clinical trial at any time, or impose other sanctions, if it believes that the clinical trial either is not being conducted in accordance with FDA requirements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presents an unacceptable risk to the clinical trial patients. The study protocol and informed consent information for patients in clinical trials must also be submitted to an IRB, for approval of each site at which the clinical trial will be conducted. An IRB may also require the clinical trial at the site to be halted, either temporarily or permanently, for failure to comply with the IRB’s requirements, or may impose other conditions. Information about certain clinical trials must be submitted within specific timeframes to the National Institutes of Health (NIH) for public dissemination on their www.clinicaltrials.gov website.</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Clinical trials to support NDAs for marketing approval are typically conducted in three sequential phases, but the phases may overlap. In Phase 1, the initial introduction of the drug into healthy human subjects or patients, the drug is tested to assess pharmacological actions, safety and side effects associated with increasing doses and, if possible, early evidence of effectiveness. Phase 2 usually involves trials in a larger but limited patient population to study metabolism of the drug, pharmacokinetics, the effectiveness of the drug for a particular indication, dosage tolerance and optimum dosage, and to identify common adverse effects and safety risks. If a compound demonstrates evidence of effectiveness and an acceptable safety profile in Phase 2 evaluations, Phase 3 clinical trials, also called pivotal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has express statutory authority to require post-market clinical studies to address safety issues.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AEs, any findings from other studies, tests in laboratory animals or in vitro testing and other sources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In limited circumstances, the FDA also permits the administration of investigational drug products to patients under its expanded access regulatory authorities. Under the FDA’s expanded access authority, patients who are not able to participate in a clinical trial may be eligible for accessing investigational products, including through individual compassionate or emergency use in concert with their requesting physician.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Concurrent with clinical trials, companies usually complete additional animal studies, develop additional information about the physical characteristics of the biological product candidate and finalize a process for manufacturing the product in commercial quantities in accordance with cGMP requirements. Additionally, appropriate packaging must be selected and tested, and stability studies must be conducted to demonstrate that the biological product candidate does not undergo unacceptable deterioration over its shelf life.</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FDA Review and Approval Process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After completion of the required clinical testing, a sponsor may prepare and submit an NDA to the FDA. FDA approval of the NDA is required before marketing of the product may begin in the United States. The NDA must include the results of all non-clinical, clinical and other testing and a compilation of data relating to the product’s toxicology, pharmacology, chemistry, manufacture and controls. In addition, under the Pediatric Research Equity Act, as amended, an NDA or supplement to an NDA generally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depending on the designated pathway for submission. The cost of preparing and submitting an NDA is substantial. The submission of most NDAs is additionally subject to a substantial application user fee, and the manufacturer and/or sponsor under an approved NDA are also subject to annual product and establishment user fees. These fees are typically increased annually. Fee waivers or reductions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pPr>
      <w:r>
        <w:rPr>
          <w:rFonts w:ascii="Arial;sans-serif" w:hAnsi="Arial;sans-serif"/>
          <w:b w:val="false"/>
          <w:color w:val="000000"/>
          <w:sz w:val="20"/>
        </w:rPr>
        <w:t>are available in certain circumstances, including a waiver of the application fee for the first application filed by a small business.</w:t>
      </w:r>
      <w:r>
        <w:rPr>
          <w:color w:val="000000"/>
        </w:rPr>
        <w:t xml:space="preserve"> </w:t>
      </w:r>
      <w:r>
        <w:rPr>
          <w:rFonts w:ascii="Arial;sans-serif" w:hAnsi="Arial;sans-serif"/>
          <w:b w:val="false"/>
          <w:color w:val="000000"/>
          <w:sz w:val="20"/>
        </w:rPr>
        <w:t>Under the Prescription Drug User Fee Act (PDUFA) performance goals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r>
        <w:rPr>
          <w:color w:val="000000"/>
        </w:rPr>
        <w:t xml:space="preserve"> </w:t>
      </w:r>
      <w:r>
        <w:rPr>
          <w:rFonts w:ascii="Arial;sans-serif" w:hAnsi="Arial;sans-serif"/>
          <w:b w:val="false"/>
          <w:color w:val="000000"/>
          <w:sz w:val="20"/>
        </w:rPr>
        <w:t xml:space="preserve">That deadline can be extended under certain circumstances, including by the FDA’s requests for additional information. The targeted action date can also be shortened to 6 months of the “filing” date for products that are granted priority review designation because they are intended to treat serious or life-threatening conditions and demonstrate the potential to address unmet medical needs. </w:t>
      </w:r>
      <w:r>
        <w:rPr>
          <w:rFonts w:ascii="Arial;sans-serif" w:hAnsi="Arial;sans-serif"/>
          <w:b w:val="false"/>
          <w:color w:val="000000"/>
          <w:sz w:val="20"/>
          <w:shd w:fill="FFFFFF" w:val="clear"/>
        </w:rPr>
        <w:t xml:space="preserve">Within 60 days following submission of the application, the FDA reviews all NDAs submitted to ensure that they are sufficiently complete for substantive review before it accepts them for filing. The FDA may issue a refuse-to-file letter and request additional information rather than accept an NDA for filing. In this event, the NDA must be resubmitted with the additional information. The resubmitted application also is subject to review before the FDA accepts it for filing. </w:t>
      </w:r>
      <w:r>
        <w:rPr>
          <w:rFonts w:ascii="Arial;sans-serif" w:hAnsi="Arial;sans-serif"/>
          <w:b w:val="false"/>
          <w:color w:val="000000"/>
          <w:sz w:val="20"/>
        </w:rPr>
        <w:t>Once the submission is accepted for filing, the FDA begins an in-depth substantive review. The FDA reviews an NDA to determine, among other things, whether the drug is safe and effective and whether the facility(ies) in which it is manufactured, processed, packaged or held meets standards designed to assure the product’s continued safety, quality and purity. The FDA may also refer applications for novel drug products, or drug products that present difficult questions of safety or efficacy, to an advisory committee-typically a panel that includes clinicians and other experts-for consideration, discussion and a vote on specific questions relevant to the approval decision.</w:t>
      </w:r>
      <w:r>
        <w:rPr>
          <w:color w:val="000000"/>
        </w:rPr>
        <w:t xml:space="preserve"> </w:t>
      </w:r>
      <w:r>
        <w:rPr>
          <w:rFonts w:ascii="Arial;sans-serif" w:hAnsi="Arial;sans-serif"/>
          <w:b w:val="false"/>
          <w:color w:val="000000"/>
          <w:sz w:val="20"/>
        </w:rPr>
        <w:t>The FDA is not bound by the recommendation of an advisory committee, but it considers such recommendations carefully when making decisions. Before approving an NDA, the FDA will typically inspect one or more clinical sites to assure compliance with GCPs. Additionally, the FDA will inspect the facility or the facilities at which the drug is manufactured. The FDA will not approve the product unless compliance with cGMP requirements is satisfactory and the NDA contains data that provide substantial evidence that the drug is safe and effective in the indication studied.</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During the NDA review process, the FDA also will determine whether a Risk Evaluation and Mitigation Strategy (REMS) is necessary to assure the safe use of the product. If the FDA concludes a REMS is needed, the sponsor must submit a proposed REMS; the FDA will not approve the NDA without a REMS, if required.</w:t>
      </w:r>
      <w:r>
        <w:rPr>
          <w:color w:val="000000"/>
        </w:rPr>
        <w:t xml:space="preserve"> </w:t>
      </w:r>
      <w:r>
        <w:rPr>
          <w:rFonts w:ascii="Arial;sans-serif" w:hAnsi="Arial;sans-serif"/>
          <w:b w:val="false"/>
          <w:color w:val="000000"/>
          <w:sz w:val="20"/>
        </w:rPr>
        <w:t xml:space="preserve">A REMS could include a medication guide, communication plan or elements to assure safe use, such as required healthcare provider or pharmacy certification, a patient registry and other safe use conditions. </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After the FDA evaluates the NDA and the manufacturing facilities, it issues either an approval letter or a complete response letter. A complete response letter generally outlines the deficiencies in the submission and may require substantial additional clinical data , or information, in order to resubmit the application for another cycle of</w:t>
      </w:r>
      <w:r>
        <w:rPr>
          <w:color w:val="000000"/>
        </w:rPr>
        <w:t xml:space="preserve"> </w:t>
      </w:r>
      <w:r>
        <w:rPr>
          <w:rFonts w:ascii="Arial;sans-serif" w:hAnsi="Arial;sans-serif"/>
          <w:b w:val="false"/>
          <w:color w:val="000000"/>
          <w:sz w:val="20"/>
        </w:rPr>
        <w:t>FDA review. If a complete response letter is issued, the applicant may either resubmit the NDA, addressing all of the deficiencies identified in the complete response letter, or withdraw the application. If those deficiencies have been addressed to the FDA’s satisfaction in a resubmission of the NDA, the FDA will issue an approval letter. The FDA has committed to reviewing such resubmissions in two or six months depending on the type of information included.</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An approval letter authorizes commercial marketing of the drug with specific prescribing information for specific indications. Even if the FDA approves a product, it may limit the approved indications for use of the product, require that contraindications, warnings or precautions be included in the product labeling, require that post- 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to ensure that the benefits of the drug outweigh the potential risks. The requirement for a REMS can materially affect the potential market and profitability of the drug. The FDA may prevent or limit further marketing of a product based on the results of post-marketing studies or surveillance programs. Once granted, product approvals may be withdrawn if compliance with regulatory standards is not maintained, FDA determines the risk outweighs the benefits of the product or other problems are identified following initial marketing.</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 Such supplements are typically reviewed within 10 months of receipt or 6 months of receipt for priority efficacy supplements.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Orphan Drug Status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Under the Orphan Drug Act, the FDA may grant orphan drug designation to drug candidates intended to treat a rare disease or condition, which is generally a disease or condition that affects fewer than 200,000 individuals in the United States, or more than 200,000 individuals in the United States and for which there is no reasonable expectation that costs of research and development of the drug for the indication can be recovered by sales of the drug in the United States. Orphan drug designation must be requested before submitting an NDA. After the FDA grants orphan drug designation, the generic identity of the therapeutic agent and its potential orphan use are disclosed publicly by the FDA. Although there may be some increased communication opportunities, orphan drug designation does not convey any advantage in or shorten the duration of the regulatory review and approval process.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If a drug candidate that has orphan drug designation subsequently receives the first FDA approval for the disease for which it has such designation, the product is entitled to orphan drug exclusivity, which means that the FDA may not approve any other applications, including a full NDA, to market the same drug for the same indication for seven years, except in limited circumstances, such as if the second applicant demonstrates the clinical superiority of its product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As in the United States, designation as an orphan drug for the treatment of a specific indication in the European Union, must be made before the application for marketing authorization is made. Orphan drugs in Europe enjoy economic and marketing benefits, including up to 10 years of market exclusivity for the approved indication unless another applicant can show that its product is safer, more effective or otherwise clinically superior to the orphan designated product.</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FDA and foreign regulators expect holders of exclusivity for orphan drugs to assure the availability of sufficient quantities of their orphan drugs to meet the needs of patients. Failure to do so could result in the withdrawal of marketing exclusivity for the orphan drug.</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Expedited Development and Review Programs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The FDA has a Fast Track program that is intended to expedite or facilitate the process for development and review of new drug products that meet certain criteria. Specifically, new drug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drug may request that the FDA designate the drug as a Fast Track product at any time during the clinical development of the product. For a Fast Track-designated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Fast Tack designation may be rescinded if FDA determines the program no longer meets the qualifying criteria for Fast Track.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Any product submitted to the FDA for marketing, including under a Fast Track program, may be eligible for other types of FDA programs intended to expedite development and review, such as priority review and accelerated approval. A product is eligible for priority review if it is intended to treat a serious condition and, if approved, would provide a significant improvement in safety or effectiveness. The FDA will attempt to direct additional resources to the evaluation of an application for a new drug product designated for priority review in an effort to facilitate the review on a 6 month, rather than the standard 10 month, timeline. We have received FDA designation as a potential treatment for a rare pediatric disease for the use of SP-2577 in Ewing’s Sarcoma. Should SP-2577 prove to be efficacious in this disease with a positive benefit/risk ratio, we expect to receive a Priority Review Voucher. The Priority Review Voucher is transferable and may be sold.</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Additionally, a product may be eligible for accelerated approval under subpart H if it treats a serious or life-threatening disease or condition, provides meaningful advantage over existing treatments, and demonstrates an effect on a surrogate endpoint that is reasonably likely to predict a clinical benefit or on an intermediate clinical endpoint.</w:t>
      </w:r>
      <w:r>
        <w:rPr>
          <w:color w:val="000000"/>
        </w:rPr>
        <w:t xml:space="preserve"> </w:t>
      </w:r>
      <w:r>
        <w:rPr>
          <w:rFonts w:ascii="Arial;sans-serif" w:hAnsi="Arial;sans-serif"/>
          <w:b w:val="false"/>
          <w:color w:val="000000"/>
          <w:sz w:val="20"/>
        </w:rPr>
        <w:t>If a product qualifies for accelerated approval, the product may be approved based on an effect on a surrogate endpoint or intermediate clinical endpoint that is reasonably likely to predict the drug’s clinical benefit.</w:t>
      </w:r>
      <w:r>
        <w:rPr>
          <w:color w:val="000000"/>
        </w:rPr>
        <w:t xml:space="preserve"> </w:t>
      </w:r>
      <w:r>
        <w:rPr>
          <w:rFonts w:ascii="Arial;sans-serif" w:hAnsi="Arial;sans-serif"/>
          <w:b w:val="false"/>
          <w:color w:val="000000"/>
          <w:sz w:val="20"/>
        </w:rPr>
        <w:t xml:space="preserve">As a condition of accelerated approval, the FDA will require that a sponsor of a drug product subject to accelerated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pPr>
      <w:r>
        <w:rPr>
          <w:rFonts w:ascii="Arial;sans-serif" w:hAnsi="Arial;sans-serif"/>
          <w:b w:val="false"/>
          <w:color w:val="000000"/>
          <w:sz w:val="20"/>
        </w:rPr>
        <w:t>approval perform an adequate and well-controlled post-marketing clinical trial to confirm clinical benefit. If a sponsor fails to conduct any required post-approval trial with “due diligence” FDA may withdraw the drug from the market.</w:t>
      </w:r>
      <w:r>
        <w:rPr>
          <w:color w:val="000000"/>
        </w:rPr>
        <w:t xml:space="preserve"> </w:t>
      </w:r>
      <w:r>
        <w:rPr>
          <w:rFonts w:ascii="Arial;sans-serif" w:hAnsi="Arial;sans-serif"/>
          <w:b w:val="false"/>
          <w:color w:val="000000"/>
          <w:sz w:val="20"/>
        </w:rPr>
        <w:t xml:space="preserve">In addition, the FDA currently requires as a condition for accelerated approval that promotional materials be submitted in advance of initial dissemination, which could adversely impact the timing of the commercial launch of the product.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addition, under the provisions of the FDA Safety and Innovation Act (FDASIA), the FDA established the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The Breakthrough Therapy Designation is distinct from both accelerated approval and priority review, but these can also be granted to the same product candidate if the relevant criteria are met. The FDA may take certain actions, such as holding timely meetings and providing advice, intended to expedite the development and review of an application for approval of a breakthrough therapy. Requests for breakthrough therapy designation will be reviewed within 60 days of receipt, and the FDA will either grant or deny the request. Breakthrough Therapy designation may be rescinded if the FDA determines the program no longer meets the qualifying criteria for breakthrough therapy.</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Fast Track designation, priority review, accelerated approval and Breakthrough Therapy Designation do not change the standards for approval, but may expedite the development or approval process. Even if we receive Fast Track or Breakthrough designations for its product candidates, the FDA may later decide that its product candidates no longer meet the conditions for qualification. In addition, these designations may not provide us with a material commercial advantage.</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Post-Approval Requirements</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Once an NDA is approved, a product is subject to extensive continuing post-approval requirements.</w:t>
      </w:r>
      <w:r>
        <w:rPr>
          <w:color w:val="000000"/>
        </w:rPr>
        <w:t xml:space="preserve"> </w:t>
      </w:r>
      <w:r>
        <w:rPr>
          <w:rFonts w:ascii="Arial;sans-serif" w:hAnsi="Arial;sans-serif"/>
          <w:b w:val="false"/>
          <w:color w:val="000000"/>
          <w:sz w:val="20"/>
        </w:rPr>
        <w:t>Any drug products manufactured or distributed by us pursuant to FDA approvals are subject to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For example, as a condition of approval of the NDA , the FDA may require post-marketing testing and surveillance to monitor the product’s safety or efficacy.</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Adverse event reporting and submission of periodic reports is required following FDA approval of an NDA. The FDA also may require post-marketing testing, known as Phase 4 testing, REMS or other surveillance to monitor the effects of an approved product, or restrictions on the distribution or use of the product. In addition, quality control, drug manufacture, packaging and labeling procedures must continue to conform to cGMP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 Accordingly, manufacturers must continue to expend time, money and effort in the areas of production and quality-control to maintain compliance with cGMP. Later discovery of previously unknown problems with a product, including adverse events of unanticipated severity or frequency,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restrictions on the marketing or manufacturing of the product, complete withdrawal of the product from the market or product recalls;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fines, untitled letters, warning letters or clinical holds on post-approval clinical trials;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refusal of the FDA to approve pending applications or supplements to approved applications, or suspension or revocation of product approvals;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product seizure or detention, or refusal to permit the import or export of products; or injunctions or the imposition of civil or criminal penalties.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Foreign Regulation</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Some countries outside of the United States have a similar process that requires the submission of a clinical trial application (CTA), much like the IND prior to the commencement of human clinical trials. In Europe, for example, a CTA must be submitted to a single EU portal for harmonized assessment at EU level with additional ethics review on each country’s national level, much like the FDA and an IRB, respectively. Once the CTA is approved in accordance with a country’s requirements, a clinical trial may proceed in that country. To obtain regulatory approval to commercialize a new drug under European Union regulatory systems, we must submit a marketing authorization application (MAA). The MAA is similar to the NDA, with the exception of, among other things, country-specific document requirements.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Other Healthcare Laws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Although we currently do not have any products on the market, our current and future business operations may be subject to additional healthcare regulation and enforcement by the federal government and by authorities in the states and foreign jurisdictions in which we conduct our business. Such laws include, without limitation, state and federal anti-kickback, fraud and abuse, false claims, privacy and security, price reporting and physician sunshine laws. Some of our pre-commercial activities are subject to some of these laws.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federal Anti-Kickback Statute makes it illegal for any person or entity, including a prescription drug manufacturer or a party acting on its behalf to knowingly and willfully, directly or indirectly, solicit, receive, offer, or pay any remuneration in cash or in kind that is intended to induce or reward the referral of business, including the purchase, order, or lease of any, item or service for which payment may be made under a federal healthcare program, such as Medicare or Medicaid. The term “remuneration” has been broadly interpreted to include anything of value. The Anti-Kickback Statute has been interpreted to apply to arrangements between pharmaceutical manufacturers on one hand and prescribers, purchasers, formulary managers and beneficiaries on the other.</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found that the Anti-Kickback Statute may be violated if any one purpose of an arrangement involving remuneration is to induce referrals of federal healthcare program business. In addition, liability may be established without actual knowledge of the statute or specific intent to violate it. Violations of this law are punishable by up to ten years in prison, and can also result in criminal fines, civil money penalties and exclusion from participation in federal healthcare programs.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Moreover, a claim including items or services resulting from a violation of the federal Anti-Kickback Statute constitutes a false or fraudulent claim for purposes of the federal civil False Claims Act.</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The federal civil False Claims Act, prohibits, among other things, individuals or entities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w:t>
      </w:r>
      <w:r>
        <w:rPr>
          <w:color w:val="000000"/>
        </w:rPr>
        <w:t xml:space="preserve"> </w:t>
      </w:r>
      <w:r>
        <w:rPr>
          <w:rFonts w:ascii="Arial;sans-serif" w:hAnsi="Arial;sans-serif"/>
          <w:b w:val="false"/>
          <w:color w:val="000000"/>
          <w:sz w:val="20"/>
        </w:rPr>
        <w:t xml:space="preserve">Persons and entities can be held liable under these laws if they are deemed to “cause” the submission of false or fraudulent claims by, for example, providing inaccurate billing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coding information to customers or promoting a product off-label. Many pharmaceutical and other healthcare companies have been investigated and have reached substantial financial settlements with the federal government under the civil False Claims Act for a variety of alleged improper marketing activities, including: providing free product to customers with the expectation that the customers would bill federal programs for the product; providing sham consulting fees, grants, free travel and other benefits to physicians to induce them to prescribe the company’s products; and inflating prices reported to private price publication services, which are used to set drug payment rates under government healthcare programs. Penalties for federal civil False Claims Act violations may include up to three times the actual damages sustained by the government, plus mandatory civil penalties of between $13,508 and $27,018 for each separate false claim, the potential for exclusion from participation in federal healthcare programs, and, although the federal False Claims Act is a civil statute, False Claims Act violations may also implicate various federal criminal statutes.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The healthcare fraud provisions of the Health Insurance Portability and Accountability Act (HIPAA) prohibit knowingly and willfully executing, or attempting to execute, a scheme to defraud any healthcare benefit program, including private third- 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Also, many states have analogous laws and regulations, such as state anti-kickback and false claims laws, which may apply to sales or marketing arrangements and claims involving healthcare items or services reimbursed by non-governmental third-party payors, including private insurers; laws that require pharmaceutical companies to comply with the pharmaceutical industry’s voluntary compliance guidelines and the relevant compliance guidance promulgated by the federal government or otherwise restrict payments that may be made to certain healthcare providers; laws that require drug manufacturers to report information related to clinical trials, or information related to payments and other transfers of value to physicians and other healthcare providers or marketing expenditures; state laws that restrict the ability of manufacturers to offer co-pay support to patients for certain prescription drugs; and state laws and local ordinances that require identification or licensing of sales representatives. </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HIPAA, as amended by the Health Information Technology for Economic and Clinical Health Act (HITECH), and their implementing regulations, including the final omnibus rule published on January 25, 2013,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Among other things, HITECH makes HIPAA’s security standards directly applicable to business associates, defined as certain persons or entities that create, receive, maintain or transmit protected health information in connection with providing a specified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 enforce the federal HIPAA laws and seek attorney’s fees and costs associated with pursuing federal civil actions. Although we are not directly subject to HIPAA, we may obtain health information from third parties that are subject to privacy and security requirements under HIPAA, and other privacy and data security and consumer protection laws, and we could potentially be subject to criminal penalties if we, our affiliates, or our agents knowingly receive individually identifiable health information maintained by a HIPAA-covered entity in a manner that is not authorized or permitted by HIPAA, and subject to other civil and/or criminal penalties if we obtain, use, or disclose information in a manner not permitted by other privacy and data security and consumer protection laws. 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U.S. federal Physician Payment Sunshine Act, implemented as the Open Payments Program,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(and certain other practitioners as of 2022), as well as ownership and investment interests held in the company by physicians and their immediate family members.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Because we intend to commercialize products that could be reimbursed under a federal healthcare program and other governmental healthcare programs, we intend to develop a comprehensive compliance program that establishes internal control to facilitate adherence to the rules and program requirements to which we will or may become subject.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Although the development and implementation of compliance programs designed to establish internal control and facilitate compliance can mitigate the risk of investigation, prosecution, and penalties assessed for violations of these laws, the risks cannot be entirely eliminated.</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Healthcare Reform</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the United States and foreign jurisdictions, there have been a number of legislative and regulatory changes to the healthcare system that could affect our future results of operations. There have been and continue to be a number of initiatives at the United States federal and state levels that seek to reduce healthcare costs.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In particular, the Patient Protection and Affordable Care Act, as amended, (the ACA) has had, and is expected to continue to have, a significant impact on the healthcare industry. The ACA was designed to expand coverage for the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uninsured while at the same time containing overall healthcare costs, among other objectives. With regard to pharmaceutical products, among other things, the ACA revised the definition of “average manufacturer price” for calculating and reporting Medicaid drug rebates on outpatient prescription drug prices and imposed a significant annual fee on companies that manufacture or import certain branded prescription drug products. It is unclear how efforts to modify or challenge the ACA or its implementing regulations, or portions thereof, will affect our business. Additional legislative and regulatory changes, and further judicial challenges, related to the ACA remain possible. Any such changes or challenges could have a material adverse effect on our industry generally and on our ability to successfully commercialize our product candidates.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Additionally, in January 2013, the American Taxpayer Relief Act of 2012 was signed into law, which, among other things, further reduced Medicare payments to types of several providers and increased the statute of limitations period for the government to recover overpayments to providers from three to five years.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Moreover, the Drug Supply Chain Security Act, enacted in 2013, imposes new obligations on manufacturers of pharmaceutical products, among others, related to product tracking and tracing, which will be phased in over several years beginning in 2016. Among the requirements of this legislation, manufacturers will be required to provide certain information regarding the drug product to individuals and entities to which product ownership is transferred, label drug product with a product identifier, and keep certain records regarding the drug product. The transfer of information to subsequent product owners by manufacturers will eventually be required to be done electronically. Manufacturers will also be required to verify that purchasers of the manufacturers’ products are appropriately licensed.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Further, on August 16, 2022, President Biden signed the Inflation Reduction Act of 2022, or IRA, into law.</w:t>
      </w:r>
      <w:r>
        <w:rPr>
          <w:color w:val="000000"/>
        </w:rPr>
        <w:t xml:space="preserve"> </w:t>
      </w:r>
      <w:r>
        <w:rPr>
          <w:rFonts w:ascii="Arial;sans-serif" w:hAnsi="Arial;sans-serif"/>
          <w:b w:val="false"/>
          <w:color w:val="000000"/>
          <w:sz w:val="20"/>
        </w:rPr>
        <w:t>The IRA introduces several changes to the Medicare Part D benefit, including a limit on annual out-of-pocket costs and a change in manufacturer liability under the program.</w:t>
      </w:r>
      <w:r>
        <w:rPr>
          <w:color w:val="000000"/>
        </w:rPr>
        <w:t xml:space="preserve"> </w:t>
      </w:r>
      <w:r>
        <w:rPr>
          <w:rFonts w:ascii="Arial;sans-serif" w:hAnsi="Arial;sans-serif"/>
          <w:b w:val="false"/>
          <w:color w:val="000000"/>
          <w:sz w:val="20"/>
        </w:rPr>
        <w:t>The IRA sunsets the current Part D coverage gap discount program starting in 2025 and replaces it with a new manufacturer discount program.</w:t>
      </w:r>
      <w:r>
        <w:rPr>
          <w:color w:val="000000"/>
        </w:rPr>
        <w:t xml:space="preserve"> </w:t>
      </w:r>
      <w:r>
        <w:rPr>
          <w:rFonts w:ascii="Arial;sans-serif" w:hAnsi="Arial;sans-serif"/>
          <w:b w:val="false"/>
          <w:color w:val="000000"/>
          <w:sz w:val="20"/>
        </w:rPr>
        <w:t>Failure to pay a discount under this new program will be subject to a civil monetary penalty.</w:t>
      </w:r>
      <w:r>
        <w:rPr>
          <w:color w:val="000000"/>
        </w:rPr>
        <w:t xml:space="preserve"> </w:t>
      </w:r>
      <w:r>
        <w:rPr>
          <w:rFonts w:ascii="Arial;sans-serif" w:hAnsi="Arial;sans-serif"/>
          <w:b w:val="false"/>
          <w:color w:val="000000"/>
          <w:sz w:val="20"/>
        </w:rPr>
        <w:t>In addition, the IRA establishes a Medicare Part B inflation rebate scheme effective January 2023 and a Medicare Part D inflation rebate scheme effective October 2022, under which, generally speaking, manufacturers will owe rebates if the price of a Part B or Part D drug increases faster than the pace of inflation.</w:t>
      </w:r>
      <w:r>
        <w:rPr>
          <w:color w:val="000000"/>
        </w:rPr>
        <w:t xml:space="preserve"> </w:t>
      </w:r>
      <w:r>
        <w:rPr>
          <w:rFonts w:ascii="Arial;sans-serif" w:hAnsi="Arial;sans-serif"/>
          <w:b w:val="false"/>
          <w:color w:val="000000"/>
          <w:sz w:val="20"/>
        </w:rPr>
        <w:t>Failure to timely pay a Part B or D inflation rebate is subject to a civil monetary penalty.</w:t>
      </w:r>
      <w:r>
        <w:rPr>
          <w:color w:val="000000"/>
        </w:rPr>
        <w:t xml:space="preserve"> </w:t>
      </w:r>
      <w:r>
        <w:rPr>
          <w:rFonts w:ascii="Arial;sans-serif" w:hAnsi="Arial;sans-serif"/>
          <w:b w:val="false"/>
          <w:color w:val="000000"/>
          <w:sz w:val="20"/>
        </w:rPr>
        <w:t xml:space="preserve">The IRA also creates a drug price negotiation program under which the prices for Medicare units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pPr>
      <w:r>
        <w:rPr>
          <w:rFonts w:ascii="Arial;sans-serif" w:hAnsi="Arial;sans-serif"/>
          <w:b w:val="false"/>
          <w:color w:val="000000"/>
          <w:sz w:val="20"/>
        </w:rPr>
        <w:t>of certain high Medicare spend drugs and biologicals without generic or biosimilar competition will be capped by reference to, among other things, a specified non-federal average manufacturer price starting in 2026.</w:t>
      </w:r>
      <w:r>
        <w:rPr>
          <w:color w:val="000000"/>
        </w:rPr>
        <w:t xml:space="preserve"> </w:t>
      </w:r>
      <w:r>
        <w:rPr>
          <w:rFonts w:ascii="Arial;sans-serif" w:hAnsi="Arial;sans-serif"/>
          <w:b w:val="false"/>
          <w:color w:val="000000"/>
          <w:sz w:val="20"/>
        </w:rPr>
        <w:t>Failure to comply with requirements under the drug price negotiation program is subject to an excise tax and/or a civil monetary penalty.</w:t>
      </w:r>
      <w:r>
        <w:rPr>
          <w:color w:val="000000"/>
        </w:rPr>
        <w:t xml:space="preserve"> </w:t>
      </w:r>
      <w:r>
        <w:rPr>
          <w:rFonts w:ascii="Arial;sans-serif" w:hAnsi="Arial;sans-serif"/>
          <w:b w:val="false"/>
          <w:color w:val="000000"/>
          <w:sz w:val="20"/>
        </w:rPr>
        <w:t>Congress continues to examine various policy proposals that may result in pressure on the prices of prescription drugs with respect to the government health benefit programs and otherwise.</w:t>
      </w:r>
      <w:r>
        <w:rPr>
          <w:color w:val="000000"/>
        </w:rPr>
        <w:t xml:space="preserve"> </w:t>
      </w:r>
      <w:r>
        <w:rPr>
          <w:rFonts w:ascii="Arial;sans-serif" w:hAnsi="Arial;sans-serif"/>
          <w:b w:val="false"/>
          <w:color w:val="000000"/>
          <w:sz w:val="20"/>
        </w:rPr>
        <w:t>The IRA or other legislative changes could impact the market conditions for our product candidates.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It is possible that the ACA, as currently enacted or as may be amended in the future, as well as other healthcare reform measures, may result in more rigorous coverage criteria and less favorable payment methodologies, or other downward pressure on the price that we may receive for any approved product. Any reduction in reimbursement from Medicare, Medicaid, or other government programs may result in a similar reduction or restriction in payments from private payors. The implementation of cost containment measures or other healthcare reforms may prevent us from being able to generate revenues, attain profitability, or successfully commercialize our products.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Coverage and Reimbursement</w:t>
      </w:r>
    </w:p>
    <w:p>
      <w:pPr>
        <w:pStyle w:val="TextBody"/>
        <w:bidi w:val="0"/>
        <w:spacing w:before="0" w:after="0"/>
        <w:jc w:val="left"/>
        <w:rPr/>
      </w:pPr>
      <w:r>
        <w:rPr/>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Sales of our product candidates, once approved, will depend, in part, on the extent to which the costs of our products will be covered by third-party payors, such as government health programs, private health insurers and managed care organizations. Third-party payors generally decide which drugs they will cover and establish certain reimbursement levels for such drugs. In particular, in the United States, private health insurers and other third-party payors often provide reimbursement for products and services based on the level at which the government (through the Medicare or Medicaid programs) provides reimbursement for such treatments.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our product candidates, and any future product candidates, will therefore depend substantially on the extent to which the costs of our product candidates, and any future product candidates, will be paid by third-party payors. Additionally, the market for our product candidates, and any future product candidates, will depend significantly on access to third-party payors’ formularies without prior authorization, step therapy, or other limitations such as approved lists of treatments for which third-party payors provide coverage and reimbursement. Additionally, coverage and reimbursement for therapeutic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Third-party payors are developing increasingly sophisticated methods of controlling healthcare costs and increasingly challenging the prices charged for medical products and services. Additionally, the containment of healthcare costs has become a priority of federal and state governments and the prices of drugs have been a focus in this effort. The United States government, state legislatures and foreign governments have shown significant interest in implementing cost-containment programs, including price controls and transparency requirements, restrictions on reimbursement and requirements for substitution of generic products. Adoption of price controls and cost-containment measures, and adoption of more restrictive policies in jurisdictions with existing controls and measures, could limit our net revenue and results. If these third-party payors do not consider our products to be cost-effective compared to other therapies, they may not cover our products once approved as a benefit under their plans or, if they do, the level of reimbursement may not be sufficient to allow us to sell our products on a profitable basis. Decreases in third-party reimbursement for our products once approved or a decision by a third-party payor to not cover our products could reduce or eliminate utilization of our products and have an adverse effect on our sales, results of operations and financial condition. In addition, state and federal healthcare reform measures have been and will be adopted in the future, any of which could limit the amounts that federal and state governments will pay for healthcare products and services, which could result in reduced demand for our products once approved or additional pricing pressures.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Facilities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Our principal executive offices are in the Texas Medical Center in Houston, Texas, under a month-to-month lease. Currently, this facility consists of approximately 300 square feet and accommodates our general and administrative activities. We believe that our leased facility is adequate to meet our current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76" w:before="0" w:after="240"/>
        <w:jc w:val="both"/>
        <w:rPr>
          <w:rFonts w:ascii="Arial;sans-serif" w:hAnsi="Arial;sans-serif"/>
          <w:b/>
          <w:color w:val="000000"/>
          <w:sz w:val="20"/>
        </w:rPr>
      </w:pPr>
      <w:r>
        <w:rPr>
          <w:rFonts w:ascii="Arial;sans-serif" w:hAnsi="Arial;sans-serif"/>
          <w:b/>
          <w:color w:val="000000"/>
          <w:sz w:val="20"/>
        </w:rPr>
        <w:t>Employees and Human Capital Resources</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As of March 8, 2024, we had 2 full-time employees. We have never had a work stoppage, and none of our employees are represented by a labor organization or under any collective bargaining arrangements. We consider our employee relations to be good.</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Legal Proceedings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are not currently a party to any legal proceedings the outcome of which we believe, if determined adversely to us, would individually or in the aggregate, have a material adverse effect on our business, financial condition, or results of operations. From time to time, we may become involved in legal proceedings arising in the ordinary course of business.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Corporate Information and Web Site Access to SEC Filings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was initially incorporated as Flex Pharma, Inc. in Delaware in February 2014. In July 2019, we changed our named to Salarius Pharmaceuticals, Inc. Our principal executive offices are located at 2450 Holcombe Blvd., Suite X, Houston, TX 77021. Our website address is www.salariuspharma.com. The public can obtain any documents that we file with the SEC at http://www.sec.gov.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6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The risk factors described below, as well as statements described elsewhere in this Annual Report on Form 10-K, including our audited Consolidated Financial Statements and the related notes and “Management’s Discussion and Analysis of Financial Conditions and Results of Operations”, or in other SEC filings, describe risks that could materially and adversely affect our business, financial condition, and results of operations, which could also cause the trading price of our equity securities to decline. These risks are not the only risks that we face. Our business, financial condition and results of operations could also be affected by additional factors that are not presently known to us or that we currently consider to be immaterial to our operations.</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Risks Related to our Financial Position and Capital Needs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do not currently have sufficient working capital to fund our planned operations for the next twelve months and may not be able to continue as a going concern. There is uncertainty regarding our ability to maintain liquidity sufficient to operate our business, which raises substantial doubt about our ability to continue as a going concern.</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do not currently have adequate financial resources to fund our forecasted operating costs for at least twelve months from the filing of this Annual Report on Form 10-K. As of December 31, 2023, we had a cash and cash equivalents balance of approximately $5.9 million. As of December 31, 2023, we have incurred a accumulated deficit of $76.3 million. For the year ended December 31, 2023, we reported net losses of $12.5 million. As a result, our existing cash resources are sufficient to meet our anticipated needs into the first half of 2025, even after taking into account our significantly reduced operations, and we would need to raise additional capital in the next several months in order to avoid a wind down and dissolution of our company. Our auditor’s report on our financial statements for the year ended December 31, 2023, includes an explanatory paragraph related to the existence of substantial doubt about our ability to continue as a going concern. Our ability to continue as a going concern is dependent upon our ability to obtain additional equity or debt financing, attain further operating efficiencies, reduce expenditures, and, ultimately, to generate revenue. Since inception, we have incurred net losses and negative cash flows from operations. We may not ever obtain additional financing. Our existing cash and cash equivalents will not be sufficient to enable us to continue the clinical development and commercialization of our product candidates for any indications or to in license any other product candidates and develop them. Although the Company is currently exploring various strategic alternatives, these strategic alternatives may not be successful in the next several months prior to its cash position getting to the point that it will need to pursue the winding down and dissolution of the Company. If we do not raise capital in the next several months or engage a strategic partner, we will be forced to cease operations and liquidate our assets and seek bankruptcy protection or engage in a similar process. As such, we cannot conclude that such plans will be effectively implemented within one year after the date that the financial statements included in this Annual Report on Form 10-K are filed with the SEC and there is uncertainty regarding our ability to maintain liquidity sufficient to operate our business effectively, which raises substantial doubt about our ability to continue as a going concern.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pPr>
      <w:r>
        <w:rPr>
          <w:rFonts w:ascii="Arial;sans-serif" w:hAnsi="Arial;sans-serif"/>
          <w:b/>
          <w:i/>
          <w:color w:val="000000"/>
          <w:sz w:val="20"/>
        </w:rPr>
        <w:t xml:space="preserve">Our net losses were </w:t>
      </w:r>
      <w:r>
        <w:rPr>
          <w:rFonts w:ascii="Arial;sans-serif" w:hAnsi="Arial;sans-serif"/>
          <w:b w:val="false"/>
          <w:color w:val="000000"/>
          <w:sz w:val="20"/>
        </w:rPr>
        <w:t xml:space="preserve">$12.5 </w:t>
      </w:r>
      <w:r>
        <w:rPr>
          <w:rFonts w:ascii="Arial;sans-serif" w:hAnsi="Arial;sans-serif"/>
          <w:b/>
          <w:i/>
          <w:color w:val="000000"/>
          <w:sz w:val="20"/>
        </w:rPr>
        <w:t xml:space="preserve">million and </w:t>
      </w:r>
      <w:r>
        <w:rPr>
          <w:rFonts w:ascii="Arial;sans-serif" w:hAnsi="Arial;sans-serif"/>
          <w:b w:val="false"/>
          <w:color w:val="000000"/>
          <w:sz w:val="20"/>
        </w:rPr>
        <w:t>$31.6</w:t>
      </w:r>
      <w:r>
        <w:rPr>
          <w:color w:val="000000"/>
        </w:rPr>
        <w:t xml:space="preserve"> </w:t>
      </w:r>
      <w:r>
        <w:rPr>
          <w:rFonts w:ascii="Arial;sans-serif" w:hAnsi="Arial;sans-serif"/>
          <w:b/>
          <w:i/>
          <w:color w:val="000000"/>
          <w:sz w:val="20"/>
        </w:rPr>
        <w:t>million for each of the years ended December 31, 2023 and December 31, 2022. Our activities to evaluate and pursue strategic alternatives has not resulted in and may never result in any definitive transaction or enhance shareholder value, and may create a distraction for our management and uncertainty that may adversely affect our operating results and business.</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val="false"/>
          <w:color w:val="000000"/>
          <w:sz w:val="20"/>
        </w:rPr>
        <w:t>We have commenced a process to evaluate strategic alternatives in order to enhance stockholder value, including the possibility of an acquisition, merger, reverse merger, other business combination, sales of assets, licensing, or other strategic transactions involving the Company. We have engaged Canaccord Genuity, LLC as our financial advisor to assist us in this process. In connection with the evaluation of strategic alternatives, we have evaluated opportunities to extend our resources and have significantly reduced our headcount. We have devoted significant time and resources to identifying and evaluating strategic transactions and, as of the date of this report, this process has not resulted in any definitive transaction to enhance shareholder value.</w:t>
      </w:r>
      <w:r>
        <w:rPr>
          <w:color w:val="000000"/>
        </w:rPr>
        <w:t xml:space="preserve"> </w:t>
      </w:r>
      <w:r>
        <w:rPr>
          <w:rFonts w:ascii="Arial;sans-serif" w:hAnsi="Arial;sans-serif"/>
          <w:b w:val="false"/>
          <w:color w:val="000000"/>
          <w:sz w:val="20"/>
        </w:rPr>
        <w:t>We have incurred, and may in the future incur, significant costs associated with identifying, evaluating and negotiating potential strategic alternatives, such as legal, financial advisor and accounting fees and expenses and other related charges. We may also incur additional unanticipated expenses in connection with this process. A considerable portion of these costs will be incurred regardless of whether any such course of action is implemented or transaction is completed, decreasing cash available for use in our business. There can be no assurance that the process to evaluate strategic alternatives will result in agreements or transactions. The current market price of our common stock may reflect a market assumption that a transaction will occur, and a failure to complete a transaction could result in a negative investor perceptions and could cause a decline in the market price of our common stock, which could adversely affect our ability to access the equity and financial markets, as well as our ability to explore and enter into different strategic alternatives. Even if we negotiate a definitive agreement, there can be no certainty that any transaction will be completed, be on attractive terms, enhance stockholder value or deliver the anticipated benefits, and successful integration or execution of the strategic alternatives will be subject to additional risks. In addition, potential strategic transactions that require stockholder approval may not be approved by our stockholders. If we do not successfully consummate a strategic transaction or raise capital in the next several months, it will be forced to cease operations, liquidate assets and possibly seek bankruptcy protection or engage in a similar process.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If we do not successfully complete a strategic transaction or raise additional capital, we will need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There can be no guarantee that the process to identify a strategic transaction will result in a successfully completed transaction. If no strategic transaction is completed and we are unable to raise additional capital in the next several months, we will be forced to cease operations, liquidate assets and possibly seek bankruptcy protection or engage in a similar process. In that event, the amount of cash available for distribution to our stockholders will depend heavily on the timing of such decision and, ultimately, such liquidation, since the amount of cash available for distribution continues to decrease as we fund our operations and evaluate our strategic alternatives. In addition, if our board of directors were to approve and recommend, and our stockholders were to approve, a dissolution of our company,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could lose all or a significant portion of their investment in the event of a dissolution, liquidation or winding up of our company.</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We could be delisted from Nasdaq, which would seriously harm the liquidity of our stock and our ability to raise capital.</w:t>
      </w:r>
    </w:p>
    <w:p>
      <w:pPr>
        <w:pStyle w:val="TextBody"/>
        <w:bidi w:val="0"/>
        <w:spacing w:before="0" w:after="0"/>
        <w:jc w:val="left"/>
        <w:rPr/>
      </w:pPr>
      <w:r>
        <w:rPr/>
      </w:r>
    </w:p>
    <w:p>
      <w:pPr>
        <w:pStyle w:val="TextBody"/>
        <w:bidi w:val="0"/>
        <w:spacing w:lineRule="auto" w:line="276" w:before="0" w:after="240"/>
        <w:jc w:val="left"/>
        <w:rPr>
          <w:rFonts w:ascii="Arial;sans-serif" w:hAnsi="Arial;sans-serif"/>
          <w:b w:val="false"/>
          <w:color w:val="000000"/>
          <w:sz w:val="20"/>
        </w:rPr>
      </w:pPr>
      <w:r>
        <w:rPr>
          <w:rFonts w:ascii="Arial;sans-serif" w:hAnsi="Arial;sans-serif"/>
          <w:b w:val="false"/>
          <w:color w:val="000000"/>
          <w:sz w:val="20"/>
        </w:rPr>
        <w:t>Nasdaq requires listing issuers to comply with certain standards in order to remain listed on its exchange. If, for any reason, Nasdaq should delist our securities from trading on its exchange and we are unable to obtain listing on another reputable national securities exchange, a reduction in some or all of the following may occur, each of which could materially adversely affect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September 5, 2023, we were notified (the Notice) by Nasdaq Stock Market, LLC (Nasdaq) that on September 1, 2023, the average closing price of our common stock over the prior 30 consecutive trading days had fallen below $1.00 per share, which is the minimum average closing price required to maintain listing on Nasdaq under Nasdaq Listing Rule 5550(a)(2) (the Minimum Bid Requirement). Nasdaq’s notice had no immediate effect on the listing or trading of our common stock. Pursuant to Nasdaq Listing Rule 5810(c)(3)(A), we are provided an initial compliance period of 180 calendar days to regain compliance with the Minimum Bid Requirement. To regain compliance, the closing bid price of our common stock must meet or exceed $1.00 per share for a minimum of 10 consecutive business days prior to the deadline. If we do not achieve compliance with the Minimum Bid Requirement within 180 calendar days, we may be eligible for an additional 180 calendar days to regain compliance. To qualify, we would be required to meet the continued listing requirement for market value of publicly held shares and all other Nasdaq initial listing standards, with the exception of the Minimum Bid Requirement, and provide written notice of our intention to cure the minimum bid price deficiency during the second compliance period.</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March 5, 2024, we received notice (the “Approval”) from Nasdaq that we have been granted an additional 180-day grace period, or until September 3, 2024, to regain compliance with the Bid Price Rule. To regain compliance with the Bid Price Rule and qualify for continued listing on the Nasdaq Capital Market, the minimum bid price per share of our common stock must be at least $1.00 for at least 10 consecutive business days on or prior to September 3, 2024. If we fail to regain compliance during the additional compliance period, then Nasdaq will notify us of our determination to delist our common stock, at which point we would have an opportunity to appeal the delisting determination to a Nasdaq Listing Qualifications Panel (the “Panel”), but there can be no assurance that the Panel would grant our request for continued listing. As a condition of the Approval imposed by Nasdaq Listing Rule 5810(c)(3)(a), we notified Nasdaq that we would seek to implement a reverse stock split, if necessary, to regain compliance with the Bid Price Rule.</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If, for any reason, Nasdaq were to delist our securities from trading on its exchange and we are unable to obtain listing on another reputable national securities exchange, a reduction in some or all of the following may occur, each of which could materially adversely affect our stockholders: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liquidity and marketability of our common stock;</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obtain financing for the continuation of our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number of institutional and general investors that will consider investing in our common stock;</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number of market makers in our common stock;</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availability of information concerning the trading prices and volume of our common stock;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number of broker-dealers willing to execute trades in shares of our common stock.</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addition, if we cease to be eligible to trade on Nasdaq, we may have to pursue trading on a less recognized or accepted market, such as the over the counter markets, our stock may be traded as a “penny stock” which would make transactions in our stock more difficult and cumbersome, and 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This may also cause the market price of our common stock to further decline.</w:t>
      </w:r>
    </w:p>
    <w:p>
      <w:pPr>
        <w:pStyle w:val="TextBody"/>
        <w:bidi w:val="0"/>
        <w:spacing w:before="0" w:after="0"/>
        <w:jc w:val="left"/>
        <w:rPr/>
      </w:pPr>
      <w:r>
        <w:rPr/>
      </w:r>
    </w:p>
    <w:p>
      <w:pPr>
        <w:pStyle w:val="TextBody"/>
        <w:bidi w:val="0"/>
        <w:spacing w:lineRule="auto" w:line="268" w:before="0" w:after="240"/>
        <w:jc w:val="both"/>
        <w:rPr>
          <w:rFonts w:ascii="Arial;sans-serif" w:hAnsi="Arial;sans-serif"/>
          <w:b/>
          <w:i/>
          <w:color w:val="000000"/>
          <w:sz w:val="20"/>
        </w:rPr>
      </w:pPr>
      <w:r>
        <w:rPr>
          <w:rFonts w:ascii="Arial;sans-serif" w:hAnsi="Arial;sans-serif"/>
          <w:b/>
          <w:i/>
          <w:color w:val="000000"/>
          <w:sz w:val="20"/>
        </w:rPr>
        <w:t>Certain of our warrants to purchase common stock include a right to receive the Black-Scholes value of the unexercised portion of the warrants in the event of a fundamental transaction, which payment could be significant.</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Certain of our outstanding warrants, including those issued in our merger with Flex Pharma, the February 2020 financing transaction and those issued in connection with our May 2023 financing transaction, provide that, in the event of a “fundamental transaction” that is approved by our board of directors, including, among other things, a merger or consolidation of our company or sale of all or substantially all of our assets, the holders of such warrants have the option to require us to pay to such holders an amount of cash equal to the Black-Scholes value of the warrants. Such amount could be significantly more than the warrant holders would otherwise receive if they were to exercise their warrants and receive the same consideration as the other holders of common stock, which in turn could reduce the consideration that holders of common stock would be concurrently entitled to receive in such fundamental transaction. Any future equity financing we conduct may require us to issue warrants that have a similar feature. </w:t>
      </w:r>
    </w:p>
    <w:p>
      <w:pPr>
        <w:pStyle w:val="TextBody"/>
        <w:bidi w:val="0"/>
        <w:spacing w:lineRule="auto" w:line="268" w:before="0" w:after="240"/>
        <w:jc w:val="both"/>
        <w:rPr>
          <w:rFonts w:ascii="Arial;sans-serif" w:hAnsi="Arial;sans-serif"/>
          <w:b/>
          <w:i/>
          <w:color w:val="000000"/>
          <w:sz w:val="20"/>
        </w:rPr>
      </w:pPr>
      <w:r>
        <w:rPr>
          <w:rFonts w:ascii="Arial;sans-serif" w:hAnsi="Arial;sans-serif"/>
          <w:b/>
          <w:i/>
          <w:color w:val="000000"/>
          <w:sz w:val="20"/>
        </w:rPr>
        <w:t>The terms of the warrants could impede our ability to enter into certain transactions or obtain additional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terms of certain of our outstanding warrants to purchase shares of our common stock require us, upon the consummation of any “fundamental transaction” (as defined in the securities), to, among other obligations, cause any successor entity resulting from the fundamental transaction to assume all of our obligations under the warrants and the associated transaction documents. In addition, holders of warrants are entitled to participate in any fundamental transaction on an as-converted or as-exercised basis, which could result in the holders of our common stock receiving a lesser portion of the consideration from a fundamental transaction. The terms of the warrants could also impede our ability to enter into certain transactions or obtain additional financing in the future.</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Our cost savings plans and the associated headcount reductions may not result in anticipated savings, could result in total costs and expenses that are greater than expected and could disrupt our business.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On August 5, 2023, we initiated a cost savings plan intended to preserve capital while we assess potential strategic alternatives.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February 22, 2024, we announced that our Board of Directors was implementing a series of additional cost-savings measures designed to extend our expected cash runway into the first half of 2025. These measures will allow us to support the generation of additional clinical data for seclidemstat in the ongoing MD Anderson Cancer Center (MDACC) investigator-initiated Phase 1/2 clinical trial in hematologic cancers and Salarius’ Phase 1/2 trial in Ewing sarcoma. In connection with the cost-savings measures, David Arthur, the Company’s President and Chief Executive Officer, ended his full-time employment and transitioned to a part-time consultant role, effective February 20, 2024. He will continue to serve as Chief Executive Officer and support our ongoing activities. The cost-savings measures also included reducing operating expenses and reducing the cash compensation payable to our non-employee directors beginning in the second quarter of 2024.</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may not realize, in full or in part, the anticipated benefits, savings and improvements in our cost structure from our cost savings efforts due to unforeseen difficulties, delays or unexpected costs. For example, we may incur unanticipated charges not currently contemplated as a result of the cost savings plans. If we are unable to realize the expected operational cost savings from the restructuring, our operating results and financial condition would be materially adversely affected.</w:t>
      </w:r>
    </w:p>
    <w:p>
      <w:pPr>
        <w:pStyle w:val="TextBody"/>
        <w:bidi w:val="0"/>
        <w:spacing w:before="0" w:after="0"/>
        <w:jc w:val="left"/>
        <w:rPr/>
      </w:pPr>
      <w:r>
        <w:rPr/>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have never generated any revenue from product sales and may never generate revenue or be profitable.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have no products approved for commercialization and have never generated any revenue. Our ability to generate revenue and achieve profitability depends on our ability, alone or with strategic collaborators, to successfully complete the development of, and obtain the regulatory and marketing approvals necessary to commercialize one or more of our product candidates. We do not anticipate generating revenue from product sales for the foreseeable future. Our ability to generate future revenue from product sales depends heavily on our success in many areas, including but not limited to: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completing research and development of our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obtaining regulatory and marketing approvals for our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manufacturing product candidates and establishing and maintaining supply and manufacturing relationships with third parties that are commercially feasible, meet regulatory requirements and our supply needs in sufficient quantities to meet market demand for our product candidates, if approved;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marketing, launching and commercializing product candidates for which we obtain regulatory and marketing approval, either directly or with a collaborator or distributor;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gaining market acceptance of our product candidates as treatment options;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addressing any competing products;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protecting and enforcing our intellectual property rights, including patents, trade secrets, and know-how;</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negotiating favorable terms in any collaboration, licensing, or other arrangements into which we may enter;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obtaining reimbursement or pricing for our product candidates that supports profitability;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attracting, hiring, and retaining qualified personnel.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Even if one or more of the product candidates that we develop is approved for commercial sale, we would need to incur significant costs associated with commercializing any approved product candidate. Portions of our current pipeline of product candidates have been in-licensed from third parties, which make the commercial sale of such 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licensed products potentially subject to additional royalty and milestone payments to such third parties. We will also have to develop, contract for or acquire manufacturing capabilities to continue development and potential commercialization of our product candidates. We will need to develop or procure our drug product in a commercially feasible manner in order to successfully commercialize any future approved product; if any. Additionally, if we are not able to generate revenue from the sale of any approved products, we may never become profitable.</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Raising additional capital may cause dilution to our stockholders, restrict our operations or require us to relinquish rights.</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have primarily raised capital through equity financings and these raises caused significant dilution to stockholders who owned our shares of our common stock prior to these capital raises. To the extent that we raise additional capital through the sale of equity, convertible debt or other securities convertible into equity the ownership interest of our stockholders will be diluted, and the terms of these new securities may include liquidation or other preferences that adversely affect rights of our equity holders. Debt financing, if available at all, would likely involve agreements that include covenants limiting or restricting our ability to take specific actions, such as incurring additional debt, making capital expenditures, making additional product acquisitions, or declaring dividends. If we raise additional funds through strategic collaborations or licensing arrangements with third parties, we may have to relinquish valuable rights to our product candidates or future revenue streams or grant licenses on terms that are not favorable to us. We cannot be assured that we will be able to obtain additional funding when necessary to fund our entire portfolio of product candidates to meet our projected plans. If we do not successfully complete a strategic transaction or raise additional capital in the next several months, we will be forced to cease operations, liquidate assets and possibly seek bankruptcy protection or engage in a similar process.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have also historically received funds from state and federal government grants for research and development including CPRIT. The grants have been, and any future government grants and contracts we may receive may be, subject to the risks and contingencies set forth below under the risk factor titled “Reliance on government funding for our programs may add uncertainty to our research and commercialization efforts with respect to those programs that are tied to such funding and may impose requirements that limit our ability to take specified actions, increase the costs of commercialization and production of product candidates developed under those programs and subject us to potential financial penalties, which could materially and adversely affect our business, financial condition and results of operations.” Although we might apply for government contracts and grants in the future, we cannot assure you that we will be successful in obtaining additional grants for any product candidates or programs. Failure to receive additional government grants in the future may substantially harm our business.</w:t>
      </w:r>
    </w:p>
    <w:p>
      <w:pPr>
        <w:pStyle w:val="TextBody"/>
        <w:bidi w:val="0"/>
        <w:spacing w:lineRule="auto" w:line="268" w:before="0" w:after="240"/>
        <w:jc w:val="both"/>
        <w:rPr>
          <w:rFonts w:ascii="Arial;sans-serif" w:hAnsi="Arial;sans-serif"/>
          <w:b/>
          <w:color w:val="000000"/>
          <w:sz w:val="20"/>
        </w:rPr>
      </w:pPr>
      <w:r>
        <w:rPr>
          <w:rFonts w:ascii="Arial;sans-serif" w:hAnsi="Arial;sans-serif"/>
          <w:b/>
          <w:color w:val="000000"/>
          <w:sz w:val="20"/>
        </w:rPr>
        <w:t>Risks Related to the Development of our Product Candidates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The approach we have taken to discover and develop novel oncology therapeutics using epigenetic enzymes to moderate transcription factors and thereby control abnormal protein expression is unproven and may never lead to marketable products.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scientific discoveries that have formed the basis for our efforts to discover and develop our product candidates are relatively recent. The scientific evidence to support the feasibility of developing drugs based on these discoveries is both preliminary and limited. The successful development of therapeutic products will require solving a number of issues. In addition, any product candidates that we decide to develop further may not demonstrate in patients the chemical and pharmacological properties ascribed to them in laboratory and pre-clinical trials, and they may interact with human biological systems in unforeseen, ineffective or even harmful ways. For instance, our clinical and pre-clinical data to date is not validated and we have no way of knowing if after validation our clinical trial data will be complete and consistent. If we do not successfully develop and commercialize product candidates based upon this technological approach, we may not become profitable and the value of our capital stock may further decline.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Further, our focus on epigenetic enzyme technology for developing product candidates as opposed to multiple, more proven technologies for drug development has increased the risk associated with our business. We are not able to identify and successfully implement an alternative product development strategy due to our previous investments in current product candidates. In addition, work by other companies pursuing similar technologies may encounter setbacks and difficulties that regulators and investors may attribute to our product candidates, whether appropriate or not.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Clinical trials are costly, time consuming and inherently risky, and may fail to demonstrate safety and efficacy to the satisfaction of applicable regulatory authorities.</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Clinical development is expensive, time consuming and involves significant risk. If we decide to move forward with our clinical trials, we cannot guarantee that they will be conducted as planned or completed on schedule, if at all. We currently do not have the funds to advance our planned clinical trials. A failure of one or more of these clinical trials can occur at any stage of development. Events that may prevent successful or timely completion of clinical development include but are not limited to: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inability to generate satisfactory pre-clinical, toxicology, or other in vivo or in vitro data or diagnostics to support the initiation or continuation of our clinical trials;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delays in reaching agreement on acceptable terms with clinical research organizations, (CROs), and clinical trial sites, the terms of which can be subject to extensive negotiation and may vary significantly among different CROs and clinical trial sites;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delays in obtaining required IRB approval at each clinical trial site;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to permit the conduct of a clinical trial by regulatory authorities, after review of an investigational new drug or equivalent foreign application or amendment;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delays and inability in recruiting qualified patients in our clinical trials;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imposition of a clinical hold by regulatory agencies for any reason, including safety concerns raised by other clinical trials of similar product candidates that may reflect an unacceptable risk with the patient population, technology platform, product stability or after an inspection of clinical operations or trial sites;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by clinical sites or CROs or other third parties to adhere to clinical trial requirements;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by our clinical sites, CROs or other third parties to perform in accordance with contractual obligations or the regulatory requirements of the FDA, or applicable foreign regulatory guidelines;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patients dropping out of our clinical trials;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withdrawal of clinical trial sites from our clinical trials, including as a result of changing standards of care or the ineligibility of a site to participate;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delays or failure in the testing, validation, manufacturing and delivery of the product candidates to the clinical sites;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adverse events or tolerability or animal toxicology issues significant enough for the FDA or other regulatory agencies to put any or all clinical trials on hold;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occurrence of adverse events associated with our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regulatory requirements and guidance that require amending or submitting new clinical protocols;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cost of the clinical trials of our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negative or inconclusive results from our clinical trials which may result in us deciding, or regulators requiring us, to conduct additional clinical trials or abandon development programs in other ongoing or planned indications for a product candidate;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regulatory requirements for product approval may not be explicit, may evolve over time and may diverge by jurisdiction;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evolution in the standard of care that require amendments to ongoing clinical trials and/or the conduct of additional preclinical studies or clinical trials;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regulatory requirements and guidance that require amending or submitting new clinical protocols;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delays in reaching agreement on acceptable terms with third-party manufacturers and the time for manufacture of sufficient quantities of our product candidates for use in clinical trials.</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Any inability to successfully complete clinical development and obtain regulatory approval for our product candidates that we move forward with could result in additional costs or impair our ability to generate revenue. In addition, if we make manufacturing or formulation changes to our product candidates, we may need to conduct additional pre-clinical trials or the results obtained from such new formulation may not be consistent with previous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results obtained. Clinical trial delays could also shorten any periods during which our products have patent protection and may allow competitors to develop and bring products to market before we do, which could impair our ability to successfully commercialize our product candidates and may harm our business and results of operations.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the FDA, other regulatory authorities outside the United States, or an IRB may suspend a clinical trial at any time for various reasons, including if it appears that the clinical trial is exposing participants to unacceptable health risks or if the FDA or one or more other regulatory authorities outside the United States find deficiencies in our IND or similar application outside the United States or the conduct of the trial. Delays, including delays caused by the above factors, can be costly and could negatively affect our ability to complete a clinical trial.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cannot give any assurance that we will be able to resolve any future clinical holds imposed by the FDA or other regulatory authorities outside of the United States, or any delay caused by manufacturing failures or other factors described above or any other factors, on a timely basis or at all. If we are not able to successfully initiate and complete clinical trials, we will not be able to obtain regulatory approval and will not be able to commercialize our product candidates.</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Even if our clinical trials are successfully completed, the results may not support approval of our product candidates under the laws and regulations of the FDA or other regulatory authorities outside the United States. The clinical trial process may fail to demonstrate that our product candidates are both safe and effective for their intended uses. Pre-clinical and clinical data and analyses are often able to be interpreted in different ways. Even if we view our results favorably, if a regulatory authority has a different view, we may still fail to obtain regulatory approval of our product candidates. This, in turn, would significantly adversely affect our business prospects.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Undesirable side effects caused by our product candidates could cause us, an IRB or ethics committee, or regulatory authorities to interrupt, delay, or terminate clinical trials or even if approved, result in a restrictive label or delay regulatory approval by the FDA or comparable foreign authorities and potential product liability claims.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addition, to date our product candidates have been studied in only a very limited number of patients. Our understanding of the relationship between our product candidates and these events, as well as our understanding of adverse events reported in future clinical trials of other product candidates, may change, and additional unexpected adverse events may be observed. There is no guarantee that severe side effects will not be identified through ongoing clinical trials of our product candidates. Undesirable side effects and negative results for other indications may negatively impact the development and potential for approval of our product candidates for their proposed indications. In addition, the side effect profile of pharmaceutical drugs cannot be fully established based on preapproval clinical trials involving a limited number of patients. Routine review and analysis of post-marketing safety surveillance and clinical trials will provide additional information, for example, potential evidence of rare, population-specific or long-term adverse reactions, and may adversely affect the commercialization of the product, and even lead to the suspension or revocation of product marketing authorization. Specifically, as a result of concerns regarding the potential teratogenic and abortifacient effects of SP-2577, pregnant women were excluded from the conducted studies.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we or others identify undesirable side effects caused by our product candidates either before or after receipt of marketing approval, a number of potentially significant negative consequences could result, including but not limited to: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clinical trials may be put on hold, such as the partial clinical hold that was previously placed on our Phase 1/2 trial of seclidemstat as a treatment for Ewing sarcoma and FET-rearranged sarcomas;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be unable to obtain regulatory approval for our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regulatory authorities may withdraw approvals of such products;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regulatory authorities may require additional warnings on the label;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be required to create a REMS plan, which could include a medication guide outlining the risks of such side effects for distribution to patients, a communication plan for healthcare providers, and/or other elements to assure safe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could be sued and held liable for harm caused to patients;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its reputation may suffer.</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Any of these events could prevent us from achieving or maintaining market acceptance of a product candidate, even if approved, and could significantly harm or cause the complete failure of our business, results of operations, and prospects.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Some of our product candidates may produce results in pre-clinical or clinical settings for indications other than those for which we contemplate conducting development activities or seeking FDA approval, and we cannot give any assurance that our clinical trials will generate data for any of our product candidates sufficient to receive regulatory approval in our planned indications, which will be required before they can be commercialized.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None of our product candidates have advanced into a pivotal clinical trial and such an occurrence may never occur. We are not permitted to market or promote any of our product candidates before we receive regulatory approval from the FDA or comparable foreign regulatory authorities, and we may never receive such regulatory approval for any of our product candidates.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Product development involves a lengthy and expensive process with an uncertain outcome, and results of earlier pre-clinical and clinical trials may not be predictive of future clinical trial results.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Clinical testing is expensive and generally takes many years to complete, and the outcome is inherently uncertain. Failure can occur at any time during the clinical trial process. The results of pre-clinical trials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limited numbers of clinical sites for a limited number of indications. A number of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cannot assure whether any clinical trials we or MD Anderson may conduct will demonstrate consistent or adequate efficacy and safety with respect to the proposed indication for use sufficient to receive regulatory approval or market our drug candidates.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Difficulty in enrolling patients is a common hurdle faced by early stage biotechnology companies and could, and often does, delay or prevent clinical trials of product candidates.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Identifying and qualifying patients to participate in clinical trials of our product candidates is essential to our existence. The timing of our clinical trials depends in part on the rate at which we or investigators can recruit patients to participate in clinical trials of our product candidates, and we and our investigators may experience delays in our clinical trials if we or they encounter difficulties in enrollment.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Patient enrollment is affected by several factors, including: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severity of the disease under investigation;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design of the trial protocol;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size of the patient population;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perceived risks and benefits of the product candidate being tested;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willingness or availability of patients to participate in our clinical trials;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proximity and availability of clinical trial sites for prospective patients;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recruit clinical trial investigators with appropriate competencies and experience;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availability of competing vaccines and/or therapies and related clinical trials;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efforts to facilitate timely enrollment in clinical trials;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obtain and maintain patient consents;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patient referral practices of physicians;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ability to monitor patients adequately during and after treatment.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patients are unwilling to participate in our clinical trials for any reason, the timeline for conducting trials and obtaining regulatory approval of our product candidates will be delayed.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Even if we or investigators enroll a sufficient number of eligible patients to initiate our clinical trials, we or they may be unable to maintain participation of these patients throughout the course of the clinical trial as required by the clinical trial protocol, in which event we may be unable to use the research results from those patients. If we or investigators have difficulty enrolling and maintaining the enrollment of a sufficient number of patients to conduct clinical trials, we won’t receive the necessary data from the clinical trial which would have a material adverse effect on our business.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face potential product liability, and, if successful claims are brought against us, we may incur substantial liability and costs which could be greater than our insurance coverage or overall resources.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a material liability claim could adversely affect our financial condition.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 Product liability claims may subject us to the foregoing and other risks, which could have a material adverse effect on our business, financial condition or results of operations.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Risks Related to Regulatory Approval of our Product Candidates and Other Legal Compliance Matters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Even if FDA grants breakthrough therapy designation for one or more of our product candidates, the designation may not lead to a faster development or regulatory review or approval process, and it does not increase the likelihood that our product candidates will receive marketing approval, and FDA may rescind the designation if it determines the product candidate no longer meets the qualifying criteria for breakthrough therapy.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may seek a breakthrough therapy designation from the FDA for some of our product candidates that reach the regulatory review process. A breakthrough therapy is defined as a drug or biological product that is intended, alone or in combination with one or more other drugs,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could also be eligible for accelerated approval.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Designation as a breakthrough therapy is within the discretion of the FDA. Accordingly, even if we believe one of our product candidates meets the criteria for designation as a breakthrough therapy, the FDA may disagree and instead determine not to make such designation.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have received Fast Track designation for one of our product candidates, but such designation may not actually lead to a faster development or regulatory review or approval process. Additionally, FDA may rescind the designation if it determines the product candidate no longer meets the qualifying criteria for Fast Track.</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a product candidate is intended for the treatment of a serious condition and nonclinical or clinical data demonstrate the potential to address unmet medical need for this condition, a product sponsor may apply for FDA Fast Track designation. We recently received Fast Track designation for a product candidate. However, Fast Track designation does not ensure that we will receive marketing approval or that approval will be granted within any particular time 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cannot guarantee how long it will take regulatory agencies to review our applications for product candidates, and we may fail to obtain the necessary regulatory approvals to market our product candidates. If we are not able to obtain required regulatory approvals, we will not be able to commercialize our product candidates and our ability to generate revenue will be materially impaired.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product candidates and the activities associated with their development and commercialization, including their design, research, testing, manufacture, safety, efficacy, recordkeeping, labeling, packaging, storage, approval, advertising, promotion, sale and distribution, are subject to comprehensive regulation by the FDA and other regulatory agencies in the United States and foreign jurisdictions. Failure to obtain marketing approval for our product candidates will prevent us from commercializing them in those markets.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have not received approval from regulatory authorities to market any product candidate in any jurisdiction, and it is possible that neither our current product candidates nor any product candidates that we may seek to develop in the future will ever obtain the appropriate regulatory approvals necessary for us to commence product sales.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Securing marketing approval requires the submission of extensive preclinical and clinical data and supporting information to regulatory authorities for each therapeutic indication of each of our product candidates to establish the product candidates’ safety and efficacy for such indications. Securing marketing approval also requires the submission of information about the product manufacturing process to, and inspection of manufacturing facilities by, regulatory authorities.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pathway to regulatory approvals is time consuming and unpredictable, involves substantial costs and consumes management time and attention. It is not possible to predict the timing or success of obtaining regulatory approvals with any degree of certainty, and as a result, it is difficult to forecast our future financial results or prospects. Any unexpected development in the regulatory approval process, including delays or denials of regulatory approvals or significant modifications to our product candidates required by our regulators, could materially and adversely affect our business, results of operations and financial condition, and could substantially harm our stock price.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To obtain marketing approval, United States laws require: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controlled research and human clinical testing;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establishment of the safety and efficacy of the product for each use sought;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government review and approval of a submission containing, among other things, manufacturing, pre-clinical and clinical data;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compliance with cGMP regulations.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The process of reviewing and approving a drug is time-consuming, unpredictable, and dependent on a variety of factors outside of our control. The FDA and corresponding regulatory authorities in other jurisdictions have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significant amount of discretion in deciding whether or not to approve a marketing application. Our product candidates could fail to receive regulatory approval from the FDA or comparable regulatory authorities outside the United States for several reasons, including: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disagreement with the design or implementation of our clinical trials;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to demonstrate that our candidate is safe and effective for the proposed indication;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of clinical trial results to meet the level of statistical significance required for approval;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to demonstrate that the product candidate’s benefits outweigh its risks;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disagreement with our interpretation of pre-clinical or clinical data;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inadequacies in the manufacturing facilities or processes of third-party manufacturers.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FDA or a comparable regulatory authority outside the United States may require us to conduct additional pre-clinical and clinical testing, which may delay or prevent approval and our commercialization plans or cause us to abandon the development program. Further, any approval we receive may be for fewer or more limited indications than we request, may not include labeling claims necessary for successful commercialization of the product candidate, or may be contingent upon our conducting costly post-marketing clinical trials. Any of these scenarios could materially harm the commercial prospects of a product candidate, and our operations will be adversely affected.</w:t>
      </w:r>
    </w:p>
    <w:p>
      <w:pPr>
        <w:pStyle w:val="TextBody"/>
        <w:bidi w:val="0"/>
        <w:spacing w:before="0" w:after="0"/>
        <w:jc w:val="left"/>
        <w:rPr/>
      </w:pPr>
      <w:r>
        <w:rPr/>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Even if we obtain regulatory approval for a product, we will remain subject to ongoing regulatory requirements, which may result in significant additional expense and other restrictions, and we may be subject to penalties if we fail to comply with regulatory requirements or experience unanticipated problems with our product candidates.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any of our product candidates are approved, we will be subject to ongoing regulatory requirements with respect to manufacturing, labeling, packaging, storage, marketing,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Manufacturers and manufacturers’ facilities are required to continuously comply with FDA and comparable foreign regulatory authority requirements, including ensuring that quality control and manufacturing procedures conform to cGMP, regulations and corresponding foreign regulatory manufacturing requirements. As such, we and our contract manufacturers will be subject to continual review and inspections to assess compliance with cGMP and adherence to commitments made in any NDA or marketing authorization application.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 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issue fines, untitled letters or warning letters;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impose civil or criminal penalties;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suspend or withdraw regulatory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suspend any of our ongoing clinical trials;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refuse to approve pending applications or supplements to approved applications submitted by us;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product seizure or detention or refusal to permit the import or export of products;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impose restrictions on our operations, including closing our contract manufacturers’ facilities; or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impose restrictions on the marketing or manufacturing of the product, withdrawal of the product from the market or voluntary or mandatory product recalls.</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our operating results would be adversely affected.</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Healthcare reform measures may have a material adverse effect on our business, financial condition or results of operations.</w:t>
      </w:r>
    </w:p>
    <w:p>
      <w:pPr>
        <w:pStyle w:val="TextBody"/>
        <w:bidi w:val="0"/>
        <w:spacing w:lineRule="auto" w:line="288" w:before="0" w:after="240"/>
        <w:jc w:val="both"/>
        <w:rPr/>
      </w:pPr>
      <w:r>
        <w:rPr>
          <w:rFonts w:ascii="Arial;sans-serif" w:hAnsi="Arial;sans-serif"/>
          <w:b w:val="false"/>
          <w:color w:val="000000"/>
          <w:sz w:val="20"/>
        </w:rPr>
        <w:t xml:space="preserve">In the United States, there have been and continue to be a number of initiatives to contain healthcare costs or otherwise change or reform the provision of healthcare products and services to the patient population. For example, in March 2010, the </w:t>
      </w:r>
      <w:r>
        <w:rPr>
          <w:rFonts w:ascii="Arial;sans-serif" w:hAnsi="Arial;sans-serif"/>
          <w:b w:val="false"/>
          <w:color w:val="000000"/>
          <w:sz w:val="24"/>
        </w:rPr>
        <w:t>Affordable Care Act (</w:t>
      </w:r>
      <w:r>
        <w:rPr>
          <w:rFonts w:ascii="Arial;sans-serif" w:hAnsi="Arial;sans-serif"/>
          <w:b w:val="false"/>
          <w:color w:val="000000"/>
          <w:sz w:val="20"/>
        </w:rPr>
        <w:t>ACA</w:t>
      </w:r>
      <w:r>
        <w:rPr>
          <w:rFonts w:ascii="Arial;sans-serif" w:hAnsi="Arial;sans-serif"/>
          <w:b w:val="false"/>
          <w:color w:val="000000"/>
          <w:sz w:val="24"/>
        </w:rPr>
        <w:t>)</w:t>
      </w:r>
      <w:r>
        <w:rPr>
          <w:color w:val="000000"/>
        </w:rPr>
        <w:t xml:space="preserve"> </w:t>
      </w:r>
      <w:r>
        <w:rPr>
          <w:rFonts w:ascii="Arial;sans-serif" w:hAnsi="Arial;sans-serif"/>
          <w:b w:val="false"/>
          <w:color w:val="000000"/>
          <w:sz w:val="20"/>
        </w:rPr>
        <w:t>was enacted, which substantially changed the way health care is financed by both governmental and private insurers, and significantly impacts the U.S. pharmaceutical industry. The ACA, among other things, addresses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specified branded prescription drugs, and established a new Medicare Part D coverage gap discount program. Certain provisions of the ACA have been subject to judicial challenges, as well as efforts to modify them or alter their interpretation or implementation. It is unclear how efforts to challenge or modify the ACA or its implementing regulations, or portions thereof, will affect our business.</w:t>
      </w:r>
    </w:p>
    <w:p>
      <w:pPr>
        <w:pStyle w:val="TextBody"/>
        <w:bidi w:val="0"/>
        <w:spacing w:lineRule="auto" w:line="288" w:before="0" w:after="240"/>
        <w:jc w:val="both"/>
        <w:rPr/>
      </w:pPr>
      <w:r>
        <w:rPr>
          <w:rFonts w:ascii="Arial;sans-serif" w:hAnsi="Arial;sans-serif"/>
          <w:b w:val="false"/>
          <w:color w:val="000000"/>
          <w:sz w:val="20"/>
        </w:rPr>
        <w:t>The IRA, which was enacted into law on August 16, 2022, introduces several changes to the Medicare Part D benefit, including a limit on annual out-of-pocket costs and a change in manufacturer liability under the program.</w:t>
      </w:r>
      <w:r>
        <w:rPr>
          <w:color w:val="000000"/>
        </w:rPr>
        <w:t xml:space="preserve"> </w:t>
      </w:r>
      <w:r>
        <w:rPr>
          <w:rFonts w:ascii="Arial;sans-serif" w:hAnsi="Arial;sans-serif"/>
          <w:b w:val="false"/>
          <w:color w:val="000000"/>
          <w:sz w:val="20"/>
        </w:rPr>
        <w:t>The IRA sunsets the current Part D coverage gap discount program starting in 2025 and replaces it with a new manufacturer discount program.</w:t>
      </w:r>
      <w:r>
        <w:rPr>
          <w:color w:val="000000"/>
        </w:rPr>
        <w:t xml:space="preserve"> </w:t>
      </w:r>
      <w:r>
        <w:rPr>
          <w:rFonts w:ascii="Arial;sans-serif" w:hAnsi="Arial;sans-serif"/>
          <w:b w:val="false"/>
          <w:color w:val="000000"/>
          <w:sz w:val="20"/>
        </w:rPr>
        <w:t>Failure to pay a discount under this new program will be subject to a civil monetary penalty.</w:t>
      </w:r>
      <w:r>
        <w:rPr>
          <w:color w:val="000000"/>
        </w:rPr>
        <w:t xml:space="preserve"> </w:t>
      </w:r>
      <w:r>
        <w:rPr>
          <w:rFonts w:ascii="Arial;sans-serif" w:hAnsi="Arial;sans-serif"/>
          <w:b w:val="false"/>
          <w:color w:val="000000"/>
          <w:sz w:val="20"/>
        </w:rPr>
        <w:t>In addition, the IRA establishes a Medicare Part B inflation rebate scheme effective January 2023 and a Medicare Part D inflation rebate scheme effective October 2022, under which, generally speaking, manufacturers will owe rebates if the price of a Part B or Part D drug increases faster than the pace of inflation.</w:t>
      </w:r>
      <w:r>
        <w:rPr>
          <w:color w:val="000000"/>
        </w:rPr>
        <w:t xml:space="preserve"> </w:t>
      </w:r>
      <w:r>
        <w:rPr>
          <w:rFonts w:ascii="Arial;sans-serif" w:hAnsi="Arial;sans-serif"/>
          <w:b w:val="false"/>
          <w:color w:val="000000"/>
          <w:sz w:val="20"/>
        </w:rPr>
        <w:t>Failure to timely pay a Part B or D inflation rebate is subject to a civil monetary penalty.</w:t>
      </w:r>
      <w:r>
        <w:rPr>
          <w:color w:val="000000"/>
        </w:rPr>
        <w:t xml:space="preserve"> </w:t>
      </w:r>
      <w:r>
        <w:rPr>
          <w:rFonts w:ascii="Arial;sans-serif" w:hAnsi="Arial;sans-serif"/>
          <w:b w:val="false"/>
          <w:color w:val="000000"/>
          <w:sz w:val="20"/>
        </w:rPr>
        <w:t>The IRA also creates a drug price negotiation program under which the prices for Medicare units of certain high Medicare spend drugs and biologicals without generic or biosimilar competition will be capped by reference to, among other things, a specified non-federal average manufacturer price starting in 2026.</w:t>
      </w:r>
      <w:r>
        <w:rPr>
          <w:color w:val="000000"/>
        </w:rPr>
        <w:t xml:space="preserve"> </w:t>
      </w:r>
      <w:r>
        <w:rPr>
          <w:rFonts w:ascii="Arial;sans-serif" w:hAnsi="Arial;sans-serif"/>
          <w:b w:val="false"/>
          <w:color w:val="000000"/>
          <w:sz w:val="20"/>
        </w:rPr>
        <w:t>Failure to comply with requirements under the drug price negotiation program is subject to an excise tax and/or a civil monetary penalty.</w:t>
      </w:r>
      <w:r>
        <w:rPr>
          <w:color w:val="000000"/>
        </w:rPr>
        <w:t xml:space="preserve"> </w:t>
      </w:r>
      <w:r>
        <w:rPr>
          <w:rFonts w:ascii="Arial;sans-serif" w:hAnsi="Arial;sans-serif"/>
          <w:b w:val="false"/>
          <w:color w:val="000000"/>
          <w:sz w:val="20"/>
        </w:rPr>
        <w:t>Congress continues to examine various policy proposals that may result in pressure on the prices of prescription drugs with respect to the government health benefit programs and otherwise.</w:t>
      </w:r>
      <w:r>
        <w:rPr>
          <w:color w:val="000000"/>
        </w:rPr>
        <w:t xml:space="preserve"> </w:t>
      </w:r>
      <w:r>
        <w:rPr>
          <w:rFonts w:ascii="Arial;sans-serif" w:hAnsi="Arial;sans-serif"/>
          <w:b w:val="false"/>
          <w:color w:val="000000"/>
          <w:sz w:val="20"/>
        </w:rPr>
        <w:t>The IRA or other legislative changes could impact the market conditions for our product candidates.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addition, other legislative changes have been proposed and adopted in the United States since the ACA was enacted and we expect that additional state and federal healthcare reform measures will be adopted in the future, any of which could result in more rigorous coverage criteria and in additional downward pressure on the price that we receive for our product candidates, if commercialized, and could seriously harm our future revenues. Any reduction in reimbursement from Medicare, Medicaid, or other government programs may result in a similar reduction in payments from private payors. The implementation of cost containment measures or other healthcare reforms may prevent us from being able to generate revenues, attain profitability, or successfully commercialize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federal and state transparency laws and regulations. These laws may impact, among other things, our proposed sales, marketing, and education programs. In addition, we may be subject to patient privacy regulation by both the federal government and the states in which we conduct our business. These laws, which are described in further detail in Government Regulation and Product Approvals – Other Healthcare Laws include: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federal civil False Claims Act, which prohibits, among other things, individuals or entities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HIPAA, which created new federal criminal statutes that prohibit executing a scheme to defraud any healthcare benefit program and making false statements relating to healthcare matters;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HIPAA, as amended by the Health Information Technology and Clinical Health Act, and its implementing regulations, which imposes specified requirements relating to the privacy, security, and transmission of individually identifiable health information;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U.S. federal Physician Payment Sunshine Act,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(and certain other practitioners as of 2022), as well as ownership and investment interests held in the company by physicians and their immediate family members;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state law equivalents of each of the above federal laws, such as anti-kickback and false claims laws that may apply to items or services reimbursed by any third-party payor, including governmental and private payors, laws that require manufacturers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scope or application, thus complicating compliance efforts.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Efforts to ensure that our collaborations with third parties, and our business generally, will comply with applicable United States and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contractual damages, reputational harm, disgorgement, curtailment or restricting of our operations, any of which could substantially disrupt our operations and diminish our profits and future earnings. If any of the physicians or other providers or entities with whom we expect to do business is found not to be in compliance with applicable laws, they may be subject to criminal, civil or administrative sanctions, including exclusions from government funded healthcare programs. The risk of our being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found in violation of these laws is increased by the fact that many of them have not been fully interpreted by the regulatory authorities or the courts, and their provisions are open to a variety of interpretations.</w:t>
      </w:r>
    </w:p>
    <w:p>
      <w:pPr>
        <w:pStyle w:val="TextBody"/>
        <w:bidi w:val="0"/>
        <w:spacing w:before="0" w:after="0"/>
        <w:jc w:val="left"/>
        <w:rPr/>
      </w:pPr>
      <w:r>
        <w:rPr/>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Reliance on government funding for our programs may add uncertainty to our research and commercialization efforts with respect to those programs that are tied to such funding and may impose requirements that limit our ability to take specified actions, increase the costs of commercialization and production of product candidates developed under those programs and subject us to potential financial penalties, which could materially and adversely affect our business, financial condition and results of operations.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During the course of our development of our product candidates, we have been funded in part through federal and state grants, including but not limited to the funding we received from CPRIT. If CPRIT terminates the agreement prior to the expiration due to an event of default or if we terminate the agreement, CPRIT may require us to repay some or all of the disbursed grant.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Contracts and grants funded by the U.S. government, state governments and their related agencies include provisions that reflect the government’s substantial rights and remedies, many of which are not typically found in commercial contracts, including powers of the government to: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require repayment of all or a portion of the grant proceeds, in specified cases with interest, in the event we violate specified covenants pertaining to various matters that include a failure to achieve specified milestones or to comply with terms relating to use of grant proceeds, or failure to comply with specified laws;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terminate agreements, in whole or in part, for any reason or no reason;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reduce or modify the government’s obligations under such agreements without the consent of the other party;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claim rights, including intellectual property rights, in products and data developed under such agreements;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audit contract related costs and fees, including allocated indirect costs;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suspend the contractor or grantee from receiving new contracts pending resolution of alleged violations of procurement laws or regulations;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impose U.S. manufacturing requirements for products that embody inventions conceived or first reduced to practice under such agreements;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impose qualifications for the engagement of manufacturers, suppliers and other contractors as well as other criteria for reimbursements;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suspend or debar the contractor or grantee from doing future business with the government;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control and potentially prohibit the export of products;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pursue criminal or civil remedies under the False Claims Act, False Statements Act and similar remedy provisions specific to government agreements;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limit the government’s financial liability to amounts appropriated by the U.S. Congress on a fiscal year basis, thereby leaving some uncertainty about the future availability of funding for a program even after it has been funded for an initial period.</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addition to those powers set forth above, the government funding we may receive could also impose requirements to make payments based upon sales of our products, if any, in the future.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may not have the right to prohibit the U.S. government from using specified technologies developed by us, and we may not be able to prohibit third-party companies, including our competitors, from using those technologies in providing products and services to the U.S. government. The U.S. government generally takes the position that it has the right to royalty-free use of technologies that are developed under U.S. government contracts. These and other provisions of government grants may also apply to intellectual property we license now or in the future.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addition, government contracts and grants normally contain additional requirements that may increase our costs of doing business, reduce our profits, and expose us to liability for failure to comply with these terms and conditions. These requirements include, for example: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specialized accounting systems unique to government contracts and grants;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mandatory financial audits and potential liability for price adjustments or recoupment of government funds after such funds have been spent;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public disclosures of some contract and grant information, which may enable competitors to gain insights into our research program;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mandatory socioeconomic compliance requirements, including labor standards, non-discrimination and affirmative action programs and environmental compliance requirements.</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we fail to maintain compliance with any such requirements that may apply to us now or in the future, we may be subject to potential liability and to termination of our contracts.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If we fail to comply with environmental, health and safety laws and regulations, we could become subject to fines or penalties or incur costs and liabilities that could have a material adverse effect on our business, financial condition or results of operations.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Risks Related to our Intellectual Property</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not be successful in obtaining or maintaining necessary rights to our targets, product compounds and processes for our development pipeline through acquisitions and in-licenses.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Presently, we have rights to the intellectual property, through licenses from third parties and under patents and patent applications that we own, to modulate only a subset of the known epigenetic enzyme targets. Because our programs may involve a range of targets, including targets that require the use of proprietary rights held by third parties, the growth of our business may depend in part on our ability to acquire, in-license or use these proprietary rights. In addition, our product candidates may require specific formulations to work effectively and efficiently and these rights may be held by others. We may be unable to acquire or in-license any compositions, methods of use, processes or other third-party intellectual property rights from third parties that we identify.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example, we have previously collaborated with academic institutions worldwide to accelerate our pre-clinical and 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us. If we are unable to do so, the institution may offer the intellectual property rights to other parties, potentially blocking our ability to pursue our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intend to rely on patent rights for our product candidates and any future product candidates. If we are unable to obtain or maintain exclusivity from the combination of these approaches, we may not be able to compete effectively in our markets.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patent position of biotechnology and pharmaceutical companies generally is highly uncertain and involves complex legal and factual questions for which legal principles remain unsolved. The patent applications that we own or in-licenses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If we cannot obtain and maintain effective protection of exclusivity from our regulatory efforts and intellectual property rights, including patent protection or data exclusivity, for our product candidates, we may not be able to compete effectively and our business and results of operations would be harmed.</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We may not have sufficient patent term protections for our product candidates to effectively protect our business.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from generic medications. In addition, upon issuance in the United States any patent term can be adjusted based on specified delays caused by the applicant(s) or the U.S. Patent and Trademark Office (USPTO).</w:t>
      </w:r>
    </w:p>
    <w:p>
      <w:pPr>
        <w:pStyle w:val="TextBody"/>
        <w:bidi w:val="0"/>
        <w:spacing w:lineRule="auto" w:line="288" w:before="0" w:after="240"/>
        <w:jc w:val="both"/>
        <w:rPr/>
      </w:pPr>
      <w:r>
        <w:rPr>
          <w:rFonts w:ascii="Arial;sans-serif" w:hAnsi="Arial;sans-serif"/>
          <w:b w:val="false"/>
          <w:color w:val="000000"/>
          <w:sz w:val="20"/>
        </w:rPr>
        <w:t>Depending on the timing, duration, and conditions of FDA marketing approval of our product candidates, one or more of our United States patents may be eligible for patent term extension under the Hatch-Waxman Act.</w:t>
      </w:r>
      <w:r>
        <w:rPr>
          <w:color w:val="000000"/>
        </w:rPr>
        <w:t xml:space="preserve"> </w:t>
      </w:r>
      <w:r>
        <w:rPr>
          <w:rFonts w:ascii="Arial;sans-serif" w:hAnsi="Arial;sans-serif"/>
          <w:b w:val="false"/>
          <w:color w:val="000000"/>
          <w:sz w:val="20"/>
        </w:rPr>
        <w:t>Patent term extensions under the Hatch-Waxman Act in the United States and under supplementary protection certificates in Europe may be available to extend the patent or data exclusivity terms of our product candidates.</w:t>
      </w:r>
      <w:r>
        <w:rPr>
          <w:color w:val="000000"/>
        </w:rPr>
        <w:t xml:space="preserve"> </w:t>
      </w:r>
      <w:r>
        <w:rPr>
          <w:rFonts w:ascii="Arial;sans-serif" w:hAnsi="Arial;sans-serif"/>
          <w:b w:val="false"/>
          <w:color w:val="000000"/>
          <w:sz w:val="20"/>
        </w:rPr>
        <w:t xml:space="preserve">We will likely rely on patent term extensions, and we cannot provide any assurances that any such patent term extensions will be obtained and, if so, for how long.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pPr>
      <w:r>
        <w:rPr>
          <w:rFonts w:ascii="Arial;sans-serif" w:hAnsi="Arial;sans-serif"/>
          <w:b w:val="false"/>
          <w:color w:val="000000"/>
          <w:sz w:val="20"/>
        </w:rPr>
        <w:t>patent rights for that product may not extend beyond the current patent expiration dates and competitors may obtain approval to market competing products sooner.</w:t>
      </w:r>
      <w:r>
        <w:rPr>
          <w:color w:val="000000"/>
        </w:rPr>
        <w:t xml:space="preserve"> </w:t>
      </w:r>
      <w:r>
        <w:rPr>
          <w:rFonts w:ascii="Arial;sans-serif" w:hAnsi="Arial;sans-serif"/>
          <w:b w:val="false"/>
          <w:color w:val="000000"/>
          <w:sz w:val="20"/>
        </w:rPr>
        <w:t>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As is the case with other biotechnology companies, our success is heavily dependent on patents and the ability to enforce and protect these patients.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Some of our patent claims may be affected by the recent U.S. Supreme Court decision in Association for Molecular Pathology v. Myriad Genetics. In Myriad, the Supreme Court held that unmodified isolated fragments of genomic sequences, such as the DNA constituting the BRCA1 and BRCA2 genes, are not eligible for patent protection because they constitute a product of nature. The exact boundaries of the Supreme Court’s decision remain unclear as the Supreme Court did not address other types of nucleic acids.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On December 16, 2014, the USPTO issued guidance to patent examiners titled 2014 Interim Guidance on Patent Subject Matter Eligibility (Fed. Reg. 79 (241): 74618-33. These guidelines instruct USPTO examiners on the ramifications of the Prometheus and Myriad rulings and apply the Myriad ruling to natural products and principles including all naturally occurring nucleic acids. In addition, the USPTO continues to provide updates to its guidance and this is a developing area. The recent USPTO guidance could make it impossible for us to pursue similar patent claims in patent applications we may prosecute in the future.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patent portfolio contains claims of various types and scope, including chemically modified mimics, as well as methods of medical treatment. The presence of varying claims in our patent portfolio significantly reduces, but may not eliminate, our exposure to potential validity challenges under Myriad or future judicial decisions. However, it is not yet clear what, if any, impact this recent Supreme Court decision or future decisions will have on the operation of our business.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our U.S. patent applications containing a claim not entitled to priority before March 16, 2013, there is a greater level of uncertainty in the patent law. 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The USPTO has promulgated regulations and developed procedures to govern administration of the Leahy-Smith Act, and many of the substantive changes to patent law associated with the Leahy-Smith Act, and in particular, the first to file provisions, did not come into effect until March 16, 2013. Accordingly, it is not yet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or results of operations.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An important change introduced by the Leahy-Smith Act is that, as of March 16, 2013, the United States transitioned to a “first-to-file” system for deciding which party should be granted a patent when two or more patent applications are filed by different parties claiming the same invention. Under such change, a third party that files a patent application in the USPTO after that date, but before we could, may be awarded a patent covering an invention of our even if we had made the invention before it was made by the third party. This will require us to be cognizant going forward of the time from invention to filing of a patent application. Furthermore, our ability to obtain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our product candidates or (ii) invent any of the inventions claimed in our patents or patent applications.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Among some of the other changes introduced by the Leahy-Smith Act are changes that limit where a patentee may file a patent infringement suit and new procedures providing opportunities for third parties to challenge any issued patent in the USPTO. Included in these new procedures is a process known as Inter Partes Review (IPR), which has been generally used by many third parties over the past two years to invalidate patents. The IPR process is not limited to patents filed after the Leahy-Smith Act was enacted, and would therefore be available to a third party seeking to invalidate any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If we are unable to maintain effective proprietary rights for our product candidates or any future product candidates, we may not be able to compete effectively in our proposed markets.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seeks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Although we expect all of our employees and consultants to assign their inventions to us, and all of our employees, consultants, advisors, and any third parties who have access to our proprietary know- 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Third-party claims of intellectual property infringement may prevent or delay our development and commercialization efforts.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commercial success depends in part on our ability to develop, manufacture, market and sell our product candidates and use our proprietary technology without infringing the patent rights of third parties.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Numerous third-party U.S. and non-U.S. issued patents and pending applications exist in the area of epigenetic enzyme inhibitors and related technologies. We are aware of U.S. and foreign patents and pending patent applications owned by third parties that cover therapeutic uses of epigenetic inhibitors.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Parties making claims against we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not be successful in meeting our obligations under our existing license agreements necessary to maintain our product candidate licenses in effect. In addition, if required in order to commercialize our product candidates, we may be unsuccessful in obtaining or maintaining necessary rights to our product candidates through acquisitions and in-licenses.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currently have rights to the intellectual property, through licenses from third parties and under patents that we do not own, to develop and commercialize our product candidates. Because our programs may require the use of proprietary rights held by third parties, the growth of our business will likely depend in part on our ability to maintain in effect these proprietary rights. Any termination of license agreements with third parties with respect to our product candidates would be expected to negatively impact our business prospects.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may be unable to acquire or in-license any compositions, methods of use, processes, or other third-party intellectual property rights from third parties that we identify as necessary for our product candidates.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Even if we are able to license or acquire third-party intellectual property rights that are necessary for our product candidates, there can be no assurance that they will be available on favorable terms.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collaborate with academic institutions worldwide to identify product candidates, accelerate our research and conduct development. Typically, these institutions have provided us with an option to negotiate an exclusive license to any of the institution’s rights in the patents or other intellectual property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a program that we wish to pursue.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we are unable to successfully obtain and maintain rights to required third-party intellectual property, we may have to abandon development of that product candidate or pay additional amounts to the third-party, and our business and financial condition could suffer.</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The patent protection and patent prosecution for some of our product candidates is dependent on third parties.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While we normally seek and gains the right to fully prosecute the patents relating to our product candidates, there may be times when patents relating to our product candidates are controlled by our licensors. If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assuming control over patent prosecution.</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If we fail to comply with obligations in the agreements under which we licenses intellectual property and other rights from third parties or otherwise experience disruptions to our business relationships with our licensors, we could lose license rights that are important to our business.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are a party to intellectual property licenses and supply agreements that are important to our business and may enter into additional license agreements in the future. Our existing agreements impose, and we expect that future license agreements will impose on us, various diligence, milestone payment, royalty, purchasing, and other obligations. If we fail to comply with our obligations under these agreements, or we are subject to a bankruptcy, our agreements may be subject to termination by the licensor, in which event we would not be able to develop, manufacture, or market products covered by the license or subject to supply commitments.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be involved in lawsuits to protect or enforce our patents or the patents of our licensors, which could be expensive, time consuming, and unsuccessful.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Competitors may infringe our patents or the patents of our licensors. If we or one of our licensing partners were to initiate legal proceedings against a third 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written description, clarity or non-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employ individuals who were previously employed at universities or other biotechnology or pharmaceutical companies, including our competitors or potential competitors. Although we have written agreements and makes every effort to ensure that our employees, consultants, and independent contractors do not use the proprietary information or intellectual property rights of others in their work for us, we may in the future be subject to any claims that our employees, consultants, or independent contractors have wrongfully used or disclosed confidential information of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not be able to protect our intellectual property rights throughout the world.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Competitors may use our technologies in jurisdictions where we have not obtained patent protection to develop our own products and may also export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Risks Related to our Reliance on Third Parties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rely on or will rely on third parties to conduct our clinical trials. If these third parties do not successfully perform and comply with regulatory requirements, we may not be able to successfully complete clinical development, obtain regulatory approval or eventually commercialize our product candidates and our business could be substantially harmed.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relied upon and plan to continue to rely upon third-parties such as CROs, hospitals and clinical investigators to study our product candidates in clinical trials. For example, we have collaborated with MD Anderson to study SP-2577 in combination with azacitidine for the treatment of patients with myelodysplastic syndromes (MDS) or chronic myelomonocytic leukemia (CMML). We rely on these parties for the execution of clinical trials and we only manage and control some aspects of their activities. With respect to the MD Anderson sponsored investigator initiated trial, we supply seclidemstat in quantities required to conduct the clinical trial, but do not have any control over their development activities or the timing thereof. We remain responsible for ensuring that each of our trials is conducted in accordance with the applicable protocol, legal, regulatory, and scientific standards and our reliance on these third parties does not relieve us of our regulatory responsibilities. We and our CROs and other vendors are required to comply with all applicable laws, regulations and guidelines, including those required by the FDA and comparable foreign regulatory authorities for all of our product candidates in clinical development. If we or any of our CROs or vendors fail to comply with applicable laws, regulations and guidelines, the results generated in our clinical trials may be deemed unreliable and the FDA or comparable foreign regulatory authorities may require us to perform additional clinical trials before approving our marketing applications. We cannot be assured that our CROs and other vendors will meet these requirements, or that upon inspection by any regulatory authority, such regulatory authority will determine that efforts, including any of our clinical trials, comply with applicable requirements. Our failure to comply with these laws, regulations and guidelines may require us to repeat clinical trials, which would be costly and delay the regulatory approval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any of our relationships with these third-parties terminate, we may not be able to enter into arrangements with alternative third parties in a timely manner or do so on commercially reasonable terms. In addition, third parties may not prioritize our clinical trials relative to those of other customers and any turnover in personnel or delays in the allocation of third party employees may negatively affect our clinical trials. If third parties do not successfully carry out their contractual duties or obligations or meet expected deadlines, our clinical trials may be delayed or terminated and we may not be able to meet our current plans with respect to our product candidates. CROs, in particular, may also involve higher costs than anticipated, which could negatively affect our financial condition and operations.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addition, we do not currently have, nor do we currently plan to establish the capability to manufacture product candidates for use in the conduct of our clinical trials, and we lack the resources and the capability to manufacture any of our product candidates on a clinical or commercial scale without the use of third-party manufacturers. We plan to rely on third-party manufacturers and their responsibilities will include purchasing from third-party suppliers the materials necessary to produce our product candidates for our clinical trials and regulatory approval. There are expected to be a limited number of suppliers for the active ingredients and other materials that we expect to use to manufacture our product candidates, and we may not be able to identify alternative suppliers to prevent a possible disruption of the manufacture of our product candidates for our clinical trials, and, if approved, ultimately for commercial sale. Although we generally do not expect to begin a clinical trial unless we believe we have a sufficient supply of a product candidate to complete the trial, any significant delay or discontinuity in the supply of a product candidate, or the active ingredient or other material components in the manufacture of the product candidate could delay completion of our clinical trials and potential timing for regulatory approval of our product candidates, which would harm our business and results of operations.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expect to rely on third parties to manufacture our clinical product supplies, and we intend to rely on third parties to produce and process our product candidates, if approved, and our commercialization of any of our product candidates could be stopped, delayed or made less profitable if those third parties fail to obtain approval of government regulators, fail to comply with applicable regulations, fail to provide us with sufficient quantities of drug product, or fail to do so at acceptable quality levels or prices.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do not currently have nor do we currently plan to develop the infrastructure or capability internally to manufacture our clinical supplies for use in the conduct of our clinical trials, and we lack the resources and the capability to manufacture any of our product candidates on a clinical or commercial scale. We currently rely on outside vendors to manufacture the clinical supplies of our product candidates. We plan to continue relying on third parties to manufacture our product candidates on a commercial scale, if approved.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do not yet have sufficient information to reliably estimate the cost of the commercial manufacturing of our product candidates and our current costs to manufacture our drug products is not commercially feasible, and the actual cost to manufacture our product candidates could materially and adversely affect the commercial viability of our product candidates. As a result, we may never be able to develop a commercially viable product.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addition, our reliance on third-party manufacturers exposes us to the following additional risks: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be unable to identify manufacturers on acceptable terms or at all;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third-party manufacturers might be unable to timely formulate and manufacture our product or produce the quantity and quality required to meet our clinical and commercial needs, if any;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contract manufacturers may not be able to execute our manufacturing procedures appropriately;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future third-party manufacturers may not perform as agreed or may not remain in the contract manufacturing business for the time required to supply our clinical trials or to successfully produce, store and distribute our products;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Manufacturers are subject to ongoing periodic unannounced inspection by the FDA and corresponding state agencies to ensure strict compliance with cGMPs and other government regulations and corresponding foreign standards. We do not have control over third-party manufacturers’ compliance with these regulations and standards;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not own, or may have to share, the intellectual property rights to any improvements made by our third-party manufacturers in the manufacturing process for our product candidates;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third-party manufacturers could breach or terminate their agreement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Each of these risks could delay our clinical trials, the approval, if any of our product candidates by the FDA or the commercialization of our product candidates or result in higher costs or deprive us of potential product revenue. In addition, we rely on third parties to perform release testing on our product candidates prior to delivery to patients. If these tests are not appropriately conducted and test data are not reliable, patients could be put at risk of serious harm and could result in product liability suits.</w:t>
      </w:r>
    </w:p>
    <w:p>
      <w:pPr>
        <w:pStyle w:val="TextBody"/>
        <w:bidi w:val="0"/>
        <w:spacing w:lineRule="auto" w:line="288" w:before="0" w:after="0"/>
        <w:jc w:val="both"/>
        <w:rPr/>
      </w:pPr>
      <w:r>
        <w:rPr>
          <w:rFonts w:ascii="Arial;sans-serif" w:hAnsi="Arial;sans-serif"/>
          <w:b w:val="false"/>
          <w:color w:val="000000"/>
          <w:sz w:val="20"/>
        </w:rPr>
        <w:t>The manufacture of medical products is complex and requires significant expertise and capital investment, including the development of advanced manufacturing techniques and process controls. Manufacturers of medical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Third-party manufacturers may not be able to comply with applicable cGMP, regulations or similar regulatory requirements outside the United States. Our failure, or the failure of our third-party manufacturers, to comply with applicable regulations could result in sanctions being imposed, including clinical holds, fines, injunctions, civil penalties, delays, license revocation, seizures or recalls of product candidates or products, operating restrictions and criminal prosecutions, any of which could significantly and adversely affect supplies of our product candidates.</w:t>
      </w:r>
      <w:r>
        <w:rPr>
          <w:color w:val="000000"/>
        </w:rPr>
        <w:t xml:space="preserve"> </w:t>
      </w:r>
      <w:r>
        <w:rPr>
          <w:rFonts w:ascii="Arial;sans-serif" w:hAnsi="Arial;sans-serif"/>
          <w:b w:val="false"/>
          <w:color w:val="000000"/>
          <w:sz w:val="20"/>
        </w:rPr>
        <w:t>Furthermore, if contaminants are discovered in our supply of our product candidates or in the manufacturing facilities, such manufacturing facilities may need to be closed for an extended period of time to investigate and remedy the contamination. We cannot be assured that any stability or other issues relating to the manufacture of our product candidates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candidates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pStyle w:val="TextBody"/>
        <w:bidi w:val="0"/>
        <w:spacing w:before="0" w:after="0"/>
        <w:jc w:val="both"/>
        <w:rPr/>
      </w:pPr>
      <w:r>
        <w:rPr/>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may be unable to realize the potential benefits of any current or future collaboration.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have entered into strategic collaborations and license agreements with the University of Utah, and CPRIT. While we may seek to enter into future collaborations for the development and commercialization of our product candidates, there can be no assurance that we will be able to do so. Even if we are successful in entering into a collaboration with respect to the development and/or commercialization of one or more product candidates, there is no guarantee that the collaboration will be successful and we may be unable to realize in full or in part the potential benefits of any of our current collaborations.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Collaborations may pose a number of risks, including: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collaborators often have significant discretion in determining the efforts and resources that they will apply to the collaboration, and may not commit sufficient resources to the development, marketing or commercialization of the product or products that are subject to the collaboration;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collaborators may not perform their obligations as expected;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such collaboration may significantly limit our share of potential future profits from the associated program, and may require us to relinquish potentially valuable rights to our current product candidates, potential products or proprietary technologies or grant licenses on terms that are not favorable to us;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collaborators may cease to devote resources to the development or commercialization of our product candidates if the collaborators view our product candidates as competitive with their own products or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disagreements with collaborators, including disagreements over proprietary rights, contract interpretation or the course of development, might cause delays or termination of the development or commercialization of product candidates, and might result in legal proceedings, which would be time consuming, distracting and expensive;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collaborators may be impacted by changes in their strategic focus or available funding, or business combinations involving them, which could cause them to divert resources away from the collaboration;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collaborators may infringe the intellectual property rights of third parties, which may expose us to litigation and potential liability;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collaborations may not result in us achieving revenues to justify such transactions;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collaborations may be terminated and, if terminated, may result in a need for us to raise additional capital to pursue further development or commercialization of the applicable product candidate.</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a result, a collaboration may not result in the successful development or commercialization of our product candidates.</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Risks Related to our Business Operations</w:t>
      </w:r>
    </w:p>
    <w:p>
      <w:pPr>
        <w:pStyle w:val="TextBody"/>
        <w:bidi w:val="0"/>
        <w:spacing w:lineRule="auto" w:line="276" w:before="0" w:after="0"/>
        <w:jc w:val="both"/>
        <w:rPr>
          <w:rFonts w:ascii="Arial;sans-serif" w:hAnsi="Arial;sans-serif"/>
          <w:b/>
          <w:i/>
          <w:color w:val="000000"/>
          <w:sz w:val="20"/>
        </w:rPr>
      </w:pPr>
      <w:r>
        <w:rPr>
          <w:rFonts w:ascii="Arial;sans-serif" w:hAnsi="Arial;sans-serif"/>
          <w:b/>
          <w:i/>
          <w:color w:val="000000"/>
          <w:sz w:val="20"/>
        </w:rPr>
        <w:t>We are substantially dependent on our remaining employees and consultants to continue our operations and facilitate the consideration and consummation of a potential strategic transaction.</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ability to successfully complete a strategic transaction depends in large part on our ability to retain certain of our remaining personnel, particularly David J. Arthur, our President and Chief Executive Officer, who has recently transitioned to a part-time consultant role, and, Mark J. Rosenblum our Chief Financial Officer. The loss of the services of either of these individuals could potentially harm our ability to continue our operations and evaluate and pursue strategic alternatives, as well as fulfill our reporting obligations as a public company.</w:t>
      </w:r>
    </w:p>
    <w:p>
      <w:pPr>
        <w:pStyle w:val="TextBody"/>
        <w:bidi w:val="0"/>
        <w:spacing w:before="0" w:after="0"/>
        <w:jc w:val="left"/>
        <w:rPr/>
      </w:pPr>
      <w:r>
        <w:rPr/>
      </w:r>
    </w:p>
    <w:p>
      <w:pPr>
        <w:pStyle w:val="TextBody"/>
        <w:bidi w:val="0"/>
        <w:spacing w:lineRule="auto" w:line="276" w:before="0" w:after="240"/>
        <w:jc w:val="both"/>
        <w:rPr>
          <w:rFonts w:ascii="Arial;sans-serif" w:hAnsi="Arial;sans-serif"/>
          <w:b/>
          <w:color w:val="000000"/>
          <w:sz w:val="20"/>
        </w:rPr>
      </w:pPr>
      <w:r>
        <w:rPr>
          <w:rFonts w:ascii="Arial;sans-serif" w:hAnsi="Arial;sans-serif"/>
          <w:b/>
          <w:color w:val="000000"/>
          <w:sz w:val="20"/>
        </w:rPr>
        <w:t>Risks Related to Our Common Stock</w:t>
      </w:r>
    </w:p>
    <w:p>
      <w:pPr>
        <w:pStyle w:val="TextBody"/>
        <w:bidi w:val="0"/>
        <w:spacing w:lineRule="auto" w:line="276" w:before="0" w:after="240"/>
        <w:jc w:val="both"/>
        <w:rPr>
          <w:rFonts w:ascii="Arial;sans-serif" w:hAnsi="Arial;sans-serif"/>
          <w:b/>
          <w:i/>
          <w:color w:val="000000"/>
          <w:sz w:val="20"/>
        </w:rPr>
      </w:pPr>
      <w:r>
        <w:rPr>
          <w:rFonts w:ascii="Arial;sans-serif" w:hAnsi="Arial;sans-serif"/>
          <w:b/>
          <w:i/>
          <w:color w:val="000000"/>
          <w:sz w:val="20"/>
        </w:rPr>
        <w:t>The terms of the warrants could impede our ability to enter into certain transactions or obtain additional financing.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terms of certain of our outstanding warrants to purchase shares of our common stock require us, upon the consummation of any “fundamental transaction” (as defined in the securities), to, among other obligations, cause any successor entity resulting from the fundamental transaction to assume all of our obligations under the warrants and the associated transaction documents. In addition, holders of warrants are entitled to participate in any fundamental transaction on an as-converted or as-exercised basis, which could result in the holders of our common stock receiving a lesser portion of the consideration from a fundamental transaction. The terms of the warrants could also impede our ability to enter into certain transactions or obtain additional financing in the future.</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Future sales of a significant number of our shares of common stock in the public markets, or the perception that such sales could occur, could depress the market price of our shares of our common stock or cause our stock price to decline.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Sales of a substantial number of our shares of common stock in the public markets, or the perception that such sales could occur, including from the exercise of warrants or sales of common stock issuable thereunder, could cause the market price of our shares of common stock to decline and impair our ability to raise capital through the sale of additional equity securities. A substantial number of shares of common stock are being offered by this prospectus. We cannot predict the number of these shares that might be sold nor the effect that future sales of our shares of common stock, including shares issuable upon the exercise of warrants, would have on the market price of our shares of common stock.</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We do not currently intend to pay dividends on our common stock, and any return to investors is expected to come, if at all, only from potential increases in the price of our common stock.</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At the present time, we intend to use available funds to finance our operations. Accordingly, while payment of dividends rests within the discretion of our board of directors, we have no intention of paying any such dividends in the foreseeable future. Any return to investors is expected to come, if at all, only from potential increases in the price of our common stock.</w:t>
      </w:r>
    </w:p>
    <w:p>
      <w:pPr>
        <w:pStyle w:val="TextBody"/>
        <w:bidi w:val="0"/>
        <w:spacing w:lineRule="auto" w:line="276" w:before="0" w:after="240"/>
        <w:jc w:val="left"/>
        <w:rPr>
          <w:rFonts w:ascii="Arial;sans-serif" w:hAnsi="Arial;sans-serif"/>
          <w:b/>
          <w:color w:val="000000"/>
          <w:sz w:val="20"/>
        </w:rPr>
      </w:pPr>
      <w:r>
        <w:rPr>
          <w:rFonts w:ascii="Arial;sans-serif" w:hAnsi="Arial;sans-serif"/>
          <w:b/>
          <w:color w:val="000000"/>
          <w:sz w:val="20"/>
        </w:rPr>
        <w:t>General Risks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Failure in our information technology and storage systems could significantly disrupt the operation of our business and/or lead to potential large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ability to execute our business plan and maintain operations depends on the continued and uninterrupted performance of our information technology systems. Information technology systems are vulnerable to risks and damages from a variety of sources, including telecommunications or network failures, malicious human acts and natural disasters. Moreover, despite network security and back-up measures, some of our and our vendors’ servers are potentially vulnerable to physical or electronic break-ins, including cyber-attacks, computer viruses and similar disruptive problems. These events could lead to the unauthorized access, disclosure and use of non-public information which in turn could lead to operational difficulties and liabilities.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security breach or privacy violation that leads to disclosure of consumer, customer, supplier, partner or employee information (including personally identifiable information or protected health information) could harm our reputation, compel us to comply with disparate state and foreign breach notification laws and otherwise subject us to liability under laws that protect personal data, resulting in increased costs or loss of revenue.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If our computer systems are compromised, we could be subject to fines, damages, litigation and enforcement actions, and we could lose trade secrets, the occurrence of which could harm our business. Despite precautionary measures to prevent unanticipated problems that could affect our information technology systems, sustained or repeated system failures that interrupt our ability to generate and maintain data could adversely affect our ability to operate our business. In addition, a data security breach could distract management or other key personnel from performing their primary operational duties.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interpretation and application of consumer and data protection laws in the United States, Europe and elsewhere are often uncertain, contradictory and in flux. Among other things, foreign privacy laws impose significant obligations on U.S. companies to protect the personal information of foreign citizens. It is possible that these laws may be interpreted and applied in a manner that is inconsistent with our data practices, which could have a material adverse effect on our business. Complying with these various laws could cause us to incur substantial costs or require us to change our business practices in a manner adverse to our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40"/>
        <w:jc w:val="left"/>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76" w:before="0" w:after="240"/>
        <w:jc w:val="left"/>
        <w:rPr>
          <w:rFonts w:ascii="Arial;sans-serif" w:hAnsi="Arial;sans-serif"/>
          <w:b/>
          <w:color w:val="000000"/>
          <w:sz w:val="18"/>
        </w:rPr>
      </w:pPr>
      <w:r>
        <w:rPr>
          <w:rFonts w:ascii="Arial;sans-serif" w:hAnsi="Arial;sans-serif"/>
          <w:b/>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40"/>
        <w:jc w:val="left"/>
        <w:rPr>
          <w:rFonts w:ascii="Arial;sans-serif" w:hAnsi="Arial;sans-serif"/>
          <w:b/>
          <w:color w:val="000000"/>
          <w:sz w:val="20"/>
        </w:rPr>
      </w:pPr>
      <w:r>
        <w:rPr>
          <w:rFonts w:ascii="Arial;sans-serif" w:hAnsi="Arial;sans-serif"/>
          <w:b/>
          <w:color w:val="000000"/>
          <w:sz w:val="20"/>
        </w:rPr>
        <w:t>Item 1C. Cybersecurity</w:t>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 xml:space="preserve">Risk Management and Strategy </w:t>
      </w:r>
    </w:p>
    <w:p>
      <w:pPr>
        <w:pStyle w:val="TextBody"/>
        <w:bidi w:val="0"/>
        <w:spacing w:before="0" w:after="0"/>
        <w:jc w:val="left"/>
        <w:rPr/>
      </w:pPr>
      <w:r>
        <w:rPr/>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We maintain standard procedures to help assess, identify and manage material risk posed by cybersecurity threats and regularly evaluate how we can integrate these procedures into our overall risk management processes. For example, we require that all of our employees who have access to our internal network complete formal cybersecurity training upon hire and on a periodic basis, including training on phishing, malware, and other cybersecurity risks. We also continuously evaluate our information technology systems and our practices that relate to our information technology systems. To date, we have not engaged any formal assessment or cyber security auditors or other third parties in connection with these efforts but may elect to do so in the future.</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To the extent we identify areas in our information systems that need improvement, we seek to timely implement and monitor such improvements. While we believe that we have taken appropriate security measures to protect our data and information technology systems, and have been informed by our third-party vendors that they have as well, there can be no assurance that our efforts will prevent breakdowns or breaches in our systems, or those of our third-party vendors, that could materially adversely affect our business and financial condition. For additional information regarding whether risks from cybersecurity threats are reasonably likely to materially affect the Company, including our business strategy, results of operations, or financial condition, see Item 1A, “Risk Factors,” in this Annual Report on Form 10-K.</w:t>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Governance</w:t>
      </w:r>
    </w:p>
    <w:p>
      <w:pPr>
        <w:pStyle w:val="TextBody"/>
        <w:bidi w:val="0"/>
        <w:spacing w:before="0" w:after="0"/>
        <w:jc w:val="left"/>
        <w:rPr/>
      </w:pPr>
      <w:r>
        <w:rPr/>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We currently engage a qualified IT consultant who reports to our Chief Executive Officer. This consultant has robust experience with cybersecurity, information technology development and deployment and information technology risk assessment and management, including information security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Our IT consultant regularly monitors our information technology systems and monitors the prevention, detection, mitigation and remediation of cybersecurity incidents in consultation with our Chief Executive Officer. To the extent necessary, our Chief Executive Officer reports such risks to our Board, which has overall responsibility for risk oversight.</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Over the last two years, we have not experienced any cybersecurity incidents that have materially affected or are reasonably likely to materially affect is, including our business, results of operations, or financial condition.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Items 2. Properties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presently leases 300 square feet of office space under operating lease agreements on a month to month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3. Legal Proceedings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Market Information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common stock is on the Nasdaq Capital Market under the symbol “SLRX.”</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of March 10, 2024, we had approximately 149 record holders of our common stock. Because many of our shares are held by brokers and other institutions on behalf of stockholders, we are unable to estimate the total number of individual stockholders represented by these record holders.</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Equity Compensation Plan Information</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Information required by Item 5 of Form 10-K regarding our equity compensation plans is incorporated herein by reference from Item 12 of Part III of this Annual Report on Form 10-K.</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Recent Sales of Unregistered Securities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than as previously disclosed on our Current Reports on Form 8-K or Quarterly Reports on Form 10-Q filed with the SEC, we did not issue any unregistered equity securities during the twelve months ended December 31,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Purchases of Equity Securities by the Issuer and Affiliated Purchasers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Item 6.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7. Management’s Discussion and Analysis of Financial Condition and Results of Operations Overview</w:t>
      </w:r>
    </w:p>
    <w:p>
      <w:pPr>
        <w:pStyle w:val="TextBody"/>
        <w:bidi w:val="0"/>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This Management’s Discussion and Analysis provides material historical and prospective disclosures intended to enable investors and other users to assess our financial condition and results of operations. Statements that are not historical are forward-looking and involve risks and uncertainties discussed under the headings “SPECIAL NOTE REGARDING Forward-Looking Statements” and “Risk Factors” of this report. The following discussion of our results of operations and financial condition should be read in conjunction with our financial statements and the related notes thereto included elsewhere in this report. These risks could cause our actual results to differ materially from any future performance suggested below.</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Introduction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Management's Discussion and Analysis of Financial Condition and Results of Operations, or MD&amp;A, is provided in addition to the accompanying consolidated financial statements and notes to assist readers in understanding our results of operations, financial condition, and cash flows.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are a clinical-stage biopharmaceutical company focused on developing treatments for parties with cancer in need of new treatment options. Specifically, we are concentrated on developing treatments for cancers caused by dysregulated gene expression, i.e., genes which are incorrectly turned on or off. We are studying two classes of drugs that address gene dysregulation: protein inhibitors and targeted protein degraders. Our technologies have the potential to work in both liquid and solid tumors. Our current pipeline consists of two primary compounds: 1) SP-3164, a small molecule protein degrader, and 2) seclidemstat (SP-2577), a small molecule inhibitor.</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Recent Developments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July 11, 2023 we announced that the FDA had cleared our investigational new drug (IND) application to treat relapsed/refractory non-Hodgkin lymphoma patients with SP-3164.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August 8, 2023, we announced that we retained Canaccord Genuity, LLC to lead a comprehensive review of strategic alternatives focusing on maximizing shareholder value, including but not limited to, an acquisition, merger, reverse merger, divestiture of assets, licensing, or other strategic transactions involving our company. In connection with the evaluation of strategic alternatives and in order to extend our resources, we implemented a cost-savings plan that includes a reduction in workforce by over 50% of our positions, with remaining employees focusing primarily on limited general operating activities, completing the US Food and Drug Administration process to determine the clinical trial registration requirements for the seclidemstat Ewing sarcoma program and supporting the exploration of strategic alternatives.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October 13, 2023 we met with the FDA to identify activities necessary to seek US registration of SP-2577 as a treatment for Ewing sarcoma.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January 3, 2024 we announced that the hematologic cancer Phase 1/2 clinical trial being conducted at MDACC is listed as active and recruiting on clinical trials.gov – trial NCT04734990. We also announced that an additional Ewing sarcoma patient treated with seclidemstat, topotecan and cyclophosphamide (TC) had achieved a partial response as demonstrated by at least a 30% decrease in the sum of diameters of the patient’s target lesions, bringing the objective response rate (ORR) in Ewing sarcoma first-relapse patients to 60%, with a 60% disease control rate (DCR).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January 5, 2024 we announced the issuance of U.S. Patent No. 11,535,603, which covers our novel cereblon-binding protein degrader, SP-3204. SP-3204 is a GSPT1 protein degrader and has potential in hematological cancers.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January 16, 2024, we announced the expansion of our intellectual property portfolio with composition-of-matter protection into 2039 for our novel molecular glue. Our protein degrader patent portfolio now includes 17 issued patents across six patent families.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February 22, 2024, our Board of Directors implemented a series of additional cost-savings measures designed to extend our expected cash runway into the first half of 2025. These measures are intended to allow us to support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generation of additional clinical data for seclidemstat in the ongoing MD Anderson Cancer Center (MDACC) investigator-initiated Phase 1/2 clinical trial in hematologic cancers and Salarius’ Phase 1/2 trial in Ewing sarcoma</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connection with the cost-savings measures, David Arthur, the Company’s President and Chief Executive Officer, ended his full-time employment and transitioned to a part-time consultant role, effective February 20, 2024. He will continue to serve as Chief Executive Officer and support our ongoing activities. The cost-savings measures also included reducing operating expenses and reducing the cash compensation payable to our non-employee directors beginning in the second quarter of 2024.</w:t>
      </w:r>
    </w:p>
    <w:p>
      <w:pPr>
        <w:pStyle w:val="TextBody"/>
        <w:bidi w:val="0"/>
        <w:spacing w:lineRule="auto" w:line="276" w:before="0" w:after="240"/>
        <w:jc w:val="left"/>
        <w:rPr>
          <w:rFonts w:ascii="Arial;sans-serif" w:hAnsi="Arial;sans-serif"/>
          <w:b w:val="false"/>
          <w:color w:val="000000"/>
          <w:sz w:val="20"/>
        </w:rPr>
      </w:pPr>
      <w:r>
        <w:rPr>
          <w:rFonts w:ascii="Arial;sans-serif" w:hAnsi="Arial;sans-serif"/>
          <w:b w:val="false"/>
          <w:color w:val="000000"/>
          <w:sz w:val="20"/>
        </w:rPr>
        <w:t>We have no products approved for commercial sale and have not generated any revenue from product sales. We have never been profitable and have incurred operating losses in each year since inception. We had an accumulated deficit of $76.3 million as of December 31, 2023. Substantially all of our operating losses resulted from expenses incurred in connection with our research and development programs and from general and administrative costs associated with our operations.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lack of revenue from product sales to date and recurring losses from operations since our inception raise substantial doubt as to our ability to continue as a going concern. We will continue to require substantial additional capital to continue our operation and clinical development activities and may need such additional capital sooner than 12 months. As of December 31, 2023, we had cash and cash equivalents of $5.9 million. Accordingly, we will need to raise substantial additional capital to continue to fund our operations. The amount and timing of our future funding requirements will depend on many factors, including the result of our strategic alternatives process, our ability to raise additional capital on commercially reasonable terms, the pace and results of clinical development activities, and market conditions. Failure to raise capital as and when needed, on favorable terms or at all, would have a negative impact on our financial condition and our ability to continue our operations.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sets forth the consolidated results of our operations for the year ended December 31, 2023 compared to the year ended December 31, 2022.</w:t>
      </w:r>
    </w:p>
    <w:tbl>
      <w:tblPr>
        <w:tblW w:w="8443" w:type="dxa"/>
        <w:jc w:val="left"/>
        <w:tblInd w:w="0" w:type="dxa"/>
        <w:tblLayout w:type="fixed"/>
        <w:tblCellMar>
          <w:top w:w="28" w:type="dxa"/>
          <w:left w:w="28" w:type="dxa"/>
          <w:bottom w:w="28" w:type="dxa"/>
          <w:right w:w="28" w:type="dxa"/>
        </w:tblCellMar>
      </w:tblPr>
      <w:tblGrid>
        <w:gridCol w:w="1239"/>
        <w:gridCol w:w="1089"/>
        <w:gridCol w:w="1092"/>
        <w:gridCol w:w="109"/>
        <w:gridCol w:w="109"/>
        <w:gridCol w:w="109"/>
        <w:gridCol w:w="592"/>
        <w:gridCol w:w="315"/>
        <w:gridCol w:w="277"/>
        <w:gridCol w:w="268"/>
        <w:gridCol w:w="268"/>
        <w:gridCol w:w="268"/>
        <w:gridCol w:w="589"/>
        <w:gridCol w:w="311"/>
        <w:gridCol w:w="284"/>
        <w:gridCol w:w="133"/>
        <w:gridCol w:w="133"/>
        <w:gridCol w:w="133"/>
        <w:gridCol w:w="327"/>
        <w:gridCol w:w="327"/>
        <w:gridCol w:w="471"/>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42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15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4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2023</w:t>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2022</w:t>
            </w:r>
          </w:p>
        </w:tc>
        <w:tc>
          <w:tcPr>
            <w:tcW w:w="15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7,173,747</w:t>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15,836,828</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(8,663,081)</w:t>
            </w:r>
          </w:p>
        </w:tc>
      </w:tr>
      <w:tr>
        <w:trPr/>
        <w:tc>
          <w:tcPr>
            <w:tcW w:w="34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5,721,197</w:t>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7,138,403</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(1,417,206)</w:t>
            </w:r>
          </w:p>
        </w:tc>
      </w:tr>
      <w:tr>
        <w:trPr/>
        <w:tc>
          <w:tcPr>
            <w:tcW w:w="34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Change in fair value of warrant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0</w:t>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14,454</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(14,454)</w:t>
            </w:r>
          </w:p>
        </w:tc>
      </w:tr>
      <w:tr>
        <w:trPr/>
        <w:tc>
          <w:tcPr>
            <w:tcW w:w="34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Interest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352,251</w:t>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218,730 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133,521</w:t>
            </w:r>
          </w:p>
        </w:tc>
      </w:tr>
      <w:tr>
        <w:trPr/>
        <w:tc>
          <w:tcPr>
            <w:tcW w:w="34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Loss on impairment of 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8,865,909</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(8,865,909)</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(12,542,693)</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1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(31,607,956)</w:t>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1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19,065,263</w:t>
            </w:r>
          </w:p>
        </w:tc>
      </w:tr>
    </w:tbl>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Research and development expenses were $7.2 million during the year ended December 31, 2023 compared to $15.8 million during the year ended December 31, 2022. This decrease of $8.7 million principally resulted from the cost savings plan implemented during the third quarter and lower spending on SP-2577. The acquisition of SP-3164 technology for $2.0 million occurred in 2022 did not repeat in 2023. Lower research and development expenses will continue in 2024 as we have curtailed our sponsored clinical trials and intend to rely on clinical trial data from the investigator initiated clinical trial conducted by MD Anderson Cancer Center in connection with our strategic alternatives review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42"/>
        <w:gridCol w:w="1525"/>
        <w:gridCol w:w="1528"/>
        <w:gridCol w:w="211"/>
        <w:gridCol w:w="1021"/>
        <w:gridCol w:w="109"/>
        <w:gridCol w:w="211"/>
        <w:gridCol w:w="1021"/>
        <w:gridCol w:w="109"/>
        <w:gridCol w:w="211"/>
        <w:gridCol w:w="1021"/>
        <w:gridCol w:w="109"/>
        <w:gridCol w:w="211"/>
        <w:gridCol w:w="1021"/>
        <w:gridCol w:w="155"/>
      </w:tblGrid>
      <w:tr>
        <w:trPr/>
        <w:tc>
          <w:tcPr>
            <w:tcW w:w="174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SP - 3164</w:t>
            </w:r>
          </w:p>
        </w:tc>
        <w:tc>
          <w:tcPr>
            <w:tcW w:w="27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SP- 2577</w:t>
            </w:r>
          </w:p>
        </w:tc>
      </w:tr>
      <w:tr>
        <w:trPr/>
        <w:tc>
          <w:tcPr>
            <w:tcW w:w="4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Research and development costs by </w:t>
              <w:br/>
              <w:t>candidates and by categories: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Outsourced research and development costs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2,662,072 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3,832,805 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1,342,878 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4,797,053 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costs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2,157,338 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and laboratory costs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1,203,934 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2,170,682 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708,941 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Purchased in process research and development costs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research and development costs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4,129,308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8,173,496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3,044,439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7,663,332</w:t>
            </w: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General and Administrative Expense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General and administrative expenses were $5.7 million for the year ended December 31, 2023 compared to $7.1 million for the year ended December 31, 2022, the decrease is mainly driven by lower personnel costs, public company expenses and D&amp;O insurance cost. Lower general and administrative expenses will continue in 2024 resulting from significantly curtailed operations, reduced personnel costs and other cost cutting measures.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Since inception, we have incurred operating losses and we anticipate that we will continue to incur losses for the foreseeable future. We have not generated any cash inflows from product sales. We believe we have sufficient funding to satisfy anticipated operating and capital requirements into the first half of 2025.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do not know when, or if, we will generate any revenue from product sales. We do not expect to generate any revenue from product sales unless and until we obtain regulatory approval for and commercializes any of our product candidates, all of which are in early stages of development. We have curtailed expenses and plan to use our two remaining full time employees and consultants to continue our operations. We have an objective of either concluding a strategic review process resulting in a strategic transaction or financial transaction, or conducting a wind down of our operations. If we are able to complete a strategic transaction, there will be payments due to certain of our warrant holders that will reduce the amount of proceeds from such a transaction to our common stockholders.</w:t>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 xml:space="preserve">During the twelve months ended December 31, 2023, we received $1.4 million of cash from CPRIT. As of December 31, 2023, we had $5.2 million of working capital and our cash and cash equivalents totaled $5.9 million, which were held in bank and money market accounts. Our cash and cash equivalents balance decreased during the year ended December 31, 2023, primarily due to the cash used in operating activities, partially offset by capital received from financing activities. Under current reduced operating conditions, we believe that our cash and cash equivalents on hand as of December 31, 2023 is sufficient to fund our anticipated operations into the first half of 2025 . </w:t>
      </w:r>
    </w:p>
    <w:p>
      <w:pPr>
        <w:pStyle w:val="TextBody"/>
        <w:bidi w:val="0"/>
        <w:spacing w:before="0" w:after="0"/>
        <w:jc w:val="both"/>
        <w:rPr/>
      </w:pPr>
      <w:r>
        <w:rPr/>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Liquidity </w:t>
      </w:r>
    </w:p>
    <w:tbl>
      <w:tblPr>
        <w:tblW w:w="8817" w:type="dxa"/>
        <w:jc w:val="center"/>
        <w:tblInd w:w="0" w:type="dxa"/>
        <w:tblLayout w:type="fixed"/>
        <w:tblCellMar>
          <w:top w:w="28" w:type="dxa"/>
          <w:left w:w="28" w:type="dxa"/>
          <w:bottom w:w="28" w:type="dxa"/>
          <w:right w:w="28" w:type="dxa"/>
        </w:tblCellMar>
      </w:tblPr>
      <w:tblGrid>
        <w:gridCol w:w="1727"/>
        <w:gridCol w:w="1521"/>
        <w:gridCol w:w="1536"/>
        <w:gridCol w:w="135"/>
        <w:gridCol w:w="135"/>
        <w:gridCol w:w="135"/>
        <w:gridCol w:w="393"/>
        <w:gridCol w:w="393"/>
        <w:gridCol w:w="398"/>
        <w:gridCol w:w="135"/>
        <w:gridCol w:w="135"/>
        <w:gridCol w:w="135"/>
        <w:gridCol w:w="135"/>
        <w:gridCol w:w="135"/>
        <w:gridCol w:w="135"/>
        <w:gridCol w:w="135"/>
        <w:gridCol w:w="135"/>
        <w:gridCol w:w="135"/>
        <w:gridCol w:w="359"/>
        <w:gridCol w:w="359"/>
        <w:gridCol w:w="511"/>
      </w:tblGrid>
      <w:tr>
        <w:trPr/>
        <w:tc>
          <w:tcPr>
            <w:tcW w:w="1727"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2023</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2022</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(12,846,137)</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6"/>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(17,595,321)</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(1,500,000)</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6,639,612</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1,987,376</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(decrease) in cash and cash equivalents</w:t>
            </w:r>
          </w:p>
        </w:tc>
        <w:tc>
          <w:tcPr>
            <w:tcW w:w="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(6,206,525)</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6"/>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(17,107,945)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tbl>
      <w:tblPr>
        <w:tblW w:w="7656" w:type="dxa"/>
        <w:jc w:val="center"/>
        <w:tblInd w:w="0" w:type="dxa"/>
        <w:tblLayout w:type="fixed"/>
        <w:tblCellMar>
          <w:top w:w="28" w:type="dxa"/>
          <w:left w:w="28" w:type="dxa"/>
          <w:bottom w:w="28" w:type="dxa"/>
          <w:right w:w="28" w:type="dxa"/>
        </w:tblCellMar>
      </w:tblPr>
      <w:tblGrid>
        <w:gridCol w:w="1548"/>
        <w:gridCol w:w="1361"/>
        <w:gridCol w:w="1366"/>
        <w:gridCol w:w="109"/>
        <w:gridCol w:w="109"/>
        <w:gridCol w:w="109"/>
        <w:gridCol w:w="211"/>
        <w:gridCol w:w="1021"/>
        <w:gridCol w:w="109"/>
        <w:gridCol w:w="109"/>
        <w:gridCol w:w="109"/>
        <w:gridCol w:w="109"/>
        <w:gridCol w:w="211"/>
        <w:gridCol w:w="1021"/>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 Ended December 31</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proceeds from issuance of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6,920,529 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6,639,612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1,987,376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40"/>
        <w:jc w:val="left"/>
        <w:rPr>
          <w:rFonts w:ascii="Arial;sans-serif" w:hAnsi="Arial;sans-serif"/>
          <w:b/>
          <w:color w:val="000000"/>
          <w:sz w:val="20"/>
        </w:rPr>
      </w:pPr>
      <w:r>
        <w:rPr>
          <w:rFonts w:ascii="Arial;sans-serif" w:hAnsi="Arial;sans-serif"/>
          <w:b/>
          <w:color w:val="000000"/>
          <w:sz w:val="20"/>
        </w:rPr>
        <w:t>Capital Resources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expect to continue to incur additional costs associated with our limited ongoing research and development activities and our continued operation as a public company. In addition, subject to obtaining regulatory approval of any of our product candidates, we anticipate we will need substantial additional funding in connection with our continuing operations.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have no products approved for commercial sale, have not generated any revenue from product sales to date and have suffered recurring losses from operations since our inception. The lack of revenue from product sales to date and recurring losses from operations since our inception raise substantial doubt as to our ability to continue as a going concern. Until we can generate a sufficient amount of revenue from our products, if ever, we would expect to finance future cash needs through public or private equity or debt offerings. Additional capital may not be available on reasonable terms, if at all. If we are unable to enter into a strategic transaction or raise additional capital in sufficient amounts or on terms acceptable to us, we will need to pursue a dissolution and liquidation of our company. Based on our expected cash requirements, we believe that there is substantial doubt that our existing cash and cash equivalents will be sufficient to fund our operation through one year from the date of this report.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future capital requirements are difficult to forecast and will depend on many factors, including but not limited to:</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terms and timing of any strategic transaction that we may establish;</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results of the MD Anderson investigator-initiated trial of seclidemstat;</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outcome, timing and cost of regulatory approvals;</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cost and timing of hiring new consultants to support our continued operation;</w:t>
      </w:r>
    </w:p>
    <w:p>
      <w:pPr>
        <w:pStyle w:val="TextBody"/>
        <w:bidi w:val="0"/>
        <w:spacing w:lineRule="auto" w:line="288" w:before="0" w:after="160"/>
        <w:ind w:left="0" w:right="0" w:hanging="360"/>
        <w:jc w:val="both"/>
        <w:rPr/>
      </w:pPr>
      <w:r>
        <w:rPr>
          <w:color w:val="000000"/>
        </w:rPr>
        <w:t>•</w:t>
      </w:r>
      <w:r>
        <w:rPr>
          <w:rFonts w:ascii="Arial;sans-serif" w:hAnsi="Arial;sans-serif"/>
          <w:b w:val="false"/>
          <w:color w:val="000000"/>
          <w:sz w:val="20"/>
        </w:rPr>
        <w:t>the costs involved in patent filing, if any, prosecution, and enforcement; and</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the costs and timing of having clinical supplies of our product candidates manufactured.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may finance our future cash needs primarily through the issuance of additional equity and potentially through borrowing, or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commercialization efforts.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Successful development of product candidates is highly uncertain and may not result in approved products. Completion dates and completion costs can vary significantly for each product candidate and are difficult to predict. We anticipate that we will make determinations as to which programs to pursue based on our evaluation of strategic alternatives and the additional data we expect to receive from MD Anderson. Our failure to raise capital or enter into such other arrangements as and when needed would have a negative impact on our financial condition and our ability to continue our operations.</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Critical Accounting Policies and Significant Judgments and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judgments and assumptions that affect the reported amounts of assets and liabilities, disclosure of contingent assets and liabilities as of the date of the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consolidated financial statements prospectively from the date of the change in estimate.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significant accounting policies are described in Note 2 to our audited consolidated financial statements for the year ended December 31, 2023 in this Annual Report on Form 10-K. We believe that our accounting policies relating to research and development expenses, and stock-based compensation are the most critical to understanding and evaluating our reported financial results. We have identified these policies as critical because they both are important to the presentation of our financial condition and results of operations and require us to make judgments and estimates on matters that are inherently uncertain and may change in future periods. For more information regarding these policies, you should refer to Note 2 of our audited consolidated financial statements included in this Annual Report on Form 10-K. </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have not entered into any off-balance sheet arrangements and does not have any holdings in variable interest entities.</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Application of New Accounting Standards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See Note 2 – Summary of Significant Accounting Policies of the Notes to Consolidated Financial Statements for a description of recently issued accounting pronouncements, including the expected dates of adoption and estimated effects on our results of operations, financial positions and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7A. Quantitative and Qualitative Disclosures About Market Risk</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a smaller reporting company as defined by Rule 12b-2 of the Securities Exchange Act of 1934, as amended,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76" w:before="0" w:after="240"/>
        <w:jc w:val="left"/>
        <w:rPr/>
      </w:pPr>
      <w:r>
        <w:rPr>
          <w:rFonts w:ascii="Arial;sans-serif" w:hAnsi="Arial;sans-serif"/>
          <w:b/>
          <w:color w:val="000000"/>
          <w:sz w:val="20"/>
        </w:rPr>
        <w:t>Item 8.</w:t>
      </w:r>
      <w:r>
        <w:rPr>
          <w:color w:val="000000"/>
        </w:rPr>
        <w:t xml:space="preserve"> </w:t>
      </w:r>
      <w:r>
        <w:rPr>
          <w:rFonts w:ascii="Arial;sans-serif" w:hAnsi="Arial;sans-serif"/>
          <w:b/>
          <w:color w:val="000000"/>
          <w:sz w:val="18"/>
        </w:rPr>
        <w:t>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4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INDEX TO CONSOLIDATED FINANCIAL STATEMENTS</w:t>
      </w:r>
    </w:p>
    <w:tbl>
      <w:tblPr>
        <w:tblW w:w="6881" w:type="dxa"/>
        <w:jc w:val="left"/>
        <w:tblInd w:w="0" w:type="dxa"/>
        <w:tblLayout w:type="fixed"/>
        <w:tblCellMar>
          <w:top w:w="28" w:type="dxa"/>
          <w:left w:w="28" w:type="dxa"/>
          <w:bottom w:w="28" w:type="dxa"/>
          <w:right w:w="28" w:type="dxa"/>
        </w:tblCellMar>
      </w:tblPr>
      <w:tblGrid>
        <w:gridCol w:w="2360"/>
        <w:gridCol w:w="2069"/>
        <w:gridCol w:w="2080"/>
        <w:gridCol w:w="109"/>
        <w:gridCol w:w="109"/>
        <w:gridCol w:w="154"/>
      </w:tblGrid>
      <w:tr>
        <w:trPr/>
        <w:tc>
          <w:tcPr>
            <w:tcW w:w="2360"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left"/>
              <w:rPr>
                <w:rFonts w:ascii="Arial;sans-serif" w:hAnsi="Arial;sans-serif"/>
                <w:b w:val="false"/>
                <w:color w:val="0000FF"/>
                <w:sz w:val="20"/>
              </w:rPr>
            </w:pPr>
            <w:r>
              <w:rPr>
                <w:rFonts w:ascii="Arial;sans-serif" w:hAnsi="Arial;sans-serif"/>
                <w:b w:val="false"/>
                <w:color w:val="0000FF"/>
                <w:sz w:val="20"/>
              </w:rPr>
              <w:t>Report of Independent Registered Public Accounting Firm PCAOB ID (42)</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right"/>
              <w:rPr/>
            </w:pPr>
            <w:hyperlink w:anchor="iad49f35f870245a7936a54cfbba72753_58">
              <w:r>
                <w:rPr>
                  <w:rStyle w:val="InternetLink"/>
                  <w:rFonts w:ascii="Times New Roman;sans-serif" w:hAnsi="Times New Roman;sans-serif"/>
                  <w:b w:val="false"/>
                  <w:strike w:val="false"/>
                  <w:dstrike w:val="false"/>
                  <w:color w:val="0000FF"/>
                  <w:sz w:val="20"/>
                  <w:u w:val="none"/>
                  <w:effect w:val="none"/>
                </w:rPr>
                <w:t>57</w:t>
              </w:r>
            </w:hyperlink>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left"/>
              <w:rPr>
                <w:rFonts w:ascii="Arial;sans-serif" w:hAnsi="Arial;sans-serif"/>
                <w:b w:val="false"/>
                <w:color w:val="0000FF"/>
                <w:sz w:val="20"/>
              </w:rPr>
            </w:pPr>
            <w:r>
              <w:rPr>
                <w:rFonts w:ascii="Arial;sans-serif" w:hAnsi="Arial;sans-serif"/>
                <w:b w:val="false"/>
                <w:color w:val="0000FF"/>
                <w:sz w:val="20"/>
              </w:rPr>
              <w:t>Consolidated Balance Sheets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right"/>
              <w:rPr/>
            </w:pPr>
            <w:hyperlink w:anchor="iad49f35f870245a7936a54cfbba72753_64">
              <w:r>
                <w:rPr>
                  <w:rStyle w:val="InternetLink"/>
                  <w:rFonts w:ascii="Times New Roman;sans-serif" w:hAnsi="Times New Roman;sans-serif"/>
                  <w:b w:val="false"/>
                  <w:strike w:val="false"/>
                  <w:dstrike w:val="false"/>
                  <w:color w:val="0000FF"/>
                  <w:sz w:val="20"/>
                  <w:u w:val="none"/>
                  <w:effect w:val="none"/>
                </w:rPr>
                <w:t>59</w:t>
              </w:r>
            </w:hyperlink>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left"/>
              <w:rPr>
                <w:rFonts w:ascii="Arial;sans-serif" w:hAnsi="Arial;sans-serif"/>
                <w:b w:val="false"/>
                <w:color w:val="0000FF"/>
                <w:sz w:val="20"/>
              </w:rPr>
            </w:pPr>
            <w:r>
              <w:rPr>
                <w:rFonts w:ascii="Arial;sans-serif" w:hAnsi="Arial;sans-serif"/>
                <w:b w:val="false"/>
                <w:color w:val="0000FF"/>
                <w:sz w:val="20"/>
              </w:rPr>
              <w:t>Consolidated Statements of Operations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right"/>
              <w:rPr/>
            </w:pPr>
            <w:hyperlink w:anchor="iad49f35f870245a7936a54cfbba72753_67">
              <w:r>
                <w:rPr>
                  <w:rStyle w:val="InternetLink"/>
                  <w:rFonts w:ascii="Times New Roman;sans-serif" w:hAnsi="Times New Roman;sans-serif"/>
                  <w:b w:val="false"/>
                  <w:strike w:val="false"/>
                  <w:dstrike w:val="false"/>
                  <w:color w:val="0000FF"/>
                  <w:sz w:val="20"/>
                  <w:u w:val="none"/>
                  <w:effect w:val="none"/>
                </w:rPr>
                <w:t>60</w:t>
              </w:r>
            </w:hyperlink>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left"/>
              <w:rPr>
                <w:rFonts w:ascii="Arial;sans-serif" w:hAnsi="Arial;sans-serif"/>
                <w:b w:val="false"/>
                <w:color w:val="0000FF"/>
                <w:sz w:val="20"/>
              </w:rPr>
            </w:pPr>
            <w:r>
              <w:rPr>
                <w:rFonts w:ascii="Arial;sans-serif" w:hAnsi="Arial;sans-serif"/>
                <w:b w:val="false"/>
                <w:color w:val="0000FF"/>
                <w:sz w:val="20"/>
              </w:rPr>
              <w:t>Consolidated Statements of Cash Flows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right"/>
              <w:rPr/>
            </w:pPr>
            <w:hyperlink w:anchor="iad49f35f870245a7936a54cfbba72753_70">
              <w:r>
                <w:rPr>
                  <w:rStyle w:val="InternetLink"/>
                  <w:rFonts w:ascii="Times New Roman;sans-serif" w:hAnsi="Times New Roman;sans-serif"/>
                  <w:b w:val="false"/>
                  <w:strike w:val="false"/>
                  <w:dstrike w:val="false"/>
                  <w:color w:val="0000FF"/>
                  <w:sz w:val="20"/>
                  <w:u w:val="none"/>
                  <w:effect w:val="none"/>
                </w:rPr>
                <w:t>61</w:t>
              </w:r>
            </w:hyperlink>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left"/>
              <w:rPr>
                <w:rFonts w:ascii="Arial;sans-serif" w:hAnsi="Arial;sans-serif"/>
                <w:b w:val="false"/>
                <w:color w:val="0000FF"/>
                <w:sz w:val="20"/>
              </w:rPr>
            </w:pPr>
            <w:r>
              <w:rPr>
                <w:rFonts w:ascii="Arial;sans-serif" w:hAnsi="Arial;sans-serif"/>
                <w:b w:val="false"/>
                <w:color w:val="0000FF"/>
                <w:sz w:val="20"/>
              </w:rPr>
              <w:t>Consolidated Statement of Stockholders' Equity (Deficit)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right"/>
              <w:rPr/>
            </w:pPr>
            <w:hyperlink w:anchor="iad49f35f870245a7936a54cfbba72753_73">
              <w:r>
                <w:rPr>
                  <w:rStyle w:val="InternetLink"/>
                  <w:rFonts w:ascii="Times New Roman;sans-serif" w:hAnsi="Times New Roman;sans-serif"/>
                  <w:b w:val="false"/>
                  <w:strike w:val="false"/>
                  <w:dstrike w:val="false"/>
                  <w:color w:val="0000FF"/>
                  <w:sz w:val="20"/>
                  <w:u w:val="none"/>
                  <w:effect w:val="none"/>
                </w:rPr>
                <w:t>62</w:t>
              </w:r>
            </w:hyperlink>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left"/>
              <w:rPr>
                <w:rFonts w:ascii="Arial;sans-serif" w:hAnsi="Arial;sans-serif"/>
                <w:b w:val="false"/>
                <w:color w:val="0000FF"/>
                <w:sz w:val="20"/>
              </w:rPr>
            </w:pPr>
            <w:r>
              <w:rPr>
                <w:rFonts w:ascii="Arial;sans-serif" w:hAnsi="Arial;sans-serif"/>
                <w:b w:val="false"/>
                <w:color w:val="0000FF"/>
                <w:sz w:val="20"/>
              </w:rPr>
              <w:t>Notes to Consolidated Financial Statements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199" w:before="0" w:after="0"/>
              <w:jc w:val="right"/>
              <w:rPr/>
            </w:pPr>
            <w:hyperlink w:anchor="iad49f35f870245a7936a54cfbba72753_76">
              <w:r>
                <w:rPr>
                  <w:rStyle w:val="InternetLink"/>
                  <w:rFonts w:ascii="Times New Roman;sans-serif" w:hAnsi="Times New Roman;sans-serif"/>
                  <w:b w:val="false"/>
                  <w:strike w:val="false"/>
                  <w:dstrike w:val="false"/>
                  <w:color w:val="0000FF"/>
                  <w:sz w:val="20"/>
                  <w:u w:val="none"/>
                  <w:effect w:val="none"/>
                </w:rPr>
                <w:t>63</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240"/>
        <w:jc w:val="left"/>
        <w:rPr>
          <w:rFonts w:ascii="Arial;sans-serif" w:hAnsi="Arial;sans-serif"/>
          <w:b w:val="false"/>
          <w:color w:val="000000"/>
          <w:sz w:val="20"/>
        </w:rPr>
      </w:pPr>
      <w:r>
        <w:rPr>
          <w:rFonts w:ascii="Arial;sans-serif" w:hAnsi="Arial;sans-serif"/>
          <w:b w:val="false"/>
          <w:color w:val="000000"/>
          <w:sz w:val="20"/>
        </w:rPr>
        <w:t>To the Shareholders and the Board of Directors of Salarius Pharmaceuticals, Inc.</w:t>
      </w:r>
    </w:p>
    <w:p>
      <w:pPr>
        <w:pStyle w:val="TextBody"/>
        <w:bidi w:val="0"/>
        <w:spacing w:lineRule="auto" w:line="256" w:before="0" w:after="240"/>
        <w:jc w:val="left"/>
        <w:rPr>
          <w:rFonts w:ascii="Arial;sans-serif" w:hAnsi="Arial;sans-serif"/>
          <w:b/>
          <w:color w:val="000000"/>
          <w:sz w:val="20"/>
        </w:rPr>
      </w:pPr>
      <w:r>
        <w:rPr>
          <w:rFonts w:ascii="Arial;sans-serif" w:hAnsi="Arial;sans-serif"/>
          <w:b/>
          <w:color w:val="000000"/>
          <w:sz w:val="20"/>
        </w:rPr>
        <w:t>Opinion on the Financial Statements</w:t>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We have audited the accompanying consolidated balance sheets of Salarius Pharmaceuticals, Inc. (the Company) as of December 31, 2023 and 2022, the related consolidated statements of operations, stockholders’ equity (deficit)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pStyle w:val="TextBody"/>
        <w:bidi w:val="0"/>
        <w:spacing w:before="0" w:after="0"/>
        <w:jc w:val="left"/>
        <w:rPr/>
      </w:pPr>
      <w:r>
        <w:rPr/>
      </w:r>
    </w:p>
    <w:p>
      <w:pPr>
        <w:pStyle w:val="TextBody"/>
        <w:bidi w:val="0"/>
        <w:spacing w:lineRule="auto" w:line="276" w:before="0" w:after="240"/>
        <w:jc w:val="both"/>
        <w:rPr>
          <w:rFonts w:ascii="Arial;sans-serif" w:hAnsi="Arial;sans-serif"/>
          <w:b/>
          <w:color w:val="000000"/>
          <w:sz w:val="20"/>
        </w:rPr>
      </w:pPr>
      <w:r>
        <w:rPr>
          <w:rFonts w:ascii="Arial;sans-serif" w:hAnsi="Arial;sans-serif"/>
          <w:b/>
          <w:color w:val="000000"/>
          <w:sz w:val="20"/>
        </w:rPr>
        <w:t>The Company’s Ability to Continue as a Going Concern</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accompanying consolidated financial statements have been prepared assuming that the Company will continue as a going concern. As discussed in Note 1 to the consolidated financial statements, the Company has a lack of revenue from product sales and has suffered recurring losses from operations since its inception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pStyle w:val="TextBody"/>
        <w:bidi w:val="0"/>
        <w:spacing w:before="0" w:after="0"/>
        <w:jc w:val="left"/>
        <w:rPr/>
      </w:pPr>
      <w:r>
        <w:rPr/>
      </w:r>
    </w:p>
    <w:p>
      <w:pPr>
        <w:pStyle w:val="TextBody"/>
        <w:bidi w:val="0"/>
        <w:spacing w:lineRule="auto" w:line="256" w:before="0" w:after="200"/>
        <w:jc w:val="left"/>
        <w:rPr>
          <w:rFonts w:ascii="Arial;sans-serif" w:hAnsi="Arial;sans-serif"/>
          <w:b/>
          <w:color w:val="000000"/>
          <w:sz w:val="20"/>
        </w:rPr>
      </w:pPr>
      <w:r>
        <w:rPr>
          <w:rFonts w:ascii="Arial;sans-serif" w:hAnsi="Arial;sans-serif"/>
          <w:b/>
          <w:color w:val="000000"/>
          <w:sz w:val="20"/>
        </w:rPr>
        <w:t xml:space="preserve">Basis for Opinion </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76" w:before="0" w:after="240"/>
        <w:jc w:val="left"/>
        <w:rPr>
          <w:rFonts w:ascii="Arial;sans-serif" w:hAnsi="Arial;sans-serif"/>
          <w:b/>
          <w:color w:val="000000"/>
          <w:sz w:val="20"/>
        </w:rPr>
      </w:pPr>
      <w:r>
        <w:rPr>
          <w:rFonts w:ascii="Arial;sans-serif" w:hAnsi="Arial;sans-serif"/>
          <w:b/>
          <w:color w:val="000000"/>
          <w:sz w:val="20"/>
        </w:rPr>
        <w:t xml:space="preserve">Critical Audit Matter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81"/>
        <w:gridCol w:w="422"/>
        <w:gridCol w:w="424"/>
        <w:gridCol w:w="109"/>
        <w:gridCol w:w="109"/>
        <w:gridCol w:w="109"/>
        <w:gridCol w:w="2590"/>
        <w:gridCol w:w="2466"/>
        <w:gridCol w:w="3495"/>
      </w:tblGrid>
      <w:tr>
        <w:trPr/>
        <w:tc>
          <w:tcPr>
            <w:tcW w:w="4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3495"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i/>
                <w:color w:val="000000"/>
                <w:sz w:val="18"/>
              </w:rPr>
            </w:pPr>
            <w:r>
              <w:rPr>
                <w:rFonts w:ascii="Arial;sans-serif" w:hAnsi="Arial;sans-serif"/>
                <w:b/>
                <w:i/>
                <w:color w:val="000000"/>
                <w:sz w:val="18"/>
              </w:rPr>
              <w:t>Accrued Research and Development Expenses</w:t>
            </w:r>
          </w:p>
        </w:tc>
      </w:tr>
      <w:tr>
        <w:trPr/>
        <w:tc>
          <w:tcPr>
            <w:tcW w:w="1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 xml:space="preserve">During 2023, the Company recognized $7.1 million of research and development expenses and recorded accrued clinical trial expenses of $0.4 million as of December 31, 2023. As described in Note 2 to the consolidated financial statements, the Company records accruals for estimated costs of research and development activities that include contract services for clinical trials. Clinical trial activities performed by third parties are accrued and expensed based upon management’s assessment of the status of each clinical trial and the work completed per patient. </w:t>
              <w:br/>
              <w:t xml:space="preserve">Auditing the Company’s accounting for accrued third-party clinical trial research and development expenses is especially challenging because of the judgment applied by management to determine the progress or stage of completion of the activities under the Company’s research and development agreements and the cost and extent of work performed during the reporting period for services not yet billed by contracted third-party vendors. </w:t>
            </w:r>
          </w:p>
        </w:tc>
      </w:tr>
      <w:tr>
        <w:trPr/>
        <w:tc>
          <w:tcPr>
            <w:tcW w:w="1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Our audit procedures included, among others, testing the accuracy and completeness of the underlying inputs used in management’s analysis to determine costs incurred, inspecting invoices received from third parties, and clerically testing the accrual calculation. To test the significant inputs, we corroborated the patient enrollment, length of treatment, trial timeline and progress of research and development activities through discussion with the Company’s research and development personnel that oversee the research and development projects, inspected the terms and conditions of the Company’s contracts with third parties, and obtained external confirmation of key inputs to the accrual calculation, such as amounts invoiced and the number and timing of patients enrolled in clinical studies. We also reviewed subsequent disbursements for payments made to third parties after the balance sheet date to evaluate the completeness of the research and development expenses recognized.</w:t>
            </w:r>
          </w:p>
        </w:tc>
      </w:tr>
    </w:tbl>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256" w:before="0" w:after="0"/>
        <w:jc w:val="left"/>
        <w:rPr/>
      </w:pPr>
      <w:r>
        <w:rPr>
          <w:rFonts w:ascii="Arial;sans-serif" w:hAnsi="Arial;sans-serif"/>
          <w:b w:val="false"/>
          <w:color w:val="000000"/>
          <w:sz w:val="20"/>
        </w:rPr>
        <w:t>We have served as the Company’s auditor since 2019.</w:t>
      </w:r>
      <w:r>
        <w:rPr>
          <w:color w:val="000000"/>
        </w:rPr>
        <w:t xml:space="preserve"> </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 xml:space="preserve">Houston, Texas </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March 22,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19"/>
        <w:gridCol w:w="2176"/>
        <w:gridCol w:w="2150"/>
        <w:gridCol w:w="211"/>
        <w:gridCol w:w="1021"/>
        <w:gridCol w:w="109"/>
        <w:gridCol w:w="109"/>
        <w:gridCol w:w="109"/>
        <w:gridCol w:w="109"/>
        <w:gridCol w:w="211"/>
        <w:gridCol w:w="1126"/>
        <w:gridCol w:w="155"/>
      </w:tblGrid>
      <w:tr>
        <w:trPr/>
        <w:tc>
          <w:tcPr>
            <w:tcW w:w="2719"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December 31, </w:t>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7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5,899,910 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12,106,435 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Grants receivable from CPRIT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803,373 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6,519,673 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14,520,298 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6,586,523 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14,650,799 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 (deficit)</w:t>
            </w:r>
          </w:p>
        </w:tc>
        <w:tc>
          <w:tcPr>
            <w:tcW w:w="13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2,858,330 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1,407,861 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Notes payable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4,266,191 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5)</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 (deficit):</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$0.0001 par value; 10,000,000 shares authorized; none issued or outstanding</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$0.0001 par value; 100,000,000 shares authorized; 3,938,433 and 2,255,899 shares issued and outstanding at December 31, 2023 and December 31, 2022,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81,634,730 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74,189,531 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(76,347,841)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(63,805,148)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stockholders' equity </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5,287,282 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10,384,608 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6,586,523 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14,650,799 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82"/>
        <w:gridCol w:w="2023"/>
        <w:gridCol w:w="2029"/>
        <w:gridCol w:w="109"/>
        <w:gridCol w:w="109"/>
        <w:gridCol w:w="109"/>
        <w:gridCol w:w="215"/>
        <w:gridCol w:w="1205"/>
        <w:gridCol w:w="110"/>
        <w:gridCol w:w="110"/>
        <w:gridCol w:w="110"/>
        <w:gridCol w:w="110"/>
        <w:gridCol w:w="215"/>
        <w:gridCol w:w="1205"/>
        <w:gridCol w:w="164"/>
      </w:tblGrid>
      <w:tr>
        <w:trPr/>
        <w:tc>
          <w:tcPr>
            <w:tcW w:w="238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Twelve Months Ended December 31</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7,173,747 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15,836,828 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5,721,197 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7,138,403 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Loss on impairment of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8,865,909 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12,894,944 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31,841,140 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(12,894,944)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(31,841,140)</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2"/>
              </w:rPr>
            </w:pPr>
            <w:r>
              <w:rPr>
                <w:rFonts w:ascii="Calibri;sans-serif" w:hAnsi="Calibri;sans-serif"/>
                <w:b w:val="false"/>
                <w:color w:val="000000"/>
                <w:sz w:val="22"/>
              </w:rPr>
              <w:t>352,251 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218,730 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(12,542,693)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(31,607,956)</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(12,542,693)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(31,607,956)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per common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Weighted-average number of common shares outstanding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3,264,620 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2,124,511 </w:t>
            </w:r>
          </w:p>
        </w:tc>
        <w:tc>
          <w:tcPr>
            <w:tcW w:w="1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before="0" w:after="0"/>
        <w:jc w:val="center"/>
        <w:rPr/>
      </w:pPr>
      <w:r>
        <w:rPr/>
      </w:r>
    </w:p>
    <w:tbl>
      <w:tblPr>
        <w:tblW w:w="10136" w:type="dxa"/>
        <w:jc w:val="left"/>
        <w:tblInd w:w="0" w:type="dxa"/>
        <w:tblLayout w:type="fixed"/>
        <w:tblCellMar>
          <w:top w:w="28" w:type="dxa"/>
          <w:left w:w="28" w:type="dxa"/>
          <w:bottom w:w="28" w:type="dxa"/>
          <w:right w:w="28" w:type="dxa"/>
        </w:tblCellMar>
      </w:tblPr>
      <w:tblGrid>
        <w:gridCol w:w="2418"/>
        <w:gridCol w:w="2125"/>
        <w:gridCol w:w="2132"/>
        <w:gridCol w:w="216"/>
        <w:gridCol w:w="1214"/>
        <w:gridCol w:w="111"/>
        <w:gridCol w:w="111"/>
        <w:gridCol w:w="111"/>
        <w:gridCol w:w="111"/>
        <w:gridCol w:w="216"/>
        <w:gridCol w:w="1214"/>
        <w:gridCol w:w="157"/>
      </w:tblGrid>
      <w:tr>
        <w:trPr/>
        <w:tc>
          <w:tcPr>
            <w:tcW w:w="2418"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Twelve Months Ended December 31</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(12,542,693)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(31,607,956)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amortization and impairment</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Impairment of goodwill</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8,865,909 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524,838 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796,803 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 receivable writeoff</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warrant liability</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In-process research and development technology</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1,987,900 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Grants receivable</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1,480,490 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807,770 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(2,255,477)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1,312,735 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(1,001,116)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854,527 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(12,846,137)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(17,595,321)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in-process research and development technology</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equity securities</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6,920,529 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1,987,376 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note payable</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(280,917)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6,639,612 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1,987,376 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(6,206,525)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(17,107,945)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period</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12,106,435 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29,214,380 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period</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5,899,910 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12,106,435 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cash flow information:</w:t>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investing and financing activities:</w:t>
            </w:r>
          </w:p>
        </w:tc>
        <w:tc>
          <w:tcPr>
            <w:tcW w:w="15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for in-process research and development technology</w:t>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487,900 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cost for shares issued for cash</w:t>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premium financed by note payable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570,560 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 (DEFICIT)</w:t>
      </w:r>
    </w:p>
    <w:p>
      <w:pPr>
        <w:pStyle w:val="TextBody"/>
        <w:bidi w:val="0"/>
        <w:spacing w:before="0" w:after="0"/>
        <w:jc w:val="center"/>
        <w:rPr/>
      </w:pPr>
      <w:r>
        <w:rPr/>
      </w:r>
    </w:p>
    <w:tbl>
      <w:tblPr>
        <w:tblW w:w="10832" w:type="dxa"/>
        <w:jc w:val="center"/>
        <w:tblInd w:w="0" w:type="dxa"/>
        <w:tblLayout w:type="fixed"/>
        <w:tblCellMar>
          <w:top w:w="28" w:type="dxa"/>
          <w:left w:w="28" w:type="dxa"/>
          <w:bottom w:w="28" w:type="dxa"/>
          <w:right w:w="28" w:type="dxa"/>
        </w:tblCellMar>
      </w:tblPr>
      <w:tblGrid>
        <w:gridCol w:w="666"/>
        <w:gridCol w:w="334"/>
        <w:gridCol w:w="336"/>
        <w:gridCol w:w="510"/>
        <w:gridCol w:w="511"/>
        <w:gridCol w:w="251"/>
        <w:gridCol w:w="109"/>
        <w:gridCol w:w="109"/>
        <w:gridCol w:w="109"/>
        <w:gridCol w:w="109"/>
        <w:gridCol w:w="109"/>
        <w:gridCol w:w="109"/>
        <w:gridCol w:w="280"/>
        <w:gridCol w:w="280"/>
        <w:gridCol w:w="281"/>
        <w:gridCol w:w="109"/>
        <w:gridCol w:w="109"/>
        <w:gridCol w:w="109"/>
        <w:gridCol w:w="109"/>
        <w:gridCol w:w="109"/>
        <w:gridCol w:w="109"/>
        <w:gridCol w:w="771"/>
        <w:gridCol w:w="355"/>
        <w:gridCol w:w="356"/>
        <w:gridCol w:w="109"/>
        <w:gridCol w:w="109"/>
        <w:gridCol w:w="109"/>
        <w:gridCol w:w="109"/>
        <w:gridCol w:w="109"/>
        <w:gridCol w:w="109"/>
        <w:gridCol w:w="654"/>
        <w:gridCol w:w="472"/>
        <w:gridCol w:w="441"/>
        <w:gridCol w:w="109"/>
        <w:gridCol w:w="109"/>
        <w:gridCol w:w="109"/>
        <w:gridCol w:w="109"/>
        <w:gridCol w:w="109"/>
        <w:gridCol w:w="109"/>
        <w:gridCol w:w="709"/>
        <w:gridCol w:w="417"/>
        <w:gridCol w:w="592"/>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6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 (Deficit)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2021</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1,809,593</w:t>
            </w: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181</w:t>
            </w: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70,919,996</w:t>
            </w: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(32,197,192)</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38,722,985</w:t>
            </w:r>
            <w:r>
              <w:rPr>
                <w:color w:val="000000"/>
              </w:rPr>
              <w:t>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for in-process research and development technology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487,896 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487,900 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373,577 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1,984,839 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1,984,876 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27,927 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768,252 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768,255 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for services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28,548 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28,548 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(31,607,956)</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(31,607,956)</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2022</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2,255,899</w:t>
            </w: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225</w:t>
            </w: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74,189,531</w:t>
            </w:r>
            <w:r>
              <w:rPr>
                <w:color w:val="000000"/>
              </w:rPr>
              <w:t>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(63,805,148)</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10,384,608</w:t>
            </w:r>
            <w:r>
              <w:rPr>
                <w:color w:val="000000"/>
              </w:rPr>
              <w:t> </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securities,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1,612,635 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6,920,368 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6,920,529 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69,899 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524,831 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524,838 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(12,542,693)</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(12,542,693)</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2023</w:t>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3,938,433</w:t>
            </w: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w:t>
            </w:r>
            <w:r>
              <w:rPr>
                <w:color w:val="000000"/>
              </w:rPr>
              <w:t>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81,634,730</w:t>
            </w:r>
            <w:r>
              <w:rPr>
                <w:color w:val="000000"/>
              </w:rPr>
              <w:t>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(76,347,841)</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5,287,282</w:t>
            </w:r>
            <w:r>
              <w:rPr>
                <w:color w:val="000000"/>
              </w:rPr>
              <w:t> </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SALARIUS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1. ORGANIZATION AND OPERATIONS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Nature of Business</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Salarius Pharmaceuticals, Inc. (“Salarius” or the “Company”), together with its subsidiaries, Salarius Pharmaceuticals, LLC, Flex Innovation Group LLC, and TK Pharma, Inc., is a clinical-stage biopharmaceutical company focused on developing effective treatments for cancers with high, unmet medical need. Specifically, the Company is focused on treatments for cancers caused by dysregulated gene expression, i.e., genes that are incorrectly turned on or off. The Company is focused on two classes of drugs that address gene dysregulation: targeted protein inhibitors and targeted protein degraders. The Company's technologies have the potential to work in both liquid and solid tumors. The Company's current pipeline consists of two small molecule drugs: 1) SP-3164, a targeted protein degrader, and 2) seclidemstat (SP-2577), a targeted protein inhibitor. The Company is located in Houston, Texas.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Going Concern </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 xml:space="preserve">Salarius has no products approved for commercial sale, has not generated any revenue from product sales to date and has suffered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Salarius will require substantial additional capital to fund its research and development expenses related to its pipeline including SP-3164 and seclidemstat. Based on Salarius’ expected cash requirements, Salarius believes that there is substantial doubt that its existing cash and cash equivalents, will be sufficient to fund its operations through one year from the financial statements' issuance date. The Company may attempt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 </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Although the Company is currently exploring various strategic alternatives, these strategic alternatives may not be successful in the next several months prior to its cash position getting to the point that it will need to pursue the winding down and dissolution of the Company. If the Company does not raise capital or successfully engage a strategic partner before the first half of 2025, it will be forced to cease operations, liquidate assets and possibly seek bankruptcy protection or engage in a similar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2. BASIS OF PRESENTATION AND SIGNIFICANT ACCOUNTING POLICIES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accompanying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considered its going concern disclosure requirements in accordance with ASC 205-40-50.The Company has performed an analysis and concluded substantial doubt exists with respect to the Company being able to continue as a going concern through one year from the date of issuance of the consolidated financial statements for the year ended December 31, 2023.</w:t>
      </w:r>
    </w:p>
    <w:p>
      <w:pPr>
        <w:pStyle w:val="TextBody"/>
        <w:bidi w:val="0"/>
        <w:spacing w:before="0" w:after="0"/>
        <w:jc w:val="both"/>
        <w:rPr/>
      </w:pPr>
      <w:r>
        <w:rPr/>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Principles of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consolidated financial statements include the accounts of the Company and its wholly owned subsidiaries. All significant intercompany balances and transactions have been eliminated in consolidation.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Cash and Cash Equivalents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Salarius considers all highly-liquid investments with original maturities of three months or less to be cash equivalents.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Impairment of Long-Lived Assets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There were no impairment charges related to long-lived assets during the twelve months ended December 31, 2023 and 2022.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Goodwill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Goodwill is not amortized, but is tested at least annually for impairment at the reporting unit level. The Company has determined that the reporting unit is the single operating segment disclosed in its current financial statements. Additional impairment assessments may be performed on an interim basis if the Company encounters events or changes in circumstances that would indicate that, more likely than not, the carrying value of goodwill has been impaired.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Impairment is the condition that exists when the carrying amount of goodwill exceeds its implied fair value. The Company utilizes the option to perform a qualitative assessment for its reporting unit and if the Company concludes it is more likely than not that the fair value of the reporting unit is less than its carrying amount, then the Company utilizes the two-step quantitative assessment. The Company’s qualitative assessment is sensitive to assumptions related to potential adverse events and circumstances, including current market trends in control premiums and involves judgement in determining comparable peer companies to include in the control premium evaluation. The Company recorded a goodwill impairment loss of $8.9 million during the twelve months ended December 31, 2022. There was no goodwill balance as of December 31, 2023 and 2022.</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Financial Instruments and Credit Risks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(“FDIC”). Although the balances in these accounts exceed the federally insured limit from time to time, the Company has not incurred losses related to these deposits.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Warrants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determines whether warrants should be classified as a liability or equity. For warrants classified as liabilities, the Company estimates the fair value of the warrants at each reporting period using Level 3 inputs with changes in fair value recorded in the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Clinical Trial Accruals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Grants Receivable and Revenue Recognition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 The Company records revenue and a corresponding grants receivable when qualifying costs are incurred before the grants are received. The Company's CPRIT grant expired during 2023 and no additional amounts are expected to be recognized or received.</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Research and Development Costs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Costs incurred in obtaining IPRD that has no alternative future use are charged to research and development expense as acquired, and presented as investing activity cash outflows on the Statement of Cash Flow.</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Equity-Based Compensation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Salarius measures equity-based compensation based on the grant date fair value of the awards and recognizes the associated expense in the financial statements over the requisite service period of the award, which is generally the vesting period.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 uses the Black-Scholes option valuation model to estimate the fair value of the stock-based compensation and incentive units. Assumptions utilized in these models include expected volatility calculated based on implied volatility from traded stocks of peer companies, dividend yield and risk-free interest rate. Additionally, forfeitures are accounted for in compensation cost as they occur.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Loss Per Share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number of anti-dilutive shares, consisting of common shares underlying (i) common stock options, (ii) stock purchase warrants, (iii) unvested restricted stock and (iv) rights entitling holders to receive warrants to purchase the Company's common shares, which have been excluded from the computation of diluted loss per share, was 10,935,139 and 704,640 shares as of December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0" w:after="240"/>
        <w:jc w:val="both"/>
        <w:rPr/>
      </w:pPr>
      <w:r>
        <w:rPr>
          <w:rFonts w:ascii="Arial;sans-serif" w:hAnsi="Arial;sans-serif"/>
          <w:b w:val="false"/>
          <w:color w:val="000000"/>
          <w:sz w:val="20"/>
        </w:rPr>
        <w:t xml:space="preserve">Income taxes are recorded in accordance with FASB ASC Topic 740,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2023 and 2022,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pStyle w:val="TextBody"/>
        <w:bidi w:val="0"/>
        <w:spacing w:lineRule="auto" w:line="288" w:before="0" w:after="240"/>
        <w:jc w:val="left"/>
        <w:rPr/>
      </w:pPr>
      <w:r>
        <w:rPr>
          <w:rFonts w:ascii="Arial;sans-serif" w:hAnsi="Arial;sans-serif"/>
          <w:b/>
          <w:color w:val="000000"/>
          <w:sz w:val="20"/>
        </w:rPr>
        <w:t>Pronouncements Not Yet Adopted</w:t>
      </w:r>
      <w:r>
        <w:rPr>
          <w:color w:val="000000"/>
        </w:rPr>
        <w:t xml:space="preserve"> </w:t>
      </w:r>
    </w:p>
    <w:p>
      <w:pPr>
        <w:pStyle w:val="TextBody"/>
        <w:bidi w:val="0"/>
        <w:spacing w:lineRule="auto" w:line="288" w:before="0" w:after="0"/>
        <w:jc w:val="both"/>
        <w:rPr/>
      </w:pPr>
      <w:r>
        <w:rPr>
          <w:rFonts w:ascii="Arial;sans-serif" w:hAnsi="Arial;sans-serif"/>
          <w:b w:val="false"/>
          <w:color w:val="000000"/>
          <w:sz w:val="20"/>
        </w:rPr>
        <w:t>In December 2023, the Financial Accounting Standards Board (FASB) issued Accounting Standards Update (ASU) No. 2023-09,</w:t>
      </w:r>
      <w:r>
        <w:rPr>
          <w:color w:val="000000"/>
        </w:rPr>
        <w:t xml:space="preserve"> </w:t>
      </w:r>
      <w:r>
        <w:rPr>
          <w:rFonts w:ascii="Arial;sans-serif" w:hAnsi="Arial;sans-serif"/>
          <w:b w:val="false"/>
          <w:i/>
          <w:color w:val="000000"/>
          <w:sz w:val="20"/>
        </w:rPr>
        <w:t>Income Taxes (Topic 740): Improvements to Income Tax Disclosures</w:t>
      </w:r>
      <w:r>
        <w:rPr>
          <w:rFonts w:ascii="Arial;sans-serif" w:hAnsi="Arial;sans-serif"/>
          <w:b w:val="false"/>
          <w:color w:val="000000"/>
          <w:sz w:val="20"/>
        </w:rPr>
        <w:t xml:space="preserve">, which is intended to improve the transparency of income tax disclosures by requiring consistent categories and greater disaggregation of information in the effective tax rate reconciliation and income taxes paid by jurisdiction. The ASU is effective for public business entities for annual periods beginning after December 15, 2024, with early adoption permitted. The Company is currently evaluating the impact of adopting this guidance on its consolidated financial statements.  </w:t>
      </w:r>
    </w:p>
    <w:p>
      <w:pPr>
        <w:pStyle w:val="TextBody"/>
        <w:bidi w:val="0"/>
        <w:spacing w:before="0" w:after="0"/>
        <w:jc w:val="both"/>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Recently Adopted Accounting Standard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June 2016, the FASB issued ASU No. 2016-13, Financial Instruments - Credit Losses (Topic 326): Measurement of Credit Losses on Financial Instruments, which requires the measurement of all expected credit losses for financial assets including trade receivables held at the reporting date based on historical experience, current conditions, and reasonable and supportable forecasts. Subsequent to the issuance of ASU 2016-13, the FASB issued ASU 2018-19, Codification Improvements to Topic 326, Financial Instruments - Credit Losses. This ASU does not change the core principle of the guidance in ASU 2016-13, instead these amendments are intended to clarify and improve operability of certain topics included within the credit losses guidance. The FASB also subsequently issued ASU No. 2019-04, Codification Improvements to Topic 326, Financial Instruments - Credit Losses, Derivatives and Hedging (Topic 815), and Financial Instruments (Topic 825), which did not change the core principle of the guidance in ASU 2016-13, but clarified that expected recoveries of amounts previously written off and expected to be written off should be included in the valuation account and should not exceed amounts previously written off and expected to be written off. The guidance is effective for fiscal years, and interim periods within those years, beginning after December 15, 2019 for public business entities, excluding smaller reporting companies. Early adoption is permitted. As a smaller reporting company, the guidance was effective for the Company on January 1, 2023. The adoption of this standard did not have a material impact to this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3. GRANTS RECEIVABLE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Grants receivable represents qualifying costs incurred where there is reasonable assurance that conditions of the grant have been met but the corresponding funds have not been received as of the reporting date. Grants receivable balances were $0 as of December 31, 2023 and $1.6 million at December 31, 2022, respectively. The Company received $1.5 million from the Cancer Prevention and Research Institute of Texas on February 15, 2023. </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4. PREPAID EXPENSES AND OTHER CURRENT ASSETS</w:t>
      </w:r>
    </w:p>
    <w:p>
      <w:pPr>
        <w:pStyle w:val="TextBody"/>
        <w:bidi w:val="0"/>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 xml:space="preserve">Prepaid expenses and other current assets at December 31, 2023 and 2022 consisted of the following: </w:t>
      </w:r>
    </w:p>
    <w:tbl>
      <w:tblPr>
        <w:tblW w:w="7043" w:type="dxa"/>
        <w:jc w:val="left"/>
        <w:tblInd w:w="0" w:type="dxa"/>
        <w:tblLayout w:type="fixed"/>
        <w:tblCellMar>
          <w:top w:w="28" w:type="dxa"/>
          <w:left w:w="28" w:type="dxa"/>
          <w:bottom w:w="28" w:type="dxa"/>
          <w:right w:w="28" w:type="dxa"/>
        </w:tblCellMar>
      </w:tblPr>
      <w:tblGrid>
        <w:gridCol w:w="1565"/>
        <w:gridCol w:w="1374"/>
        <w:gridCol w:w="1380"/>
        <w:gridCol w:w="211"/>
        <w:gridCol w:w="856"/>
        <w:gridCol w:w="109"/>
        <w:gridCol w:w="109"/>
        <w:gridCol w:w="109"/>
        <w:gridCol w:w="109"/>
        <w:gridCol w:w="211"/>
        <w:gridCol w:w="856"/>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December 31,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clinical trial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insurance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prepaid and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619,763 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803,373 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 xml:space="preserve">Prepaid insurance is mainly comprised of prepaid directors' and officers' insurance. In July 2023, the Company financed its directors and officers' insurance premium with a short term note the principal amount of which is approximately $0.6 million bearing interest at a rate of 7.87%. The note payable balance, which was included within Current Liabilities on the Consolidated Balance Sheet was $ 0.3 million as of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5. COMMITMENTS AND CONTINGENCIES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Cancer Prevention and Research Institute of Texas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June 2016, the Company entered into a Cancer Research Grant Contract with CPRIT. Pursuant to the contract, CPRIT awarded the Company a grant up to $18.7 million, further modified to $16.1 million to fund development of LSD 1 inhibitor. The grant expired during 2023.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is obligated to make revenue-sharing payments to CPRIT with respect to net sales of any product covered by the contract, up to a maximum repayment of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License Agreement with the University of Utah Research Foundation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2011, the Company entered into a license agreement with the University of Utah, under which, the Company acquired license to LSD 1. In exchange for the license, the Company issued 2% equity ownership in the Company based on a fully diluted basis at the effective date of the agreement and subject to certain adjustments specified in the agreement, granted revenue sharing rights on any resulting products or processes to commence on first commercial sale, and milestone payments based upon regulatory approval of any resulting product or process as well as on the second anniversary of first commercial sale.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Lease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Company presently leases office space under operating lease agreements on a month to month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6. FAIR VALUE OF FINANCIAL INSTRUMENTS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Level 1-Unadjusted quoted prices in active markets for identical assets or liabilities.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Level 2-Inputs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Level 3-Significant unobservable inputs including Salarius’ own assumptions in determining fair value.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believes the recorded values of its financial instruments, including cash and cash equivalents, accounts payable and note payable approximate their fair values due to the short-term nature of these instruments.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Arial;sans-serif" w:hAnsi="Arial;sans-serif"/>
          <w:b/>
          <w:color w:val="000000"/>
          <w:sz w:val="20"/>
        </w:rPr>
        <w:t xml:space="preserve">7. </w:t>
      </w:r>
      <w:r>
        <w:rPr>
          <w:rFonts w:ascii="Arial;sans-serif" w:hAnsi="Arial;sans-serif"/>
          <w:b/>
          <w:color w:val="000000"/>
          <w:sz w:val="20"/>
          <w:shd w:fill="FFFFFF" w:val="clear"/>
        </w:rPr>
        <w:t>STOCKHOLDERS' EQUITY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October 14, 2022, the Company filed a Certificate of Amendment to the Company’s restated certificate of incorporation with the Secretary of State of the State of Delaware to effect a 1-for-25 reverse stock split of the Company’s issued and outstanding shares of common stock, par value $0.0001 per share (the “Reverse Stock Split”), which became effective on October 14, 2022. All historical share and per share amounts reflected throughout this report have been adjusted to reflect the Reverse Stock Split.</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Common Stock Issuances</w:t>
      </w:r>
    </w:p>
    <w:p>
      <w:pPr>
        <w:pStyle w:val="TextBody"/>
        <w:bidi w:val="0"/>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On February 5, 2021, the Company entered into an At the Market Offering Agreement ("ATM") with Ladenburg Thalmann &amp; Co. Inc. Under this agreement the Company is able to issue and sell, from time to time, shares of its common stock. On February 5, 2021 and July 2, 2021, the Company filed prospectus supplements with the SEC to register the offering and sale of Common Stock having an aggregate offering price of up to $6.3 million and $25.0 million, respectively. During the twelve months ended December 31, 2023, the Company sold 696,271 shares of common stock under the At the Market Offering Agreement with gross proceeds of $1.7 million.</w:t>
      </w:r>
    </w:p>
    <w:p>
      <w:pPr>
        <w:pStyle w:val="TextBody"/>
        <w:bidi w:val="0"/>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 xml:space="preserve">On May 11, 2023, the Company entered into a Securities Purchase Agreement (the “Purchase Agreement”) with an accredited investor (the “Investor”), pursuant to which the Company agreed to issue and sell to the Investor in a private placement (the “Offering”) (i) 330,000 shares (the “Shares”) of the Company’s common stock, par value $0.0001 per share (the “Common Stock”), (ii) pre-funded warrants (the “Pre-Funded Warrants”) to purchase up to 3,306,364 shares of Common Stock, (iii) Series A-1 warrants (the “Series A-1 Warrants”) to purchase up to 3,636,364 shares of Common Stock and (iv) Series A-2 warrants (the “Series A-2 Warrants”) and together with the Series A-1 Warrants, the “Common Stock Warrants,” and together with the Pre-Funded Warrants, the “Warrants”) to purchase up to 3,636,364 shares of Common Stock, at a purchase price of (a) $1.65 per Share and accompanying Common Stock Warrants and (b) $1.6499 per Pre-Funded Warrant and accompanying Common Stock Warrants. The aggregate gross proceeds from the Offering were approximately $6.0 million, exclusive of placement agent fees and expenses and other offering expenses. The Offering closed on May 16, 2023. </w:t>
      </w:r>
    </w:p>
    <w:p>
      <w:pPr>
        <w:pStyle w:val="TextBody"/>
        <w:bidi w:val="0"/>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 xml:space="preserve">During the twelve months ended December 31, 2023, the Company issued 586,364 shares of its Common Stock upon the exercise of Pre-Funded Warrants.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 xml:space="preserve">On January 12, 2022, the Company issued 40,000 shares of the Company's common stock, valued at $0.5 million to purchase in-process research and development technology SP-3164. </w:t>
      </w:r>
    </w:p>
    <w:p>
      <w:pPr>
        <w:pStyle w:val="TextBody"/>
        <w:bidi w:val="0"/>
        <w:spacing w:lineRule="auto" w:line="288" w:before="160" w:after="240"/>
        <w:jc w:val="both"/>
        <w:rPr>
          <w:rFonts w:ascii="Arial;sans-serif" w:hAnsi="Arial;sans-serif"/>
          <w:b w:val="false"/>
          <w:color w:val="000000"/>
          <w:sz w:val="20"/>
        </w:rPr>
      </w:pPr>
      <w:r>
        <w:rPr>
          <w:rFonts w:ascii="Arial;sans-serif" w:hAnsi="Arial;sans-serif"/>
          <w:b w:val="false"/>
          <w:color w:val="000000"/>
          <w:sz w:val="20"/>
        </w:rPr>
        <w:t xml:space="preserve">On April 22, 2022, the Company entered into a securities purchase agreement with certain institutional and accredited investors for the sale by the Company of approximately 373,577 shares of the Company’s common stock, par value $0.0001 per share (the “Common Stock”) at a purchase price of $6.25 per share. Concurrently, the Company also sold unregistered warrants exercisable for an aggregate of approximately 280,183 shares of Common Stock, which represents 75% of the shares of Common Stock sold, with an exercise price of $ 8.4975 per share. The transaction closed on April 26, 2022 with gross proceeds of $2.3 million before deducting certain fees due to the placement agent and other estimated transaction expenses.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Warrants Exercised for Cash</w:t>
      </w:r>
    </w:p>
    <w:p>
      <w:pPr>
        <w:pStyle w:val="TextBody"/>
        <w:bidi w:val="0"/>
        <w:spacing w:before="0" w:after="0"/>
        <w:jc w:val="both"/>
        <w:rPr/>
      </w:pPr>
      <w:r>
        <w:rPr/>
      </w:r>
    </w:p>
    <w:p>
      <w:pPr>
        <w:pStyle w:val="TextBody"/>
        <w:bidi w:val="0"/>
        <w:spacing w:lineRule="auto" w:line="288" w:before="0" w:after="240"/>
        <w:jc w:val="both"/>
        <w:rPr/>
      </w:pPr>
      <w:r>
        <w:rPr>
          <w:rFonts w:ascii="Arial;sans-serif" w:hAnsi="Arial;sans-serif"/>
          <w:b w:val="false"/>
          <w:color w:val="000000"/>
          <w:sz w:val="20"/>
          <w:shd w:fill="FFFFFF" w:val="clear"/>
        </w:rPr>
        <w:t xml:space="preserve">The Company has five-year warrants outstanding that were issued in February 2020 and subsequently modified in December 2020 in connection with the issuance of additional inducement warrants. The warrants are exercisable at a price per share of $28.75. The inducement warrants expire on June 11, 2026, and are exercisable at a price per share of $29.55. The Company has </w:t>
      </w:r>
      <w:r>
        <w:rPr>
          <w:rFonts w:ascii="Arial;sans-serif" w:hAnsi="Arial;sans-serif"/>
          <w:b w:val="false"/>
          <w:color w:val="000000"/>
          <w:sz w:val="20"/>
        </w:rPr>
        <w:t>280,183</w:t>
      </w:r>
      <w:r>
        <w:rPr>
          <w:color w:val="000000"/>
          <w:shd w:fill="FFFFFF" w:val="clear"/>
        </w:rPr>
        <w:t xml:space="preserve"> </w:t>
      </w:r>
      <w:r>
        <w:rPr>
          <w:rFonts w:ascii="Arial;sans-serif" w:hAnsi="Arial;sans-serif"/>
          <w:b w:val="false"/>
          <w:color w:val="000000"/>
          <w:sz w:val="20"/>
          <w:shd w:fill="FFFFFF" w:val="clear"/>
        </w:rPr>
        <w:t>warrants outstanding that were issued in April 2022, with an exercise price of $8.4975 per share. The warrants were exercisable six months following the issuance date and will expire five and one-half years from the issuance date. During the twelve months ended December 31, 2023 and 2022, no warrants were exercised.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May 2023, the Company issued Series A-1 Warrants that are exercisable for a period of five and one-half (5.5) years from the issuance date at an exercise price of $1.40 per share. Series A-2 Warrants are exercisable for a period of eighteen (18) months from the issuance date at an exercise price of $1.40 per share. Each Pre-Funded Warrant was sold in lieu of shares of Common Stock, are exercisable immediately upon issuance, have an exercise price of $0.0001 per share and expire when exercised in full. During the twelve months ended December 31, 2023, no Series A-1 or A-2 warrants were exercised.</w:t>
      </w:r>
    </w:p>
    <w:p>
      <w:pPr>
        <w:pStyle w:val="TextBody"/>
        <w:bidi w:val="0"/>
        <w:spacing w:lineRule="auto" w:line="288" w:before="0" w:after="240"/>
        <w:jc w:val="both"/>
        <w:rPr/>
      </w:pPr>
      <w:r>
        <w:rPr>
          <w:rFonts w:ascii="Arial;sans-serif" w:hAnsi="Arial;sans-serif"/>
          <w:b w:val="false"/>
          <w:color w:val="000000"/>
          <w:sz w:val="20"/>
          <w:shd w:fill="FFFFFF" w:val="clear"/>
        </w:rPr>
        <w:t xml:space="preserve">In connection with the above mentioned Offering, the Company issued warrants to its exclusive placement agency </w:t>
      </w:r>
      <w:r>
        <w:rPr>
          <w:rFonts w:ascii="Arial;sans-serif" w:hAnsi="Arial;sans-serif"/>
          <w:b w:val="false"/>
          <w:color w:val="000000"/>
          <w:sz w:val="20"/>
        </w:rPr>
        <w:t>H.C Wainwright &amp; Co., LLC to purchase up to 254,454 shares of common stock at an exercise price per share of $2.0625 and a term of five and one-half (5.5) years. During the twelve months ended December 31, 2023, no warrants were exercised.</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As of December 31, 2023 and 2022, approximately 10,844,785 (2,720,000 are Pre-Funded Warrants) and 597,512 warrants remain outstanding, respectively.</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 terms of the outstanding warrants require the Company, upon the consummation of any fundamental transaction to, among other obligations, cause any successor entity resulting from the fundamental transaction to assume the Company's obligations under the warrants and the associated transaction documents. In addition, holders of warrants are entitled to participate in any fundamental transaction on an as-converted or as-exercised basis, which could result in the holders of the Company's common stock receiving a lesser portion of the consideration from a fundamental transaction. The terms of the warrants could also impede the Company's ability to enter into certain transactions or obtain additional financing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40"/>
        <w:jc w:val="left"/>
        <w:rPr>
          <w:rFonts w:ascii="Arial;sans-serif" w:hAnsi="Arial;sans-serif"/>
          <w:b/>
          <w:color w:val="000000"/>
          <w:sz w:val="20"/>
        </w:rPr>
      </w:pPr>
      <w:r>
        <w:rPr>
          <w:rFonts w:ascii="Arial;sans-serif" w:hAnsi="Arial;sans-serif"/>
          <w:b/>
          <w:color w:val="000000"/>
          <w:sz w:val="20"/>
        </w:rPr>
        <w:t xml:space="preserve">8. EQUITY-BASED COMPENSATION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Equity Incentive Plans</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December 31, 2023 and 2022, there were 84,339 and 47,228 shares, respectively, remaining available for the grant of stock option under the 2015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During the twelve months ended December 31, 2023 and 2022, the Company awarded 0 and 51,360, respectively, stock options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of $0.5 million has been estimated with the following assumptions for the year ended December 31, 2022:</w:t>
      </w:r>
    </w:p>
    <w:tbl>
      <w:tblPr>
        <w:tblW w:w="4048" w:type="dxa"/>
        <w:jc w:val="center"/>
        <w:tblInd w:w="0" w:type="dxa"/>
        <w:tblLayout w:type="fixed"/>
        <w:tblCellMar>
          <w:top w:w="28" w:type="dxa"/>
          <w:left w:w="28" w:type="dxa"/>
          <w:bottom w:w="28" w:type="dxa"/>
          <w:right w:w="28" w:type="dxa"/>
        </w:tblCellMar>
      </w:tblPr>
      <w:tblGrid>
        <w:gridCol w:w="792"/>
        <w:gridCol w:w="697"/>
        <w:gridCol w:w="700"/>
        <w:gridCol w:w="366"/>
        <w:gridCol w:w="366"/>
        <w:gridCol w:w="1127"/>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1.62%-1.70%</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125.19% - 126.42%</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life (years)</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5 -6 years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11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160" w:after="240"/>
        <w:jc w:val="left"/>
        <w:rPr/>
      </w:pPr>
      <w:r>
        <w:rPr/>
      </w:r>
    </w:p>
    <w:p>
      <w:pPr>
        <w:pStyle w:val="TextBody"/>
        <w:bidi w:val="0"/>
        <w:spacing w:lineRule="auto" w:line="288" w:before="160" w:after="240"/>
        <w:jc w:val="left"/>
        <w:rPr>
          <w:rFonts w:ascii="Arial;sans-serif" w:hAnsi="Arial;sans-serif"/>
          <w:b w:val="false"/>
          <w:color w:val="000000"/>
          <w:sz w:val="20"/>
        </w:rPr>
      </w:pPr>
      <w:r>
        <w:rPr>
          <w:rFonts w:ascii="Arial;sans-serif" w:hAnsi="Arial;sans-serif"/>
          <w:b w:val="false"/>
          <w:color w:val="000000"/>
          <w:sz w:val="20"/>
        </w:rPr>
        <w:t xml:space="preserve">The following table summarizes stock option activity for employees and non-employees for the twelve months ended December 31, 2023 and 2022: </w:t>
      </w:r>
    </w:p>
    <w:tbl>
      <w:tblPr>
        <w:tblW w:w="8989" w:type="dxa"/>
        <w:jc w:val="left"/>
        <w:tblInd w:w="0" w:type="dxa"/>
        <w:tblLayout w:type="fixed"/>
        <w:tblCellMar>
          <w:top w:w="28" w:type="dxa"/>
          <w:left w:w="28" w:type="dxa"/>
          <w:bottom w:w="28" w:type="dxa"/>
          <w:right w:w="28" w:type="dxa"/>
        </w:tblCellMar>
      </w:tblPr>
      <w:tblGrid>
        <w:gridCol w:w="1190"/>
        <w:gridCol w:w="1044"/>
        <w:gridCol w:w="1050"/>
        <w:gridCol w:w="427"/>
        <w:gridCol w:w="429"/>
        <w:gridCol w:w="251"/>
        <w:gridCol w:w="109"/>
        <w:gridCol w:w="109"/>
        <w:gridCol w:w="109"/>
        <w:gridCol w:w="390"/>
        <w:gridCol w:w="1194"/>
        <w:gridCol w:w="202"/>
        <w:gridCol w:w="109"/>
        <w:gridCol w:w="109"/>
        <w:gridCol w:w="109"/>
        <w:gridCol w:w="595"/>
        <w:gridCol w:w="595"/>
        <w:gridCol w:w="596"/>
        <w:gridCol w:w="109"/>
        <w:gridCol w:w="109"/>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w:t>
              <w:br/>
              <w:t>Remaining</w:t>
              <w:br/>
              <w:t>Contractual</w:t>
              <w:br/>
              <w:t>Term (in years)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December 31, 2021</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63,919 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December 31, 2022</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107,128 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Exercisable at December 31, 2022</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(17,824)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December 31, 2023</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89,304 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Exercisable at December 31, 2023</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67,585 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of December 31, 2023 and 2022, there was approximately $0.3 million and $0.8 million of total unrecognized compensation cost, respectively, related to unvested stock options. Total unrecognized compensation cost will be adjusted for future changes in employee and non-employee forfeitures, if any. The Company expects to recognize that cost over a remaining weighted-average period of 1.11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9. INCOME TAX</w:t>
      </w:r>
    </w:p>
    <w:p>
      <w:pPr>
        <w:pStyle w:val="TextBody"/>
        <w:bidi w:val="0"/>
        <w:spacing w:lineRule="auto" w:line="256" w:before="240" w:after="283"/>
        <w:jc w:val="both"/>
        <w:rPr>
          <w:rFonts w:ascii="Arial;sans-serif" w:hAnsi="Arial;sans-serif"/>
          <w:b w:val="false"/>
          <w:color w:val="000000"/>
          <w:sz w:val="20"/>
        </w:rPr>
      </w:pPr>
      <w:r>
        <w:rPr>
          <w:rFonts w:ascii="Arial;sans-serif" w:hAnsi="Arial;sans-serif"/>
          <w:b w:val="false"/>
          <w:color w:val="000000"/>
          <w:sz w:val="20"/>
        </w:rPr>
        <w:t>The Company has no current or deferred tax expense due to its current year loss and its overall net operating loss position. A reconciliation of the federal statutory tax rate and the effective tax rates for the year ended December 31, 2023 and 2022 is as follows:    </w:t>
      </w:r>
    </w:p>
    <w:tbl>
      <w:tblPr>
        <w:tblW w:w="4620" w:type="dxa"/>
        <w:jc w:val="center"/>
        <w:tblInd w:w="0" w:type="dxa"/>
        <w:tblLayout w:type="fixed"/>
        <w:tblCellMar>
          <w:top w:w="28" w:type="dxa"/>
          <w:left w:w="28" w:type="dxa"/>
          <w:bottom w:w="28" w:type="dxa"/>
          <w:right w:w="28" w:type="dxa"/>
        </w:tblCellMar>
      </w:tblPr>
      <w:tblGrid>
        <w:gridCol w:w="1016"/>
        <w:gridCol w:w="892"/>
        <w:gridCol w:w="897"/>
        <w:gridCol w:w="295"/>
        <w:gridCol w:w="295"/>
        <w:gridCol w:w="295"/>
        <w:gridCol w:w="270"/>
        <w:gridCol w:w="270"/>
        <w:gridCol w:w="390"/>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 Tax at Statutory Rate</w:t>
            </w:r>
          </w:p>
        </w:tc>
        <w:tc>
          <w:tcPr>
            <w:tcW w:w="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21.00%</w:t>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21.00%</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Permanent</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(0.89)%</w:t>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(6.25)%</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Valuation Allowance</w:t>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(22.77)%</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(21.73)%</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True Ups</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(0.06)%</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R&amp;D Credit</w:t>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2.66%</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7.04%</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88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93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r>
    </w:tbl>
    <w:p>
      <w:pPr>
        <w:pStyle w:val="TextBody"/>
        <w:bidi w:val="0"/>
        <w:spacing w:lineRule="auto" w:line="256" w:before="240" w:after="283"/>
        <w:jc w:val="left"/>
        <w:rPr>
          <w:rFonts w:ascii="Arial;sans-serif" w:hAnsi="Arial;sans-serif"/>
          <w:b w:val="false"/>
          <w:color w:val="000000"/>
          <w:sz w:val="20"/>
        </w:rPr>
      </w:pPr>
      <w:r>
        <w:rPr>
          <w:rFonts w:ascii="Arial;sans-serif" w:hAnsi="Arial;sans-serif"/>
          <w:b w:val="false"/>
          <w:color w:val="000000"/>
          <w:sz w:val="20"/>
        </w:rPr>
        <w:t>The tax effects of temporary differences that give rise to significant portions of the deferred tax assets were as follows:</w:t>
      </w:r>
    </w:p>
    <w:tbl>
      <w:tblPr>
        <w:tblW w:w="5981" w:type="dxa"/>
        <w:jc w:val="center"/>
        <w:tblInd w:w="0" w:type="dxa"/>
        <w:tblLayout w:type="fixed"/>
        <w:tblCellMar>
          <w:top w:w="28" w:type="dxa"/>
          <w:left w:w="28" w:type="dxa"/>
          <w:bottom w:w="28" w:type="dxa"/>
          <w:right w:w="28" w:type="dxa"/>
        </w:tblCellMar>
      </w:tblPr>
      <w:tblGrid>
        <w:gridCol w:w="1177"/>
        <w:gridCol w:w="1035"/>
        <w:gridCol w:w="1042"/>
        <w:gridCol w:w="211"/>
        <w:gridCol w:w="1021"/>
        <w:gridCol w:w="109"/>
        <w:gridCol w:w="211"/>
        <w:gridCol w:w="1021"/>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R&amp;D Expenses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5,610,221 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5,199,721 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Deferred Items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484,205 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Loss - US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3,919,323 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R&amp;D Credits</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3,627,377 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3,293,572 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deferred tax assets </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15,898,899 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13,042,756 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Valuation Allowance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(15,898,899)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(13,042,756)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deferred tax assets (liabilities)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valuation allowance recorded by the Company as of December 31, 2023 and December 31, 2022 resulted from the uncertainties of the future utilization of deferred tax assets relating from NOL carry forwards for federal and state income tax purposes. Realization of the NOL carry forwards is contingent on future taxable earnings. The deferred tax asset was reviewed for expected utilization using a “more likely than not” approach by assessing the available positive and negative evidence surrounding its recoverability. Accordingly, a full valuation allowance continues to be recorded against the Company’s deferred tax asset, as it was determined based upon past and projected future losses that it was “more likely than not” that the Company’s deferred tax assets would not be realized. In future years, if the deferred tax assets are determined by management to be “more likely than not” to be realized, the recognized tax benefits relating to the reversal of the valuation allowance will be recorded. The Company will continue to assess and evaluate strategies that will enable the deferred tax asset, or portion thereof, to be utilized, and will reduce the valuation allowance appropriately as such time when it is determined that the “more likely than not” criteria is satisfied.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federal net operating loss carryforwards of $29.3 million have an indefinite life, but the R&amp;D credits of $3.4 million begin to expire in 2039. Due to the change in ownership provisions of the Internal Revenue Code, the availability of the Company’s net operating loss carry forwards could be subject to annual limitations against taxable income in future periods, which could substantially limit the eventual utilization of such carry forwards. The Company has not analyzed the historical or potential impact of its equity financings on beneficial ownership and therefore no determination has been made whether the net operating loss carry forward is subject to any Internal Revenue Code Section 382 limitation. To the extent there is a limitation, there could be a reduction in the deferred tax asset with an offsetting reduction in the valuation allowance.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Tax positions taken or expected to be taken in the course of preparing the Company’s tax returns are required to be evaluated to determine whether the tax positions are “more-likely-than-not” of being sustained by the applicable tax authority. Tax positions not deemed to meet a more-likely-than-not threshold, as well as accrued interest and penalties, if any, would be recorded as a interest and penalties expense in the current year. There were no uncertain tax positions that require accrual or disclosure to the financial statements as of December 31,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10. SUBSEQUENT EVENTS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March 15, 2024, the Company filed a preliminary proxy statement with the SEC in connection with a special meeting of stockholders will be held on May 9, 2024. The business for the meeting is to consider and vote to approve an amendment to the Company's Certificate of Incorporation to effect a reverse stock split of the Company's outstanding shares of common stock at a ratio in the rage of 1:4 to 1:8.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9A. Controls and Procedures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maintain a system of disclosure controls and procedures that is designed to ensure that information required to be disclosed in our Exchange Act reports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As of December 31, 2023, our management, including our principal executive officer and principal financial officer, had evaluated the effectiveness of the design and operation of our disclosure controls and procedures (as defined in Exchange Act Rules 13a-15(e) and 15d-15(e)) pursuant to Rule 13a-15(b) under the Exchange Act. Based upon and as of the date of the evaluation, our principal executive officer and principal financial officer concluded that information required to be disclosed is recorded, processed, summarized and reported within the specified periods and is accumulated and communicated to management, including our principal executive officer and principal financial officer, to allow for timely decisions regarding required disclosure of material information required to be included in our periodic SEC reports. Based on the foregoing, our management determined that our disclosure controls and procedures were effective as of December 31, 2023.</w:t>
      </w:r>
    </w:p>
    <w:p>
      <w:pPr>
        <w:pStyle w:val="TextBody"/>
        <w:bidi w:val="0"/>
        <w:spacing w:before="0" w:after="0"/>
        <w:jc w:val="both"/>
        <w:rPr/>
      </w:pPr>
      <w:r>
        <w:rPr/>
      </w:r>
    </w:p>
    <w:p>
      <w:pPr>
        <w:pStyle w:val="TextBody"/>
        <w:bidi w:val="0"/>
        <w:spacing w:lineRule="auto" w:line="276" w:before="0" w:after="240"/>
        <w:jc w:val="both"/>
        <w:rPr>
          <w:rFonts w:ascii="Arial;sans-serif" w:hAnsi="Arial;sans-serif"/>
          <w:b/>
          <w:color w:val="000000"/>
          <w:sz w:val="20"/>
          <w:shd w:fill="FFFFFF" w:val="clear"/>
        </w:rPr>
      </w:pPr>
      <w:r>
        <w:rPr>
          <w:rFonts w:ascii="Arial;sans-serif" w:hAnsi="Arial;sans-serif"/>
          <w:b/>
          <w:color w:val="000000"/>
          <w:sz w:val="20"/>
          <w:shd w:fill="FFFFFF" w:val="clear"/>
        </w:rPr>
        <w:t>Changes in Internal Control over Financial Reporting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 change in our company’s internal control over financial reporting (as defined in Rules 13a-15(f) and 15d-15(f) under the Exchange Act) occurred during the quarter ended December 31, 2023, that has materially affected, or is reasonably likely to materially affect, our internal control over financial reporting.</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Management's Annual Report on Internal Control over Financial Reporting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and accounting officer, we conducted an evaluation of the effectiveness of our internal control over financial reporting as of December 31, 2023 based on the framework in Internal Control—Integrated Framework 2013 issued by the Committee of Sponsoring Organizations of the Treadway Commission (COSO). Based on that evaluation, our management concluded that our internal control over financial reporting was effective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9B. Other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76" w:before="0" w:after="2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Certain information required by Part III is omitted from this Annual Report on Form 10-K and is incorporated herein by reference from our definitive proxy statement relating to our 2024 annual meeting of stockholders, pursuant to Regulation 14A of the Exchange Act of 1934, also referred to in this Annual Report on Form 10-K as our 2024 Proxy Statement, which we expect to file with the SEC no later than April 29, 2024.</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10. Directors, Executive Officers and Corporate Governance</w:t>
      </w:r>
    </w:p>
    <w:p>
      <w:pPr>
        <w:pStyle w:val="TextBody"/>
        <w:bidi w:val="0"/>
        <w:spacing w:lineRule="auto" w:line="268" w:before="0" w:after="240"/>
        <w:jc w:val="left"/>
        <w:rPr>
          <w:rFonts w:ascii="Arial;sans-serif" w:hAnsi="Arial;sans-serif"/>
          <w:b/>
          <w:color w:val="000000"/>
          <w:sz w:val="20"/>
        </w:rPr>
      </w:pPr>
      <w:r>
        <w:rPr>
          <w:rFonts w:ascii="Arial;sans-serif" w:hAnsi="Arial;sans-serif"/>
          <w:b/>
          <w:color w:val="000000"/>
          <w:sz w:val="20"/>
        </w:rPr>
        <w:t>Corporate Governance</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We have adopted a written Code of Business Conduct that applies to all of our employees, officers and directors. This Code of Business Conduct is designed to ensure that our business is conducted with integrity and in compliance with SEC regulations and Nasdaq listing standards. The Code of Business Conduct covers adherence to laws and regulations as well as professional conduct, including employment policies, conflicts of interest and the protection of confidential information. The Code of Business Conduct is available under “Governance Overview” within the “Corporate Governance” section of our website at www.salariuspharma.com.</w:t>
      </w:r>
    </w:p>
    <w:p>
      <w:pPr>
        <w:pStyle w:val="TextBody"/>
        <w:bidi w:val="0"/>
        <w:spacing w:lineRule="auto" w:line="268" w:before="0" w:after="240"/>
        <w:jc w:val="both"/>
        <w:rPr>
          <w:rFonts w:ascii="Arial;sans-serif" w:hAnsi="Arial;sans-serif"/>
          <w:b w:val="false"/>
          <w:color w:val="000000"/>
          <w:sz w:val="20"/>
        </w:rPr>
      </w:pPr>
      <w:r>
        <w:rPr>
          <w:rFonts w:ascii="Arial;sans-serif" w:hAnsi="Arial;sans-serif"/>
          <w:b w:val="false"/>
          <w:color w:val="000000"/>
          <w:sz w:val="20"/>
        </w:rPr>
        <w:t>We intend to disclose any future amendments to, or waivers from, the Code of Business Conduct that affect our directors or senior financial and executive officers within four business days of the amendment or waiver by posting such information on the website address and location specified above.</w:t>
      </w:r>
    </w:p>
    <w:p>
      <w:pPr>
        <w:pStyle w:val="TextBody"/>
        <w:bidi w:val="0"/>
        <w:spacing w:lineRule="auto" w:line="268" w:before="0" w:after="240"/>
        <w:jc w:val="left"/>
        <w:rPr>
          <w:rFonts w:ascii="Arial;sans-serif" w:hAnsi="Arial;sans-serif"/>
          <w:b/>
          <w:color w:val="000000"/>
          <w:sz w:val="20"/>
        </w:rPr>
      </w:pPr>
      <w:r>
        <w:rPr>
          <w:rFonts w:ascii="Arial;sans-serif" w:hAnsi="Arial;sans-serif"/>
          <w:b/>
          <w:color w:val="000000"/>
          <w:sz w:val="20"/>
        </w:rPr>
        <w:t>Other Information</w:t>
      </w:r>
    </w:p>
    <w:p>
      <w:pPr>
        <w:pStyle w:val="TextBody"/>
        <w:bidi w:val="0"/>
        <w:spacing w:lineRule="auto" w:line="268" w:before="0" w:after="240"/>
        <w:jc w:val="left"/>
        <w:rPr>
          <w:rFonts w:ascii="Arial;sans-serif" w:hAnsi="Arial;sans-serif"/>
          <w:b w:val="false"/>
          <w:color w:val="000000"/>
          <w:sz w:val="20"/>
        </w:rPr>
      </w:pPr>
      <w:r>
        <w:rPr>
          <w:rFonts w:ascii="Arial;sans-serif" w:hAnsi="Arial;sans-serif"/>
          <w:b w:val="false"/>
          <w:color w:val="000000"/>
          <w:sz w:val="20"/>
        </w:rPr>
        <w:t>The other information required to be disclosed in Item 10 is hereby incorporated by reference to our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11. Executive Compensation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information required to be disclosed in Item 11 is hereby incorporated by reference to our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12. Security Ownership of Certain Beneficial Owners and Management and Related Stockholder Matters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information required to be disclosed in Item 12 is hereby incorporated by reference to our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left"/>
        <w:rPr/>
      </w:pPr>
      <w:r>
        <w:rPr/>
      </w: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 xml:space="preserve">Item 13. Certain Relationships and Related Transactions, and Director Independence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information required to be disclosed in Item 13 is hereby incorporated by reference to our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14. Principal Accounting Fees and Services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information required to be disclosed in Item 14 is hereby incorporated by reference to our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IV</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15. Exhibits, Financial Statement Schedules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(a)(1) Financial Statements.</w:t>
      </w:r>
    </w:p>
    <w:p>
      <w:pPr>
        <w:pStyle w:val="TextBody"/>
        <w:bidi w:val="0"/>
        <w:spacing w:lineRule="auto" w:line="268" w:before="0" w:after="240"/>
        <w:jc w:val="left"/>
        <w:rPr>
          <w:rFonts w:ascii="Arial;sans-serif" w:hAnsi="Arial;sans-serif"/>
          <w:b w:val="false"/>
          <w:color w:val="000000"/>
          <w:sz w:val="20"/>
        </w:rPr>
      </w:pPr>
      <w:r>
        <w:rPr>
          <w:rFonts w:ascii="Arial;sans-serif" w:hAnsi="Arial;sans-serif"/>
          <w:b w:val="false"/>
          <w:color w:val="000000"/>
          <w:sz w:val="20"/>
        </w:rPr>
        <w:t>The financial statements filed as part of this report are listed on the Index to Consolidated Financial Statements on page 57.</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(a)(2) Financial Statement Schedules.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have omitted these schedules because they are not required, or are not applicable, or the required information is shown in the consolidated financial statements or notes thereto.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(a)(3) Exhibits.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1"/>
        <w:gridCol w:w="211"/>
        <w:gridCol w:w="211"/>
        <w:gridCol w:w="211"/>
        <w:gridCol w:w="211"/>
        <w:gridCol w:w="216"/>
        <w:gridCol w:w="1594"/>
        <w:gridCol w:w="1575"/>
        <w:gridCol w:w="1477"/>
        <w:gridCol w:w="231"/>
        <w:gridCol w:w="231"/>
        <w:gridCol w:w="231"/>
        <w:gridCol w:w="231"/>
        <w:gridCol w:w="231"/>
        <w:gridCol w:w="239"/>
        <w:gridCol w:w="339"/>
        <w:gridCol w:w="240"/>
        <w:gridCol w:w="224"/>
        <w:gridCol w:w="472"/>
        <w:gridCol w:w="353"/>
        <w:gridCol w:w="337"/>
        <w:gridCol w:w="316"/>
        <w:gridCol w:w="236"/>
        <w:gridCol w:w="347"/>
      </w:tblGrid>
      <w:tr>
        <w:trPr/>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301" w:type="dxa"/>
            <w:gridSpan w:val="6"/>
            <w:vMerge w:val="restart"/>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24"/>
              </w:rPr>
            </w:pPr>
            <w:r>
              <w:rPr>
                <w:rFonts w:ascii="Arial;sans-serif" w:hAnsi="Arial;sans-serif"/>
                <w:b/>
                <w:color w:val="000000"/>
                <w:sz w:val="24"/>
              </w:rPr>
              <w:t>Exhibit Number</w:t>
            </w:r>
          </w:p>
        </w:tc>
        <w:tc>
          <w:tcPr>
            <w:tcW w:w="464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24"/>
              </w:rPr>
            </w:pPr>
            <w:r>
              <w:rPr>
                <w:rFonts w:ascii="Arial;sans-serif" w:hAnsi="Arial;sans-serif"/>
                <w:b/>
                <w:color w:val="000000"/>
                <w:sz w:val="24"/>
              </w:rPr>
              <w:t>Exhibit Title</w:t>
            </w:r>
          </w:p>
        </w:tc>
        <w:tc>
          <w:tcPr>
            <w:tcW w:w="1394" w:type="dxa"/>
            <w:gridSpan w:val="6"/>
            <w:vMerge w:val="restart"/>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24"/>
              </w:rPr>
            </w:pPr>
            <w:r>
              <w:rPr>
                <w:rFonts w:ascii="Arial;sans-serif" w:hAnsi="Arial;sans-serif"/>
                <w:b/>
                <w:color w:val="000000"/>
                <w:sz w:val="24"/>
              </w:rPr>
              <w:t>Filed with this Form 10-K</w:t>
            </w:r>
          </w:p>
        </w:tc>
        <w:tc>
          <w:tcPr>
            <w:tcW w:w="2864"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24"/>
              </w:rPr>
            </w:pPr>
            <w:r>
              <w:rPr>
                <w:rFonts w:ascii="Arial;sans-serif" w:hAnsi="Arial;sans-serif"/>
                <w:b/>
                <w:color w:val="000000"/>
                <w:sz w:val="24"/>
              </w:rPr>
              <w:t>Incorporated by Reference</w:t>
            </w:r>
          </w:p>
        </w:tc>
      </w:tr>
      <w:tr>
        <w:trPr/>
        <w:tc>
          <w:tcPr>
            <w:tcW w:w="1301" w:type="dxa"/>
            <w:gridSpan w:val="6"/>
            <w:vMerge w:val="continue"/>
            <w:tcBorders/>
            <w:tcMar>
              <w:top w:w="0" w:type="dxa"/>
              <w:left w:w="0" w:type="dxa"/>
              <w:bottom w:w="0" w:type="dxa"/>
              <w:right w:w="0" w:type="dxa"/>
            </w:tcMar>
            <w:vAlign w:val="center"/>
          </w:tcPr>
          <w:p>
            <w:pPr>
              <w:pStyle w:val="Normal"/>
              <w:bidi w:val="0"/>
              <w:jc w:val="left"/>
              <w:rPr/>
            </w:pPr>
            <w:r>
              <w:rPr/>
            </w:r>
          </w:p>
        </w:tc>
        <w:tc>
          <w:tcPr>
            <w:tcW w:w="4646" w:type="dxa"/>
            <w:gridSpan w:val="3"/>
            <w:vMerge w:val="continue"/>
            <w:tcBorders/>
            <w:tcMar>
              <w:top w:w="0" w:type="dxa"/>
              <w:left w:w="0" w:type="dxa"/>
              <w:bottom w:w="0" w:type="dxa"/>
              <w:right w:w="0" w:type="dxa"/>
            </w:tcMar>
            <w:vAlign w:val="center"/>
          </w:tcPr>
          <w:p>
            <w:pPr>
              <w:pStyle w:val="Normal"/>
              <w:bidi w:val="0"/>
              <w:jc w:val="left"/>
              <w:rPr/>
            </w:pPr>
            <w:r>
              <w:rPr/>
            </w:r>
          </w:p>
        </w:tc>
        <w:tc>
          <w:tcPr>
            <w:tcW w:w="1394" w:type="dxa"/>
            <w:gridSpan w:val="6"/>
            <w:vMerge w:val="continue"/>
            <w:tcBorders/>
            <w:tcMar>
              <w:top w:w="0" w:type="dxa"/>
              <w:left w:w="0" w:type="dxa"/>
              <w:bottom w:w="0" w:type="dxa"/>
              <w:right w:w="0" w:type="dxa"/>
            </w:tcMar>
            <w:vAlign w:val="center"/>
          </w:tcPr>
          <w:p>
            <w:pPr>
              <w:pStyle w:val="Normal"/>
              <w:bidi w:val="0"/>
              <w:jc w:val="left"/>
              <w:rPr/>
            </w:pPr>
            <w:r>
              <w:rPr/>
            </w:r>
          </w:p>
        </w:tc>
        <w:tc>
          <w:tcPr>
            <w:tcW w:w="80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24"/>
              </w:rPr>
            </w:pPr>
            <w:r>
              <w:rPr>
                <w:rFonts w:ascii="Arial;sans-serif" w:hAnsi="Arial;sans-serif"/>
                <w:b/>
                <w:color w:val="000000"/>
                <w:sz w:val="24"/>
              </w:rPr>
              <w:t>Form</w:t>
            </w:r>
          </w:p>
        </w:tc>
        <w:tc>
          <w:tcPr>
            <w:tcW w:w="116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24"/>
              </w:rPr>
            </w:pPr>
            <w:r>
              <w:rPr>
                <w:rFonts w:ascii="Arial;sans-serif" w:hAnsi="Arial;sans-serif"/>
                <w:b/>
                <w:color w:val="000000"/>
                <w:sz w:val="24"/>
              </w:rPr>
              <w:t>File No.</w:t>
            </w:r>
          </w:p>
        </w:tc>
        <w:tc>
          <w:tcPr>
            <w:tcW w:w="89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24"/>
              </w:rPr>
            </w:pPr>
            <w:r>
              <w:rPr>
                <w:rFonts w:ascii="Arial;sans-serif" w:hAnsi="Arial;sans-serif"/>
                <w:b/>
                <w:color w:val="000000"/>
                <w:sz w:val="24"/>
              </w:rPr>
              <w:t>Date Filed</w:t>
            </w:r>
          </w:p>
        </w:tc>
      </w:tr>
      <w:tr>
        <w:trPr/>
        <w:tc>
          <w:tcPr>
            <w:tcW w:w="1301"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464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Arial;sans-serif" w:hAnsi="Arial;sans-serif"/>
                  <w:b w:val="false"/>
                  <w:color w:val="0000FF"/>
                  <w:sz w:val="20"/>
                  <w:u w:val="single"/>
                </w:rPr>
                <w:t>Amended and Restated Certificate of Incorporation of the Registrant</w:t>
              </w:r>
            </w:hyperlink>
          </w:p>
        </w:tc>
        <w:tc>
          <w:tcPr>
            <w:tcW w:w="1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116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001-36812 Exhibit 3.1</w:t>
            </w:r>
          </w:p>
        </w:tc>
        <w:tc>
          <w:tcPr>
            <w:tcW w:w="8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02/09/2015</w:t>
            </w:r>
          </w:p>
        </w:tc>
      </w:tr>
      <w:tr>
        <w:trPr/>
        <w:tc>
          <w:tcPr>
            <w:tcW w:w="1301"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464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Arial;sans-serif" w:hAnsi="Arial;sans-serif"/>
                  <w:b w:val="false"/>
                  <w:color w:val="0000FF"/>
                  <w:sz w:val="20"/>
                  <w:u w:val="single"/>
                </w:rPr>
                <w:t>Certificate of Amendment to the Amended and Restated Certificate of Incorporation of the Registration filed with the Secretary of State</w:t>
              </w:r>
            </w:hyperlink>
          </w:p>
        </w:tc>
        <w:tc>
          <w:tcPr>
            <w:tcW w:w="1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116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001-36812 Exhibit 3.1</w:t>
            </w:r>
          </w:p>
        </w:tc>
        <w:tc>
          <w:tcPr>
            <w:tcW w:w="8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07/22/2019</w:t>
            </w:r>
          </w:p>
        </w:tc>
      </w:tr>
      <w:tr>
        <w:trPr/>
        <w:tc>
          <w:tcPr>
            <w:tcW w:w="1301"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3.3</w:t>
            </w:r>
          </w:p>
        </w:tc>
        <w:tc>
          <w:tcPr>
            <w:tcW w:w="464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Arial;sans-serif" w:hAnsi="Arial;sans-serif"/>
                  <w:b w:val="false"/>
                  <w:color w:val="0000FF"/>
                  <w:sz w:val="20"/>
                  <w:u w:val="single"/>
                </w:rPr>
                <w:t>Certificate of Amendment of Certificate of Incorporation of the Registrant filed with the Secretary of State of Delaware on October 14, 2022</w:t>
              </w:r>
            </w:hyperlink>
          </w:p>
          <w:p>
            <w:pPr>
              <w:pStyle w:val="TableContents"/>
              <w:bidi w:val="0"/>
              <w:spacing w:before="0" w:after="0"/>
              <w:jc w:val="left"/>
              <w:rPr/>
            </w:pPr>
            <w:r>
              <w:rPr/>
            </w:r>
          </w:p>
          <w:p>
            <w:pPr>
              <w:pStyle w:val="TableContents"/>
              <w:bidi w:val="0"/>
              <w:spacing w:before="0" w:after="0"/>
              <w:jc w:val="left"/>
              <w:rPr/>
            </w:pPr>
            <w:r>
              <w:rPr/>
            </w:r>
          </w:p>
        </w:tc>
        <w:tc>
          <w:tcPr>
            <w:tcW w:w="1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116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001-36812 Exhibit 3.1</w:t>
            </w:r>
          </w:p>
        </w:tc>
        <w:tc>
          <w:tcPr>
            <w:tcW w:w="8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10/14/2022</w:t>
            </w:r>
          </w:p>
        </w:tc>
      </w:tr>
      <w:tr>
        <w:trPr/>
        <w:tc>
          <w:tcPr>
            <w:tcW w:w="1301"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3.4</w:t>
            </w:r>
          </w:p>
        </w:tc>
        <w:tc>
          <w:tcPr>
            <w:tcW w:w="464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Arial;sans-serif" w:hAnsi="Arial;sans-serif"/>
                  <w:b w:val="false"/>
                  <w:color w:val="0000FF"/>
                  <w:sz w:val="20"/>
                  <w:u w:val="single"/>
                </w:rPr>
                <w:t>Amended and Restated Bylaws of the Registrant, effective July 19, 2019</w:t>
              </w:r>
            </w:hyperlink>
          </w:p>
        </w:tc>
        <w:tc>
          <w:tcPr>
            <w:tcW w:w="1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116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001-36812 Exhibit 3.2</w:t>
            </w:r>
          </w:p>
        </w:tc>
        <w:tc>
          <w:tcPr>
            <w:tcW w:w="8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07/22/2019</w:t>
            </w:r>
          </w:p>
        </w:tc>
      </w:tr>
      <w:tr>
        <w:trPr/>
        <w:tc>
          <w:tcPr>
            <w:tcW w:w="1301"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3.5</w:t>
            </w:r>
          </w:p>
        </w:tc>
        <w:tc>
          <w:tcPr>
            <w:tcW w:w="464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Arial;sans-serif" w:hAnsi="Arial;sans-serif"/>
                  <w:b w:val="false"/>
                  <w:color w:val="0000FF"/>
                  <w:sz w:val="20"/>
                  <w:u w:val="single"/>
                </w:rPr>
                <w:t>Amendment to Amended and Restated Bylaws of the Registrant, effective April 1, 2022</w:t>
              </w:r>
            </w:hyperlink>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1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116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001-36813 Exhibit 3.1</w:t>
            </w:r>
          </w:p>
        </w:tc>
        <w:tc>
          <w:tcPr>
            <w:tcW w:w="8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04/01/2022</w:t>
            </w:r>
          </w:p>
        </w:tc>
      </w:tr>
      <w:tr>
        <w:trPr/>
        <w:tc>
          <w:tcPr>
            <w:tcW w:w="1301"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464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Arial;sans-serif" w:hAnsi="Arial;sans-serif"/>
                  <w:b w:val="false"/>
                  <w:color w:val="0000FF"/>
                  <w:sz w:val="20"/>
                  <w:u w:val="single"/>
                </w:rPr>
                <w:t>Form of Common Stock Certificate of Registrant</w:t>
              </w:r>
            </w:hyperlink>
          </w:p>
        </w:tc>
        <w:tc>
          <w:tcPr>
            <w:tcW w:w="1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116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333-201276 Exhibit 4.1</w:t>
            </w:r>
          </w:p>
        </w:tc>
        <w:tc>
          <w:tcPr>
            <w:tcW w:w="8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12/29/2014</w:t>
            </w:r>
          </w:p>
        </w:tc>
      </w:tr>
      <w:tr>
        <w:trPr/>
        <w:tc>
          <w:tcPr>
            <w:tcW w:w="1301"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464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Arial;sans-serif" w:hAnsi="Arial;sans-serif"/>
                  <w:b w:val="false"/>
                  <w:color w:val="000080"/>
                  <w:sz w:val="20"/>
                  <w:u w:val="single"/>
                </w:rPr>
                <w:t xml:space="preserve">Form of Common Stock Purchase </w:t>
              </w:r>
            </w:hyperlink>
            <w:hyperlink r:id="rId10">
              <w:r>
                <w:rPr>
                  <w:rStyle w:val="InternetLink"/>
                  <w:rFonts w:ascii="Arial;sans-serif" w:hAnsi="Arial;sans-serif"/>
                  <w:b w:val="false"/>
                  <w:color w:val="000080"/>
                  <w:sz w:val="20"/>
                  <w:u w:val="single"/>
                </w:rPr>
                <w:t>Warrant</w:t>
              </w:r>
            </w:hyperlink>
          </w:p>
        </w:tc>
        <w:tc>
          <w:tcPr>
            <w:tcW w:w="1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S-1/A</w:t>
            </w:r>
          </w:p>
        </w:tc>
        <w:tc>
          <w:tcPr>
            <w:tcW w:w="116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333-235879 Exhibit 4.8</w:t>
            </w:r>
          </w:p>
        </w:tc>
        <w:tc>
          <w:tcPr>
            <w:tcW w:w="8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02/06/2020</w:t>
            </w:r>
          </w:p>
        </w:tc>
      </w:tr>
      <w:tr>
        <w:trPr/>
        <w:tc>
          <w:tcPr>
            <w:tcW w:w="1301"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464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Arial;sans-serif" w:hAnsi="Arial;sans-serif"/>
                  <w:b w:val="false"/>
                  <w:color w:val="0000FF"/>
                  <w:sz w:val="20"/>
                  <w:u w:val="single"/>
                </w:rPr>
                <w:t>Common Stock Purchase Warrant dated February 11, 2020</w:t>
              </w:r>
            </w:hyperlink>
          </w:p>
        </w:tc>
        <w:tc>
          <w:tcPr>
            <w:tcW w:w="1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116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001-36812 Exhibit 4.1</w:t>
            </w:r>
          </w:p>
        </w:tc>
        <w:tc>
          <w:tcPr>
            <w:tcW w:w="8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02/12/2020</w:t>
            </w:r>
          </w:p>
        </w:tc>
      </w:tr>
      <w:tr>
        <w:trPr/>
        <w:tc>
          <w:tcPr>
            <w:tcW w:w="1301"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4.4</w:t>
            </w:r>
          </w:p>
        </w:tc>
        <w:tc>
          <w:tcPr>
            <w:tcW w:w="464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Arial;sans-serif" w:hAnsi="Arial;sans-serif"/>
                  <w:b w:val="false"/>
                  <w:color w:val="0000FF"/>
                  <w:sz w:val="20"/>
                  <w:u w:val="single"/>
                </w:rPr>
                <w:t>Form of Inducement Warrant dated December 11, 2020</w:t>
              </w:r>
            </w:hyperlink>
          </w:p>
        </w:tc>
        <w:tc>
          <w:tcPr>
            <w:tcW w:w="1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8-K/A</w:t>
            </w:r>
          </w:p>
        </w:tc>
        <w:tc>
          <w:tcPr>
            <w:tcW w:w="116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001-36812 Exhibit 4.1</w:t>
            </w:r>
          </w:p>
        </w:tc>
        <w:tc>
          <w:tcPr>
            <w:tcW w:w="8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12/11/2020</w:t>
            </w:r>
          </w:p>
        </w:tc>
      </w:tr>
      <w:tr>
        <w:trPr/>
        <w:tc>
          <w:tcPr>
            <w:tcW w:w="1301"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4.5</w:t>
            </w:r>
          </w:p>
        </w:tc>
        <w:tc>
          <w:tcPr>
            <w:tcW w:w="464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Arial;sans-serif" w:hAnsi="Arial;sans-serif"/>
                  <w:b w:val="false"/>
                  <w:color w:val="0000FF"/>
                  <w:sz w:val="20"/>
                  <w:u w:val="single"/>
                </w:rPr>
                <w:t>Form of 2021 Flex Warrants</w:t>
              </w:r>
            </w:hyperlink>
          </w:p>
        </w:tc>
        <w:tc>
          <w:tcPr>
            <w:tcW w:w="1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116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001-36812 Exhibit 4.1</w:t>
            </w:r>
          </w:p>
        </w:tc>
        <w:tc>
          <w:tcPr>
            <w:tcW w:w="8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07/01/2021</w:t>
            </w:r>
          </w:p>
        </w:tc>
      </w:tr>
      <w:tr>
        <w:trPr/>
        <w:tc>
          <w:tcPr>
            <w:tcW w:w="1301"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4.6</w:t>
            </w:r>
          </w:p>
        </w:tc>
        <w:tc>
          <w:tcPr>
            <w:tcW w:w="4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Form of Common Stock Purchase Warrant </w:t>
            </w:r>
          </w:p>
        </w:tc>
        <w:tc>
          <w:tcPr>
            <w:tcW w:w="1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116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001-36812 Exhibit 4.1</w:t>
            </w:r>
          </w:p>
        </w:tc>
        <w:tc>
          <w:tcPr>
            <w:tcW w:w="8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05/16/2023</w:t>
            </w:r>
          </w:p>
        </w:tc>
      </w:tr>
      <w:tr>
        <w:trPr/>
        <w:tc>
          <w:tcPr>
            <w:tcW w:w="1301"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4.7</w:t>
            </w:r>
          </w:p>
        </w:tc>
        <w:tc>
          <w:tcPr>
            <w:tcW w:w="464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Form of Pre-Funded Warrants</w:t>
            </w:r>
          </w:p>
        </w:tc>
        <w:tc>
          <w:tcPr>
            <w:tcW w:w="1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116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001-36812 Exhibit 4.2</w:t>
            </w:r>
          </w:p>
        </w:tc>
        <w:tc>
          <w:tcPr>
            <w:tcW w:w="8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05/16/2023</w:t>
            </w:r>
          </w:p>
        </w:tc>
      </w:tr>
      <w:tr>
        <w:trPr/>
        <w:tc>
          <w:tcPr>
            <w:tcW w:w="1301"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464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Form of Placement Agent Warrants</w:t>
            </w:r>
          </w:p>
        </w:tc>
        <w:tc>
          <w:tcPr>
            <w:tcW w:w="1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116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001-36812 Exhibit 4.3</w:t>
            </w:r>
          </w:p>
        </w:tc>
        <w:tc>
          <w:tcPr>
            <w:tcW w:w="8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05/16/2023</w:t>
            </w:r>
          </w:p>
        </w:tc>
      </w:tr>
      <w:tr>
        <w:trPr/>
        <w:tc>
          <w:tcPr>
            <w:tcW w:w="1301"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4.9</w:t>
            </w:r>
          </w:p>
        </w:tc>
        <w:tc>
          <w:tcPr>
            <w:tcW w:w="464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Form of Common Stock Purchase Warrant dated April 26, 2022</w:t>
            </w:r>
          </w:p>
        </w:tc>
        <w:tc>
          <w:tcPr>
            <w:tcW w:w="1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116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001-36812 Exhibit 4.1</w:t>
            </w:r>
          </w:p>
        </w:tc>
        <w:tc>
          <w:tcPr>
            <w:tcW w:w="8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04/22/2022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ad49f35f870245a7936a54cfbba72753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7"/>
        <w:gridCol w:w="111"/>
        <w:gridCol w:w="111"/>
        <w:gridCol w:w="111"/>
        <w:gridCol w:w="111"/>
        <w:gridCol w:w="111"/>
        <w:gridCol w:w="2358"/>
        <w:gridCol w:w="2035"/>
        <w:gridCol w:w="2042"/>
        <w:gridCol w:w="109"/>
        <w:gridCol w:w="109"/>
        <w:gridCol w:w="109"/>
        <w:gridCol w:w="109"/>
        <w:gridCol w:w="109"/>
        <w:gridCol w:w="109"/>
        <w:gridCol w:w="140"/>
        <w:gridCol w:w="140"/>
        <w:gridCol w:w="141"/>
        <w:gridCol w:w="428"/>
        <w:gridCol w:w="408"/>
        <w:gridCol w:w="410"/>
        <w:gridCol w:w="221"/>
        <w:gridCol w:w="221"/>
        <w:gridCol w:w="325"/>
      </w:tblGrid>
      <w:tr>
        <w:trPr/>
        <w:tc>
          <w:tcPr>
            <w:tcW w:w="1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682"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4.10</w:t>
            </w:r>
          </w:p>
        </w:tc>
        <w:tc>
          <w:tcPr>
            <w:tcW w:w="643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Arial;sans-serif" w:hAnsi="Arial;sans-serif"/>
                  <w:b w:val="false"/>
                  <w:color w:val="0000FF"/>
                  <w:sz w:val="20"/>
                  <w:u w:val="single"/>
                </w:rPr>
                <w:t>Description of Registrant's Securities</w:t>
              </w:r>
            </w:hyperlink>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12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001-36812 Exhibit 4.11</w:t>
            </w:r>
          </w:p>
        </w:tc>
        <w:tc>
          <w:tcPr>
            <w:tcW w:w="7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03/18/2021</w:t>
            </w:r>
          </w:p>
        </w:tc>
      </w:tr>
      <w:tr>
        <w:trPr/>
        <w:tc>
          <w:tcPr>
            <w:tcW w:w="682"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643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Arial;sans-serif" w:hAnsi="Arial;sans-serif"/>
                  <w:b w:val="false"/>
                  <w:color w:val="000080"/>
                  <w:sz w:val="20"/>
                  <w:u w:val="single"/>
                </w:rPr>
                <w:t>Form of Indemnification Agreement between the Registrant and its directors and officers</w:t>
              </w:r>
            </w:hyperlink>
            <w:hyperlink r:id="rId16">
              <w:r>
                <w:rPr>
                  <w:rStyle w:val="InternetLink"/>
                  <w:rFonts w:ascii="Arial;sans-serif" w:hAnsi="Arial;sans-serif"/>
                  <w:b w:val="false"/>
                  <w:color w:val="000080"/>
                  <w:sz w:val="20"/>
                  <w:u w:val="single"/>
                </w:rPr>
                <w:t xml:space="preserve"> </w:t>
              </w:r>
            </w:hyperlink>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12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001-36812 Exhibit 10.1</w:t>
            </w:r>
          </w:p>
        </w:tc>
        <w:tc>
          <w:tcPr>
            <w:tcW w:w="7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07/22/2019</w:t>
            </w:r>
          </w:p>
        </w:tc>
      </w:tr>
      <w:tr>
        <w:trPr/>
        <w:tc>
          <w:tcPr>
            <w:tcW w:w="682"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643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Arial;sans-serif" w:hAnsi="Arial;sans-serif"/>
                  <w:b w:val="false"/>
                  <w:color w:val="0000FF"/>
                  <w:sz w:val="20"/>
                  <w:u w:val="single"/>
                </w:rPr>
                <w:t>Indemnification Agreement, dated February 20, 2024, by and between Salarius Pharmaceuticals, Inc. and David J. Arthur</w:t>
              </w:r>
            </w:hyperlink>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12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001-36812 Exhibit 10.4</w:t>
            </w:r>
          </w:p>
        </w:tc>
        <w:tc>
          <w:tcPr>
            <w:tcW w:w="7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02/23/2024</w:t>
            </w:r>
          </w:p>
        </w:tc>
      </w:tr>
      <w:tr>
        <w:trPr/>
        <w:tc>
          <w:tcPr>
            <w:tcW w:w="682"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643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Arial;sans-serif" w:hAnsi="Arial;sans-serif"/>
                  <w:b w:val="false"/>
                  <w:color w:val="000080"/>
                  <w:sz w:val="20"/>
                  <w:u w:val="single"/>
                </w:rPr>
                <w:t>Exclusive License Agreement, dated August 3, 2011, between the University of Utah Research Foundation and Salarius Pharmaceuticals, LLC</w:t>
              </w:r>
            </w:hyperlink>
            <w:hyperlink r:id="rId19">
              <w:r>
                <w:rPr>
                  <w:rStyle w:val="InternetLink"/>
                  <w:rFonts w:ascii="Arial;sans-serif" w:hAnsi="Arial;sans-serif"/>
                  <w:b w:val="false"/>
                  <w:color w:val="000080"/>
                  <w:sz w:val="20"/>
                  <w:u w:val="single"/>
                </w:rPr>
                <w:t xml:space="preserve"> </w:t>
              </w:r>
            </w:hyperlink>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S-4</w:t>
            </w:r>
          </w:p>
        </w:tc>
        <w:tc>
          <w:tcPr>
            <w:tcW w:w="12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333-229666 Exhibit 10.1</w:t>
            </w:r>
          </w:p>
        </w:tc>
        <w:tc>
          <w:tcPr>
            <w:tcW w:w="7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02/14/2019</w:t>
            </w:r>
          </w:p>
        </w:tc>
      </w:tr>
      <w:tr>
        <w:trPr/>
        <w:tc>
          <w:tcPr>
            <w:tcW w:w="682"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643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Arial;sans-serif" w:hAnsi="Arial;sans-serif"/>
                  <w:b w:val="false"/>
                  <w:color w:val="000080"/>
                  <w:sz w:val="20"/>
                  <w:u w:val="single"/>
                </w:rPr>
                <w:t>Cancer Research Grant Contract, dated June 1, 2016, between the Cancer Prevention and Research Institute of Texas and Salarius Pharmaceuticals, LLC</w:t>
              </w:r>
            </w:hyperlink>
            <w:hyperlink r:id="rId21">
              <w:r>
                <w:rPr>
                  <w:rStyle w:val="InternetLink"/>
                  <w:rFonts w:ascii="Arial;sans-serif" w:hAnsi="Arial;sans-serif"/>
                  <w:b w:val="false"/>
                  <w:color w:val="000080"/>
                  <w:sz w:val="20"/>
                  <w:u w:val="single"/>
                </w:rPr>
                <w:t xml:space="preserve"> </w:t>
              </w:r>
            </w:hyperlink>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S-4</w:t>
            </w:r>
          </w:p>
        </w:tc>
        <w:tc>
          <w:tcPr>
            <w:tcW w:w="12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333-229666 Exhibit 10.3</w:t>
            </w:r>
          </w:p>
        </w:tc>
        <w:tc>
          <w:tcPr>
            <w:tcW w:w="7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02/14/2019</w:t>
            </w:r>
          </w:p>
        </w:tc>
      </w:tr>
      <w:tr>
        <w:trPr/>
        <w:tc>
          <w:tcPr>
            <w:tcW w:w="682"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643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Arial;sans-serif" w:hAnsi="Arial;sans-serif"/>
                  <w:b w:val="false"/>
                  <w:color w:val="000080"/>
                  <w:sz w:val="20"/>
                  <w:u w:val="single"/>
                </w:rPr>
                <w:t>Amended and Restated Executive Employment Agreement, dated February 5, 2019, between David J. Arthur and Salarius Pharmaceuticals, LLC</w:t>
              </w:r>
            </w:hyperlink>
            <w:hyperlink r:id="rId23">
              <w:r>
                <w:rPr>
                  <w:rStyle w:val="InternetLink"/>
                  <w:rFonts w:ascii="Arial;sans-serif" w:hAnsi="Arial;sans-serif"/>
                  <w:b w:val="false"/>
                  <w:color w:val="000080"/>
                  <w:sz w:val="20"/>
                  <w:u w:val="single"/>
                </w:rPr>
                <w:t xml:space="preserve"> </w:t>
              </w:r>
            </w:hyperlink>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S-4</w:t>
            </w:r>
          </w:p>
        </w:tc>
        <w:tc>
          <w:tcPr>
            <w:tcW w:w="12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333-229666 Exhibit 10.5</w:t>
            </w:r>
          </w:p>
        </w:tc>
        <w:tc>
          <w:tcPr>
            <w:tcW w:w="7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02/14/2019</w:t>
            </w:r>
          </w:p>
        </w:tc>
      </w:tr>
      <w:tr>
        <w:trPr/>
        <w:tc>
          <w:tcPr>
            <w:tcW w:w="682"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643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Arial;sans-serif" w:hAnsi="Arial;sans-serif"/>
                  <w:b w:val="false"/>
                  <w:color w:val="0000FF"/>
                  <w:sz w:val="20"/>
                  <w:u w:val="single"/>
                </w:rPr>
                <w:t>Amendment to Amended and Restated Executive Employment Agreement dated September 10, 2019, among David J. Arthur, the Registrant and Salarius Pharmaceuticals, LLC</w:t>
              </w:r>
            </w:hyperlink>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12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001-36812 Exhibit 10.5</w:t>
            </w:r>
          </w:p>
        </w:tc>
        <w:tc>
          <w:tcPr>
            <w:tcW w:w="7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09/16/2019</w:t>
            </w:r>
          </w:p>
        </w:tc>
      </w:tr>
      <w:tr>
        <w:trPr/>
        <w:tc>
          <w:tcPr>
            <w:tcW w:w="682"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10.7+</w:t>
            </w:r>
          </w:p>
        </w:tc>
        <w:tc>
          <w:tcPr>
            <w:tcW w:w="643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5">
              <w:r>
                <w:rPr>
                  <w:rStyle w:val="InternetLink"/>
                  <w:rFonts w:ascii="Arial;sans-serif" w:hAnsi="Arial;sans-serif"/>
                  <w:b w:val="false"/>
                  <w:color w:val="0000FF"/>
                  <w:sz w:val="20"/>
                  <w:u w:val="single"/>
                </w:rPr>
                <w:t>Employment Agreement between Mark J. Rosenblum and Salarius Pharmaceutical, Inc., dated April 24, 2020</w:t>
              </w:r>
            </w:hyperlink>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12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001-36812 Exhibit 10.1</w:t>
            </w:r>
          </w:p>
        </w:tc>
        <w:tc>
          <w:tcPr>
            <w:tcW w:w="76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4/29/2020</w:t>
            </w:r>
          </w:p>
        </w:tc>
      </w:tr>
      <w:tr>
        <w:trPr/>
        <w:tc>
          <w:tcPr>
            <w:tcW w:w="682"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10.8+</w:t>
            </w:r>
          </w:p>
        </w:tc>
        <w:tc>
          <w:tcPr>
            <w:tcW w:w="643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6">
              <w:r>
                <w:rPr>
                  <w:rStyle w:val="InternetLink"/>
                  <w:rFonts w:ascii="Times New Roman;sans-serif" w:hAnsi="Times New Roman;sans-serif"/>
                  <w:b w:val="false"/>
                  <w:color w:val="0000FF"/>
                  <w:sz w:val="20"/>
                  <w:u w:val="single"/>
                </w:rPr>
                <w:t>Amendment to Executive Employment Agreement, dated February 20, 2024, by and between Salarius Pharmaceuticals, Inc. and Mark J. Rosenblum</w:t>
              </w:r>
            </w:hyperlink>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12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001-36812 Exhibit 10.5</w:t>
            </w:r>
          </w:p>
        </w:tc>
        <w:tc>
          <w:tcPr>
            <w:tcW w:w="7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02/23/2024</w:t>
            </w:r>
          </w:p>
        </w:tc>
      </w:tr>
      <w:tr>
        <w:trPr/>
        <w:tc>
          <w:tcPr>
            <w:tcW w:w="682"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10.9+</w:t>
            </w:r>
          </w:p>
        </w:tc>
        <w:tc>
          <w:tcPr>
            <w:tcW w:w="643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Arial;sans-serif" w:hAnsi="Arial;sans-serif"/>
                  <w:b w:val="false"/>
                  <w:color w:val="0000FF"/>
                  <w:sz w:val="20"/>
                  <w:u w:val="single"/>
                </w:rPr>
                <w:t>Separation and Release Agreement, dated February 20, 2024, by and between Salarius Pharmaceuticals, Inc. and David J. Arthur</w:t>
              </w:r>
            </w:hyperlink>
          </w:p>
          <w:p>
            <w:pPr>
              <w:pStyle w:val="TableContents"/>
              <w:bidi w:val="0"/>
              <w:spacing w:before="0" w:after="0"/>
              <w:jc w:val="left"/>
              <w:rPr/>
            </w:pPr>
            <w:r>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12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001-36812 Exhibit 10.1</w:t>
            </w:r>
          </w:p>
        </w:tc>
        <w:tc>
          <w:tcPr>
            <w:tcW w:w="7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02/23/2024</w:t>
            </w:r>
          </w:p>
        </w:tc>
      </w:tr>
      <w:tr>
        <w:trPr/>
        <w:tc>
          <w:tcPr>
            <w:tcW w:w="682"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10.10+</w:t>
            </w:r>
          </w:p>
        </w:tc>
        <w:tc>
          <w:tcPr>
            <w:tcW w:w="643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Arial;sans-serif" w:hAnsi="Arial;sans-serif"/>
                  <w:b w:val="false"/>
                  <w:color w:val="0000FF"/>
                  <w:sz w:val="20"/>
                  <w:u w:val="single"/>
                </w:rPr>
                <w:t>Consulting Agreement, dated February 20, 2024, by and between Salarius Pharmaceuticals, Inc. and David J. Arthur</w:t>
              </w:r>
            </w:hyperlink>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12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001-36812 Exhibit 10.2</w:t>
            </w:r>
          </w:p>
        </w:tc>
        <w:tc>
          <w:tcPr>
            <w:tcW w:w="7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02/23/2024</w:t>
            </w:r>
          </w:p>
        </w:tc>
      </w:tr>
      <w:tr>
        <w:trPr/>
        <w:tc>
          <w:tcPr>
            <w:tcW w:w="682"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10.11+</w:t>
            </w:r>
          </w:p>
        </w:tc>
        <w:tc>
          <w:tcPr>
            <w:tcW w:w="643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9">
              <w:r>
                <w:rPr>
                  <w:rStyle w:val="InternetLink"/>
                  <w:rFonts w:ascii="Arial;sans-serif" w:hAnsi="Arial;sans-serif"/>
                  <w:b w:val="false"/>
                  <w:color w:val="0000FF"/>
                  <w:sz w:val="20"/>
                  <w:u w:val="single"/>
                </w:rPr>
                <w:t>Forms of Stock Option Agreement, Notice of Exercise and Stock Option Grant Notice under the Flex Pharma, Inc. 2015 Equity Plan</w:t>
              </w:r>
            </w:hyperlink>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12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001-36812 Exhibit 10.4</w:t>
            </w:r>
          </w:p>
        </w:tc>
        <w:tc>
          <w:tcPr>
            <w:tcW w:w="76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03/24/2015</w:t>
            </w:r>
          </w:p>
        </w:tc>
      </w:tr>
      <w:tr>
        <w:trPr/>
        <w:tc>
          <w:tcPr>
            <w:tcW w:w="682"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10.12+</w:t>
            </w:r>
          </w:p>
        </w:tc>
        <w:tc>
          <w:tcPr>
            <w:tcW w:w="643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0">
              <w:r>
                <w:rPr>
                  <w:rStyle w:val="InternetLink"/>
                  <w:rFonts w:ascii="Arial;sans-serif" w:hAnsi="Arial;sans-serif"/>
                  <w:b w:val="false"/>
                  <w:color w:val="0000FF"/>
                  <w:sz w:val="20"/>
                  <w:u w:val="single"/>
                </w:rPr>
                <w:t>Notice of Stock Option Amendment, dated February 20, 2024, by and between Salarius Pharmaceuticals, Inc. and David J. Arthur.</w:t>
              </w:r>
            </w:hyperlink>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8-K</w:t>
            </w:r>
          </w:p>
        </w:tc>
        <w:tc>
          <w:tcPr>
            <w:tcW w:w="12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001-36812 Exhibit 10.3</w:t>
            </w:r>
          </w:p>
        </w:tc>
        <w:tc>
          <w:tcPr>
            <w:tcW w:w="7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02/23/2024</w:t>
            </w:r>
          </w:p>
        </w:tc>
      </w:tr>
      <w:tr>
        <w:trPr/>
        <w:tc>
          <w:tcPr>
            <w:tcW w:w="682"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10.13+</w:t>
            </w:r>
          </w:p>
        </w:tc>
        <w:tc>
          <w:tcPr>
            <w:tcW w:w="643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1">
              <w:r>
                <w:rPr>
                  <w:rStyle w:val="InternetLink"/>
                  <w:rFonts w:ascii="Arial;sans-serif" w:hAnsi="Arial;sans-serif"/>
                  <w:b w:val="false"/>
                  <w:color w:val="0000FF"/>
                  <w:sz w:val="20"/>
                  <w:u w:val="single"/>
                </w:rPr>
                <w:t>Amended and Restated Salarius Pharmaceuticals, Inc. 2015 Employee Stock Purchase Plan</w:t>
              </w:r>
            </w:hyperlink>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8-K</w:t>
            </w:r>
          </w:p>
        </w:tc>
        <w:tc>
          <w:tcPr>
            <w:tcW w:w="12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001-36812 Exhibit 10.1</w:t>
            </w:r>
          </w:p>
        </w:tc>
        <w:tc>
          <w:tcPr>
            <w:tcW w:w="7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06/15/2023</w:t>
            </w:r>
          </w:p>
        </w:tc>
      </w:tr>
      <w:tr>
        <w:trPr/>
        <w:tc>
          <w:tcPr>
            <w:tcW w:w="682"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10.14</w:t>
            </w:r>
          </w:p>
        </w:tc>
        <w:tc>
          <w:tcPr>
            <w:tcW w:w="643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2">
              <w:r>
                <w:rPr>
                  <w:rStyle w:val="InternetLink"/>
                  <w:rFonts w:ascii="Arial;sans-serif" w:hAnsi="Arial;sans-serif"/>
                  <w:b w:val="false"/>
                  <w:color w:val="0000FF"/>
                  <w:sz w:val="20"/>
                  <w:u w:val="single"/>
                </w:rPr>
                <w:t>At the Market Offering Agreement, dated February 5, 2021, between Salarius Pharmaceuticals, Inc. and Ladenburg Thalmann &amp; Co. Inc.</w:t>
              </w:r>
            </w:hyperlink>
          </w:p>
          <w:p>
            <w:pPr>
              <w:pStyle w:val="TableContents"/>
              <w:bidi w:val="0"/>
              <w:spacing w:before="0" w:after="0"/>
              <w:jc w:val="left"/>
              <w:rPr/>
            </w:pPr>
            <w:r>
              <w:rPr/>
            </w:r>
          </w:p>
          <w:p>
            <w:pPr>
              <w:pStyle w:val="TableContents"/>
              <w:bidi w:val="0"/>
              <w:spacing w:before="0" w:after="0"/>
              <w:jc w:val="left"/>
              <w:rPr/>
            </w:pPr>
            <w:r>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12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001-36812 Exhibit 1.1</w:t>
            </w:r>
          </w:p>
        </w:tc>
        <w:tc>
          <w:tcPr>
            <w:tcW w:w="7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02/05/2021</w:t>
            </w:r>
          </w:p>
        </w:tc>
      </w:tr>
      <w:tr>
        <w:trPr/>
        <w:tc>
          <w:tcPr>
            <w:tcW w:w="682"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10.15</w:t>
            </w:r>
          </w:p>
        </w:tc>
        <w:tc>
          <w:tcPr>
            <w:tcW w:w="643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3">
              <w:r>
                <w:rPr>
                  <w:rStyle w:val="InternetLink"/>
                  <w:rFonts w:ascii="Arial;sans-serif" w:hAnsi="Arial;sans-serif"/>
                  <w:b w:val="false"/>
                  <w:color w:val="0000FF"/>
                  <w:sz w:val="20"/>
                  <w:u w:val="single"/>
                </w:rPr>
                <w:t>Securities Purchase Agreement, dated April 22, 2022</w:t>
              </w:r>
            </w:hyperlink>
          </w:p>
          <w:p>
            <w:pPr>
              <w:pStyle w:val="TableContents"/>
              <w:bidi w:val="0"/>
              <w:spacing w:before="0" w:after="0"/>
              <w:jc w:val="left"/>
              <w:rPr/>
            </w:pPr>
            <w:r>
              <w:rPr/>
            </w:r>
          </w:p>
          <w:p>
            <w:pPr>
              <w:pStyle w:val="TableContents"/>
              <w:bidi w:val="0"/>
              <w:spacing w:before="0" w:after="0"/>
              <w:jc w:val="left"/>
              <w:rPr/>
            </w:pPr>
            <w:r>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12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001-36812 Exhibit 10.1</w:t>
            </w:r>
          </w:p>
        </w:tc>
        <w:tc>
          <w:tcPr>
            <w:tcW w:w="7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04/22/2022</w:t>
            </w:r>
          </w:p>
        </w:tc>
      </w:tr>
      <w:tr>
        <w:trPr/>
        <w:tc>
          <w:tcPr>
            <w:tcW w:w="682"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10.16</w:t>
            </w:r>
          </w:p>
        </w:tc>
        <w:tc>
          <w:tcPr>
            <w:tcW w:w="643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Arial;sans-serif" w:hAnsi="Arial;sans-serif"/>
                  <w:b w:val="false"/>
                  <w:color w:val="0000FF"/>
                  <w:sz w:val="20"/>
                  <w:u w:val="single"/>
                </w:rPr>
                <w:t>Form of Securities Purchase Agreement</w:t>
              </w:r>
            </w:hyperlink>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12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001-36812 Exhibit 10.1</w:t>
            </w:r>
          </w:p>
        </w:tc>
        <w:tc>
          <w:tcPr>
            <w:tcW w:w="7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05/16/2023</w:t>
            </w:r>
          </w:p>
        </w:tc>
      </w:tr>
      <w:tr>
        <w:trPr/>
        <w:tc>
          <w:tcPr>
            <w:tcW w:w="682"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10.17</w:t>
            </w:r>
          </w:p>
        </w:tc>
        <w:tc>
          <w:tcPr>
            <w:tcW w:w="643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5">
              <w:r>
                <w:rPr>
                  <w:rStyle w:val="InternetLink"/>
                  <w:rFonts w:ascii="Arial;sans-serif" w:hAnsi="Arial;sans-serif"/>
                  <w:b w:val="false"/>
                  <w:color w:val="0000FF"/>
                  <w:sz w:val="20"/>
                  <w:u w:val="single"/>
                </w:rPr>
                <w:t>Form of Registration Rights Agreement</w:t>
              </w:r>
            </w:hyperlink>
          </w:p>
          <w:p>
            <w:pPr>
              <w:pStyle w:val="TableContents"/>
              <w:bidi w:val="0"/>
              <w:spacing w:before="0" w:after="0"/>
              <w:jc w:val="left"/>
              <w:rPr/>
            </w:pPr>
            <w:r>
              <w:rPr/>
            </w:r>
          </w:p>
          <w:p>
            <w:pPr>
              <w:pStyle w:val="TableContents"/>
              <w:bidi w:val="0"/>
              <w:spacing w:before="0" w:after="0"/>
              <w:jc w:val="left"/>
              <w:rPr/>
            </w:pPr>
            <w:r>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12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001-36812 Exhibit 10.2</w:t>
            </w:r>
          </w:p>
        </w:tc>
        <w:tc>
          <w:tcPr>
            <w:tcW w:w="7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05/16/2023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ad49f35f870245a7936a54cfbba72753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8"/>
        <w:gridCol w:w="121"/>
        <w:gridCol w:w="121"/>
        <w:gridCol w:w="121"/>
        <w:gridCol w:w="121"/>
        <w:gridCol w:w="121"/>
        <w:gridCol w:w="2378"/>
        <w:gridCol w:w="2083"/>
        <w:gridCol w:w="2088"/>
        <w:gridCol w:w="109"/>
        <w:gridCol w:w="109"/>
        <w:gridCol w:w="109"/>
        <w:gridCol w:w="109"/>
        <w:gridCol w:w="109"/>
        <w:gridCol w:w="109"/>
        <w:gridCol w:w="116"/>
        <w:gridCol w:w="116"/>
        <w:gridCol w:w="116"/>
        <w:gridCol w:w="385"/>
        <w:gridCol w:w="385"/>
        <w:gridCol w:w="387"/>
        <w:gridCol w:w="218"/>
        <w:gridCol w:w="218"/>
        <w:gridCol w:w="318"/>
      </w:tblGrid>
      <w:tr>
        <w:trPr/>
        <w:tc>
          <w:tcPr>
            <w:tcW w:w="1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21.1</w:t>
            </w:r>
          </w:p>
        </w:tc>
        <w:tc>
          <w:tcPr>
            <w:tcW w:w="654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6">
              <w:r>
                <w:rPr>
                  <w:rStyle w:val="InternetLink"/>
                  <w:rFonts w:ascii="Arial;sans-serif" w:hAnsi="Arial;sans-serif"/>
                  <w:b w:val="false"/>
                  <w:color w:val="0000FF"/>
                  <w:sz w:val="20"/>
                  <w:u w:val="single"/>
                </w:rPr>
                <w:t>Subsidiaries of the Registrant</w:t>
              </w:r>
            </w:hyperlink>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S-1</w:t>
            </w:r>
          </w:p>
        </w:tc>
        <w:tc>
          <w:tcPr>
            <w:tcW w:w="115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333-235879 Exhibit 21</w:t>
            </w:r>
          </w:p>
        </w:tc>
        <w:tc>
          <w:tcPr>
            <w:tcW w:w="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01/10/2020</w:t>
            </w:r>
          </w:p>
        </w:tc>
      </w:tr>
      <w:tr>
        <w:trPr/>
        <w:tc>
          <w:tcPr>
            <w:tcW w:w="74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23.1</w:t>
            </w:r>
          </w:p>
        </w:tc>
        <w:tc>
          <w:tcPr>
            <w:tcW w:w="654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3eyconsent.htm">
              <w:r>
                <w:rPr>
                  <w:rStyle w:val="InternetLink"/>
                  <w:rFonts w:ascii="Arial;sans-serif" w:hAnsi="Arial;sans-serif"/>
                  <w:b w:val="false"/>
                  <w:color w:val="0000FF"/>
                  <w:sz w:val="20"/>
                  <w:u w:val="single"/>
                </w:rPr>
                <w:t>Consent of Ernst &amp; Young LLP</w:t>
              </w:r>
            </w:hyperlink>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24.1</w:t>
            </w:r>
          </w:p>
        </w:tc>
        <w:tc>
          <w:tcPr>
            <w:tcW w:w="654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u w:val="single"/>
              </w:rPr>
            </w:pPr>
            <w:r>
              <w:rPr>
                <w:rFonts w:ascii="Arial;sans-serif" w:hAnsi="Arial;sans-serif"/>
                <w:b w:val="false"/>
                <w:color w:val="000000"/>
                <w:sz w:val="20"/>
                <w:u w:val="single"/>
              </w:rPr>
              <w:t>Power of attorney (included on Signature Page)</w:t>
            </w:r>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31.1</w:t>
            </w:r>
          </w:p>
        </w:tc>
        <w:tc>
          <w:tcPr>
            <w:tcW w:w="654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slrx20231231ex-311.htm">
              <w:r>
                <w:rPr>
                  <w:rStyle w:val="InternetLink"/>
                  <w:rFonts w:ascii="Arial;sans-serif" w:hAnsi="Arial;sans-serif"/>
                  <w:b w:val="false"/>
                  <w:color w:val="0000FF"/>
                  <w:sz w:val="20"/>
                  <w:u w:val="single"/>
                </w:rPr>
                <w:t>Certification of Principal Executive Officer Pursuant to Securities Exchange Act Rule 13a-14(a), as adopted pursuant to Section 302 of the Sarbanes-Oxley Act of 2022</w:t>
              </w:r>
            </w:hyperlink>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31.2</w:t>
            </w:r>
          </w:p>
        </w:tc>
        <w:tc>
          <w:tcPr>
            <w:tcW w:w="654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slrx12312023-312expfocerti.htm">
              <w:r>
                <w:rPr>
                  <w:rStyle w:val="InternetLink"/>
                  <w:rFonts w:ascii="Arial;sans-serif" w:hAnsi="Arial;sans-serif"/>
                  <w:b w:val="false"/>
                  <w:color w:val="0000FF"/>
                  <w:sz w:val="20"/>
                  <w:u w:val="single"/>
                </w:rPr>
                <w:t>Certification of Principal Financial and Accounting Officer Pursuant to Securities Exchange Act Rule 13a-14(a), as adopted pursuant to Section 302 of the Sarbanes-Oxley Act of 2002</w:t>
              </w:r>
            </w:hyperlink>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32.1</w:t>
            </w:r>
          </w:p>
        </w:tc>
        <w:tc>
          <w:tcPr>
            <w:tcW w:w="654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slrx12312023-321ex906peoce.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32.2</w:t>
            </w:r>
          </w:p>
        </w:tc>
        <w:tc>
          <w:tcPr>
            <w:tcW w:w="654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slrx12312023-322ex906pfoce.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97</w:t>
            </w:r>
          </w:p>
        </w:tc>
        <w:tc>
          <w:tcPr>
            <w:tcW w:w="654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slrx-compensationcommittee.htm">
              <w:r>
                <w:rPr>
                  <w:rStyle w:val="InternetLink"/>
                  <w:rFonts w:ascii="Arial;sans-serif" w:hAnsi="Arial;sans-serif"/>
                  <w:b w:val="false"/>
                  <w:color w:val="0000FF"/>
                  <w:sz w:val="20"/>
                  <w:u w:val="single"/>
                </w:rPr>
                <w:t>Salarius Pharmaceuticals, Inc., Clawback Policy</w:t>
              </w:r>
            </w:hyperlink>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654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Instance Document</w:t>
            </w:r>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654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Schema Document</w:t>
            </w:r>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654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Calculation Linkbase Document</w:t>
            </w:r>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654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Definition Linkbase Document</w:t>
            </w:r>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654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Label Linkbase Document</w:t>
            </w:r>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654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Presentation Linkbase Document</w:t>
            </w:r>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X</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6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t>
            </w:r>
          </w:p>
        </w:tc>
        <w:tc>
          <w:tcPr>
            <w:tcW w:w="7239" w:type="dxa"/>
            <w:gridSpan w:val="9"/>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Portions of this exhibit have been omitted and provided separately to the SEC pursuant to a request for confidential treatment.</w:t>
            </w:r>
          </w:p>
        </w:tc>
        <w:tc>
          <w:tcPr>
            <w:tcW w:w="258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t>
            </w:r>
          </w:p>
        </w:tc>
        <w:tc>
          <w:tcPr>
            <w:tcW w:w="7239" w:type="dxa"/>
            <w:gridSpan w:val="9"/>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Management contract or compensatory plans or arrangements.</w:t>
            </w:r>
          </w:p>
        </w:tc>
        <w:tc>
          <w:tcPr>
            <w:tcW w:w="258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160" w:after="160"/>
        <w:jc w:val="left"/>
        <w:rPr/>
      </w:pPr>
      <w:hyperlink w:anchor="iad49f35f870245a7936a54cfbba72753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center"/>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registration statement to be signed on its behalf by the undersigned, thereunto duly authorized.</w:t>
      </w:r>
    </w:p>
    <w:p>
      <w:pPr>
        <w:pStyle w:val="TextBody"/>
        <w:bidi w:val="0"/>
        <w:spacing w:before="0" w:after="0"/>
        <w:jc w:val="left"/>
        <w:rPr/>
      </w:pPr>
      <w:r>
        <w:rPr/>
      </w:r>
    </w:p>
    <w:p>
      <w:pPr>
        <w:pStyle w:val="TextBody"/>
        <w:bidi w:val="0"/>
        <w:spacing w:lineRule="auto" w:line="228" w:before="0" w:after="0"/>
        <w:jc w:val="left"/>
        <w:rPr>
          <w:rFonts w:ascii="Arial;sans-serif" w:hAnsi="Arial;sans-serif"/>
          <w:b w:val="false"/>
          <w:color w:val="000000"/>
          <w:sz w:val="20"/>
        </w:rPr>
      </w:pPr>
      <w:r>
        <w:rPr>
          <w:rFonts w:ascii="Arial;sans-serif" w:hAnsi="Arial;sans-serif"/>
          <w:b w:val="false"/>
          <w:color w:val="000000"/>
          <w:sz w:val="20"/>
        </w:rPr>
        <w:t xml:space="preserve">March 22, 2024    SALARIUS PHARMACEUTICALS, INC. </w:t>
      </w:r>
    </w:p>
    <w:p>
      <w:pPr>
        <w:pStyle w:val="TextBody"/>
        <w:bidi w:val="0"/>
        <w:spacing w:before="0" w:after="0"/>
        <w:jc w:val="left"/>
        <w:rPr/>
      </w:pPr>
      <w:r>
        <w:rPr/>
      </w:r>
    </w:p>
    <w:p>
      <w:pPr>
        <w:pStyle w:val="TextBody"/>
        <w:bidi w:val="0"/>
        <w:spacing w:lineRule="auto" w:line="228" w:before="0" w:after="0"/>
        <w:ind w:left="0" w:right="0" w:firstLine="5760"/>
        <w:jc w:val="left"/>
        <w:rPr/>
      </w:pPr>
      <w:r>
        <w:rPr>
          <w:rFonts w:ascii="Arial;sans-serif" w:hAnsi="Arial;sans-serif"/>
          <w:b w:val="false"/>
          <w:color w:val="000000"/>
          <w:sz w:val="20"/>
        </w:rPr>
        <w:t>By:</w:t>
      </w:r>
      <w:r>
        <w:rPr>
          <w:color w:val="000000"/>
          <w:u w:val="single"/>
        </w:rPr>
        <w:t xml:space="preserve"> </w:t>
      </w:r>
      <w:r>
        <w:rPr>
          <w:rFonts w:ascii="Arial;sans-serif" w:hAnsi="Arial;sans-serif"/>
          <w:b w:val="false"/>
          <w:color w:val="000000"/>
          <w:sz w:val="20"/>
          <w:u w:val="single"/>
        </w:rPr>
        <w:t xml:space="preserve">/s/ David J. Arthur </w:t>
      </w:r>
    </w:p>
    <w:p>
      <w:pPr>
        <w:pStyle w:val="TextBody"/>
        <w:bidi w:val="0"/>
        <w:spacing w:lineRule="auto" w:line="228" w:before="0" w:after="0"/>
        <w:ind w:left="0" w:right="0" w:firstLine="5760"/>
        <w:jc w:val="left"/>
        <w:rPr>
          <w:rFonts w:ascii="Arial;sans-serif" w:hAnsi="Arial;sans-serif"/>
          <w:b w:val="false"/>
          <w:color w:val="000000"/>
          <w:sz w:val="20"/>
        </w:rPr>
      </w:pPr>
      <w:r>
        <w:rPr>
          <w:rFonts w:ascii="Arial;sans-serif" w:hAnsi="Arial;sans-serif"/>
          <w:b w:val="false"/>
          <w:color w:val="000000"/>
          <w:sz w:val="20"/>
        </w:rPr>
        <w:t xml:space="preserve">David J. Arthur </w:t>
      </w:r>
    </w:p>
    <w:p>
      <w:pPr>
        <w:pStyle w:val="TextBody"/>
        <w:bidi w:val="0"/>
        <w:spacing w:lineRule="auto" w:line="228" w:before="0" w:after="0"/>
        <w:ind w:left="0" w:right="0" w:firstLine="5760"/>
        <w:jc w:val="left"/>
        <w:rPr>
          <w:rFonts w:ascii="Arial;sans-serif" w:hAnsi="Arial;sans-serif"/>
          <w:b w:val="false"/>
          <w:i/>
          <w:color w:val="000000"/>
          <w:sz w:val="20"/>
        </w:rPr>
      </w:pPr>
      <w:r>
        <w:rPr>
          <w:rFonts w:ascii="Arial;sans-serif" w:hAnsi="Arial;sans-serif"/>
          <w:b w:val="false"/>
          <w:i/>
          <w:color w:val="000000"/>
          <w:sz w:val="20"/>
        </w:rPr>
        <w:t xml:space="preserve">President &amp; Chief Executive Officer </w:t>
      </w:r>
    </w:p>
    <w:p>
      <w:pPr>
        <w:pStyle w:val="TextBody"/>
        <w:bidi w:val="0"/>
        <w:spacing w:before="0" w:after="0"/>
        <w:ind w:left="0" w:right="0" w:firstLine="5760"/>
        <w:jc w:val="left"/>
        <w:rPr/>
      </w:pPr>
      <w:r>
        <w:rPr/>
      </w:r>
    </w:p>
    <w:p>
      <w:pPr>
        <w:pStyle w:val="TextBody"/>
        <w:bidi w:val="0"/>
        <w:spacing w:before="0" w:after="0"/>
        <w:ind w:left="0" w:right="0" w:firstLine="5760"/>
        <w:jc w:val="left"/>
        <w:rPr/>
      </w:pPr>
      <w:r>
        <w:rPr/>
      </w:r>
    </w:p>
    <w:p>
      <w:pPr>
        <w:pStyle w:val="TextBody"/>
        <w:bidi w:val="0"/>
        <w:spacing w:lineRule="auto" w:line="276" w:before="0" w:after="240"/>
        <w:jc w:val="left"/>
        <w:rPr>
          <w:rFonts w:ascii="Arial;sans-serif" w:hAnsi="Arial;sans-serif"/>
          <w:b w:val="false"/>
          <w:color w:val="000000"/>
          <w:sz w:val="20"/>
        </w:rPr>
      </w:pPr>
      <w:r>
        <w:rPr>
          <w:rFonts w:ascii="Arial;sans-serif" w:hAnsi="Arial;sans-serif"/>
          <w:b w:val="false"/>
          <w:color w:val="000000"/>
          <w:sz w:val="20"/>
        </w:rPr>
        <w:t>Each of the undersigned officers and directors of Salarius Pharmaceuticals, Inc., hereby constitutes and appoints David J. Arthur and Mark J. Rosenblum,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pStyle w:val="TextBody"/>
        <w:bidi w:val="0"/>
        <w:spacing w:lineRule="auto" w:line="276" w:before="0" w:after="24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annual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1031"/>
        <w:gridCol w:w="904"/>
        <w:gridCol w:w="909"/>
        <w:gridCol w:w="2088"/>
        <w:gridCol w:w="2029"/>
        <w:gridCol w:w="2056"/>
        <w:gridCol w:w="346"/>
        <w:gridCol w:w="346"/>
        <w:gridCol w:w="496"/>
      </w:tblGrid>
      <w:tr>
        <w:trPr/>
        <w:tc>
          <w:tcPr>
            <w:tcW w:w="103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8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i/>
                <w:color w:val="000000"/>
                <w:sz w:val="20"/>
              </w:rPr>
            </w:pPr>
            <w:r>
              <w:rPr>
                <w:rFonts w:ascii="Arial;sans-serif" w:hAnsi="Arial;sans-serif"/>
                <w:b/>
                <w:i/>
                <w:color w:val="000000"/>
                <w:sz w:val="20"/>
              </w:rPr>
              <w:t>SIGNATURE</w:t>
            </w:r>
          </w:p>
        </w:tc>
        <w:tc>
          <w:tcPr>
            <w:tcW w:w="61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i/>
                <w:color w:val="000000"/>
                <w:sz w:val="20"/>
              </w:rPr>
            </w:pPr>
            <w:r>
              <w:rPr>
                <w:rFonts w:ascii="Arial;sans-serif" w:hAnsi="Arial;sans-serif"/>
                <w:b/>
                <w:i/>
                <w:color w:val="000000"/>
                <w:sz w:val="20"/>
              </w:rPr>
              <w:t>TITLE</w:t>
            </w:r>
          </w:p>
        </w:tc>
        <w:tc>
          <w:tcPr>
            <w:tcW w:w="118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i/>
                <w:color w:val="000000"/>
                <w:sz w:val="20"/>
              </w:rPr>
            </w:pPr>
            <w:r>
              <w:rPr>
                <w:rFonts w:ascii="Arial;sans-serif" w:hAnsi="Arial;sans-serif"/>
                <w:b/>
                <w:i/>
                <w:color w:val="000000"/>
                <w:sz w:val="20"/>
              </w:rPr>
              <w:t>DATE</w:t>
            </w:r>
          </w:p>
        </w:tc>
      </w:tr>
      <w:tr>
        <w:trPr/>
        <w:tc>
          <w:tcPr>
            <w:tcW w:w="284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i/>
                <w:color w:val="000000"/>
                <w:sz w:val="20"/>
                <w:u w:val="single"/>
              </w:rPr>
              <w:t xml:space="preserve">/s/ William K. McVicar </w:t>
            </w:r>
            <w:r>
              <w:rPr>
                <w:rFonts w:ascii="Arial;sans-serif" w:hAnsi="Arial;sans-serif"/>
                <w:b w:val="false"/>
                <w:i/>
                <w:color w:val="000000"/>
                <w:sz w:val="20"/>
              </w:rPr>
              <w:t>William K. McVicar</w:t>
            </w:r>
          </w:p>
        </w:tc>
        <w:tc>
          <w:tcPr>
            <w:tcW w:w="617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Chairman of the Board</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22, 2024</w:t>
            </w:r>
          </w:p>
        </w:tc>
      </w:tr>
      <w:tr>
        <w:trPr/>
        <w:tc>
          <w:tcPr>
            <w:tcW w:w="284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i/>
                <w:color w:val="000000"/>
                <w:sz w:val="20"/>
                <w:u w:val="single"/>
              </w:rPr>
              <w:t>/s/ David J. Arthur</w:t>
            </w:r>
            <w:r>
              <w:rPr>
                <w:color w:val="000000"/>
              </w:rPr>
              <w:t xml:space="preserve"> </w:t>
            </w:r>
            <w:r>
              <w:rPr>
                <w:rFonts w:ascii="Arial;sans-serif" w:hAnsi="Arial;sans-serif"/>
                <w:b w:val="false"/>
                <w:i/>
                <w:color w:val="000000"/>
                <w:sz w:val="20"/>
              </w:rPr>
              <w:t xml:space="preserve">David J. Arthur </w:t>
            </w:r>
          </w:p>
        </w:tc>
        <w:tc>
          <w:tcPr>
            <w:tcW w:w="617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Director, President &amp; Chief Executive Officer (Principal Executive Officer)</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22, 2024</w:t>
            </w:r>
          </w:p>
        </w:tc>
      </w:tr>
      <w:tr>
        <w:trPr/>
        <w:tc>
          <w:tcPr>
            <w:tcW w:w="284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i/>
                <w:color w:val="000000"/>
                <w:sz w:val="20"/>
                <w:u w:val="single"/>
              </w:rPr>
              <w:t>/s/ Mark J. Rosenblum</w:t>
            </w:r>
            <w:r>
              <w:rPr>
                <w:color w:val="000000"/>
              </w:rPr>
              <w:t xml:space="preserve"> </w:t>
            </w:r>
            <w:r>
              <w:rPr>
                <w:rFonts w:ascii="Arial;sans-serif" w:hAnsi="Arial;sans-serif"/>
                <w:b w:val="false"/>
                <w:i/>
                <w:color w:val="000000"/>
                <w:sz w:val="20"/>
              </w:rPr>
              <w:t>Mark J. Rosenblum</w:t>
            </w:r>
          </w:p>
        </w:tc>
        <w:tc>
          <w:tcPr>
            <w:tcW w:w="617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Executive Vice President of Finance and Chief Financial Officer, Principal Financial and Accounting Officer</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22, 2024</w:t>
            </w:r>
          </w:p>
        </w:tc>
      </w:tr>
      <w:tr>
        <w:trPr/>
        <w:tc>
          <w:tcPr>
            <w:tcW w:w="284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i/>
                <w:color w:val="000000"/>
                <w:sz w:val="20"/>
                <w:u w:val="single"/>
              </w:rPr>
              <w:t xml:space="preserve">/s/ Tess Burleson </w:t>
            </w:r>
            <w:r>
              <w:rPr>
                <w:rFonts w:ascii="Arial;sans-serif" w:hAnsi="Arial;sans-serif"/>
                <w:b w:val="false"/>
                <w:i/>
                <w:color w:val="000000"/>
                <w:sz w:val="20"/>
              </w:rPr>
              <w:t>Tess Burleson</w:t>
            </w:r>
          </w:p>
        </w:tc>
        <w:tc>
          <w:tcPr>
            <w:tcW w:w="617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Director</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22, 2024</w:t>
            </w:r>
          </w:p>
        </w:tc>
      </w:tr>
      <w:tr>
        <w:trPr/>
        <w:tc>
          <w:tcPr>
            <w:tcW w:w="28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i/>
                <w:color w:val="000000"/>
                <w:sz w:val="20"/>
                <w:u w:val="single"/>
              </w:rPr>
            </w:pPr>
            <w:r>
              <w:rPr>
                <w:rFonts w:ascii="Arial;sans-serif" w:hAnsi="Arial;sans-serif"/>
                <w:b w:val="false"/>
                <w:i/>
                <w:color w:val="000000"/>
                <w:sz w:val="20"/>
                <w:u w:val="single"/>
              </w:rPr>
              <w:t>/s/ Arnold Hanish</w:t>
            </w:r>
          </w:p>
          <w:p>
            <w:pPr>
              <w:pStyle w:val="TableContents"/>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Arnold Hanish</w:t>
            </w:r>
          </w:p>
        </w:tc>
        <w:tc>
          <w:tcPr>
            <w:tcW w:w="617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Director</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22, 2024</w:t>
            </w:r>
          </w:p>
        </w:tc>
      </w:tr>
      <w:tr>
        <w:trPr/>
        <w:tc>
          <w:tcPr>
            <w:tcW w:w="284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i/>
                <w:color w:val="000000"/>
                <w:sz w:val="20"/>
                <w:u w:val="single"/>
              </w:rPr>
              <w:t>/s/ Paul Lammers</w:t>
            </w:r>
            <w:r>
              <w:rPr>
                <w:color w:val="000000"/>
              </w:rPr>
              <w:t xml:space="preserve"> </w:t>
            </w:r>
            <w:r>
              <w:rPr>
                <w:rFonts w:ascii="Arial;sans-serif" w:hAnsi="Arial;sans-serif"/>
                <w:b w:val="false"/>
                <w:i/>
                <w:color w:val="000000"/>
                <w:sz w:val="20"/>
              </w:rPr>
              <w:t>Paul Lammers</w:t>
            </w:r>
          </w:p>
        </w:tc>
        <w:tc>
          <w:tcPr>
            <w:tcW w:w="617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Director</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22, 2024</w:t>
            </w:r>
          </w:p>
        </w:tc>
      </w:tr>
      <w:tr>
        <w:trPr/>
        <w:tc>
          <w:tcPr>
            <w:tcW w:w="284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i/>
                <w:color w:val="000000"/>
                <w:sz w:val="20"/>
                <w:u w:val="single"/>
              </w:rPr>
              <w:t>/s/ Jon Lieber</w:t>
            </w:r>
            <w:r>
              <w:rPr>
                <w:color w:val="000000"/>
              </w:rPr>
              <w:t xml:space="preserve"> </w:t>
            </w:r>
          </w:p>
          <w:p>
            <w:pPr>
              <w:pStyle w:val="TableContents"/>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 xml:space="preserve">Jon Lieber </w:t>
            </w:r>
          </w:p>
        </w:tc>
        <w:tc>
          <w:tcPr>
            <w:tcW w:w="617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Director</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22, 2024</w:t>
            </w:r>
          </w:p>
        </w:tc>
      </w:tr>
      <w:tr>
        <w:trPr/>
        <w:tc>
          <w:tcPr>
            <w:tcW w:w="284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i/>
                <w:color w:val="000000"/>
                <w:sz w:val="20"/>
                <w:u w:val="single"/>
              </w:rPr>
              <w:t>/s/ Bruce McCreedy</w:t>
            </w:r>
            <w:r>
              <w:rPr>
                <w:color w:val="000000"/>
              </w:rPr>
              <w:t xml:space="preserve"> </w:t>
            </w:r>
            <w:r>
              <w:rPr>
                <w:rFonts w:ascii="Arial;sans-serif" w:hAnsi="Arial;sans-serif"/>
                <w:b w:val="false"/>
                <w:i/>
                <w:color w:val="000000"/>
                <w:sz w:val="20"/>
              </w:rPr>
              <w:t>Bruce McCreedy</w:t>
            </w:r>
          </w:p>
        </w:tc>
        <w:tc>
          <w:tcPr>
            <w:tcW w:w="617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Director</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22, 2024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pPr>
      <w:r>
        <w:rPr>
          <w:rFonts w:ascii="Times New Roman;sans-serif" w:hAnsi="Times New Roman;sans-serif"/>
          <w:b/>
          <w:color w:val="000000"/>
          <w:sz w:val="24"/>
        </w:rPr>
        <w:t>Consent</w:t>
      </w:r>
      <w:r>
        <w:rPr>
          <w:color w:val="000000"/>
        </w:rPr>
        <w:t xml:space="preserve"> </w:t>
      </w:r>
      <w:r>
        <w:rPr>
          <w:rFonts w:ascii="Times New Roman;sans-serif" w:hAnsi="Times New Roman;sans-serif"/>
          <w:b/>
          <w:color w:val="000000"/>
          <w:sz w:val="24"/>
        </w:rPr>
        <w:t>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 consent to the incorporation by reference in the following Registration Statements: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 Registration Statement (Form S-8 No. 333-201816) pertaining to the 2014 Equity Incentive              Plan, 2015 Equity Incentive Plan and 2015 Employee Stock Purchase Plan of Salarius Pharmaceuticals, Inc. (formerly known as Flex Pharma, Inc.);</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 Registration Statement (Form S-8 Nos. 333-210283, 333-216534, 333-223499, 333-230104, 333-246310, 333-262896, and 333-269801) pertaining to the 2015 Equity Incentive Plan and 2015 Employee Stock Purchase Plan of Salarius Pharmaceuticals, Inc.;</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 Registration Statement (Form S-3 No. 333-252169) of Salarius Pharmaceuticals, Inc.;</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 Registration Statement (Form S-1 No. 333-235879) of Salarius Pharmaceuticals, Inc.;</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 Registration Statement (Form S-1MEF No. 333-236306) of Salarius Pharmaceuticals, Inc.;</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(6) Registration Statement (Form S-3 No. 333-265535) of Salarius Pharmaceuticals, Inc.; </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(7) Registration Statement (Form S-3 No. 333-266589) of Salarius Pharmaceuticals, Inc.; and </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 Registration Statement (Form S-3 No. 333-272249) of Salarius Pharmaceuticals, Inc.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of our report dated March 22, 2024, with respect to the consolidated financial statements of Salarius Pharmaceuticals, Inc. included in this Annual Report (Form 10-K) of Salarius Pharmaceuticals, Inc. for the year ended December 31,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/s/ Ernst &amp; Young LLP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Houston, Texas</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March 22,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rFonts w:ascii="Arial;sans-serif" w:hAnsi="Arial;sans-serif"/>
          <w:b/>
          <w:color w:val="000000"/>
          <w:sz w:val="20"/>
        </w:rPr>
        <w:t>Exhibit </w:t>
      </w:r>
      <w:r>
        <w:rPr>
          <w:rFonts w:ascii="Times New Roman;sans-serif" w:hAnsi="Times New Roman;sans-serif"/>
          <w:b/>
          <w:color w:val="000000"/>
          <w:sz w:val="20"/>
        </w:rPr>
        <w:t>31.1</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76"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 David J. Arthur, certify that:</w:t>
      </w:r>
    </w:p>
    <w:p>
      <w:pPr>
        <w:pStyle w:val="TextBody"/>
        <w:bidi w:val="0"/>
        <w:spacing w:lineRule="auto" w:line="276"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Salarius Pharmaceuticals, Inc. for the year ended December 31, 2023;</w:t>
      </w:r>
    </w:p>
    <w:p>
      <w:pPr>
        <w:pStyle w:val="TextBody"/>
        <w:bidi w:val="0"/>
        <w:spacing w:lineRule="auto" w:line="276"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lineRule="auto" w:line="276"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lineRule="auto" w:line="276"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76"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473" w:type="dxa"/>
        <w:jc w:val="center"/>
        <w:tblInd w:w="0" w:type="dxa"/>
        <w:tblLayout w:type="fixed"/>
        <w:tblCellMar>
          <w:top w:w="28" w:type="dxa"/>
          <w:left w:w="28" w:type="dxa"/>
          <w:bottom w:w="28" w:type="dxa"/>
          <w:right w:w="28" w:type="dxa"/>
        </w:tblCellMar>
      </w:tblPr>
      <w:tblGrid>
        <w:gridCol w:w="721"/>
        <w:gridCol w:w="634"/>
        <w:gridCol w:w="640"/>
        <w:gridCol w:w="134"/>
        <w:gridCol w:w="134"/>
        <w:gridCol w:w="136"/>
        <w:gridCol w:w="900"/>
        <w:gridCol w:w="900"/>
        <w:gridCol w:w="1274"/>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22, 2024</w:t>
            </w:r>
          </w:p>
        </w:tc>
        <w:tc>
          <w:tcPr>
            <w:tcW w:w="4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J. Arthur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hanging="60"/>
              <w:jc w:val="left"/>
              <w:rPr>
                <w:rFonts w:ascii="Times New Roman;sans-serif" w:hAnsi="Times New Roman;sans-serif"/>
                <w:b w:val="false"/>
                <w:color w:val="000000"/>
                <w:sz w:val="20"/>
              </w:rPr>
            </w:pPr>
            <w:r>
              <w:rPr>
                <w:rFonts w:ascii="Times New Roman;sans-serif" w:hAnsi="Times New Roman;sans-serif"/>
                <w:b w:val="false"/>
                <w:color w:val="000000"/>
                <w:sz w:val="20"/>
              </w:rPr>
              <w:t>Name: David J. Arthur</w:t>
            </w:r>
          </w:p>
          <w:p>
            <w:pPr>
              <w:pStyle w:val="TableContents"/>
              <w:bidi w:val="0"/>
              <w:spacing w:lineRule="auto" w:line="276" w:before="0" w:after="0"/>
              <w:ind w:left="0" w:right="0" w:hanging="6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p>
            <w:pPr>
              <w:pStyle w:val="TableContents"/>
              <w:bidi w:val="0"/>
              <w:spacing w:lineRule="auto" w:line="276" w:before="0" w:after="0"/>
              <w:ind w:left="0" w:right="0" w:hanging="60"/>
              <w:jc w:val="left"/>
              <w:rPr>
                <w:color w:val="000000"/>
              </w:rPr>
            </w:pPr>
            <w:r>
              <w:rPr>
                <w:color w:val="000000"/>
              </w:rPr>
              <w:t>          </w:t>
            </w:r>
            <w:r>
              <w:rPr>
                <w:rFonts w:ascii="Times New Roman;sans-serif" w:hAnsi="Times New Roman;sans-serif"/>
                <w:b w:val="false"/>
                <w:color w:val="000000"/>
                <w:sz w:val="20"/>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RULES 13a-14(a) AND 15d-14(a) UNDER THE SECURITIES EXCHANGE ACT OF 1934,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Mark Rosenblum, certify that:</w:t>
      </w:r>
    </w:p>
    <w:p>
      <w:pPr>
        <w:pStyle w:val="TextBody"/>
        <w:bidi w:val="0"/>
        <w:spacing w:before="0" w:after="12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year ended December 31, 2023 of Salarius Pharmaceuticals, Inc.;</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8234" w:type="dxa"/>
        <w:jc w:val="left"/>
        <w:tblInd w:w="0" w:type="dxa"/>
        <w:tblLayout w:type="fixed"/>
        <w:tblCellMar>
          <w:top w:w="28" w:type="dxa"/>
          <w:left w:w="28" w:type="dxa"/>
          <w:bottom w:w="28" w:type="dxa"/>
          <w:right w:w="28" w:type="dxa"/>
        </w:tblCellMar>
      </w:tblPr>
      <w:tblGrid>
        <w:gridCol w:w="721"/>
        <w:gridCol w:w="634"/>
        <w:gridCol w:w="640"/>
        <w:gridCol w:w="134"/>
        <w:gridCol w:w="134"/>
        <w:gridCol w:w="136"/>
        <w:gridCol w:w="1705"/>
        <w:gridCol w:w="1705"/>
        <w:gridCol w:w="2425"/>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22,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Rosenblum</w:t>
            </w:r>
          </w:p>
        </w:tc>
      </w:tr>
      <w:tr>
        <w:trPr/>
        <w:tc>
          <w:tcPr>
            <w:tcW w:w="199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40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Mark Rosenblum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of Finance and Chief Financial Officer</w:t>
            </w:r>
          </w:p>
          <w:p>
            <w:pPr>
              <w:pStyle w:val="TableContents"/>
              <w:bidi w:val="0"/>
              <w:spacing w:lineRule="auto" w:line="288" w:before="0" w:after="0"/>
              <w:jc w:val="left"/>
              <w:rPr>
                <w:color w:val="000000"/>
              </w:rPr>
            </w:pPr>
            <w:r>
              <w:rPr>
                <w:color w:val="000000"/>
              </w:rPr>
              <w:t>      </w:t>
            </w:r>
          </w:p>
        </w:tc>
      </w:tr>
    </w:tbl>
    <w:p>
      <w:pPr>
        <w:pStyle w:val="TextBody"/>
        <w:bidi w:val="0"/>
        <w:spacing w:before="0" w:after="0"/>
        <w:ind w:left="0" w:right="0" w:firstLine="720"/>
        <w:jc w:val="both"/>
        <w:rPr/>
      </w:pPr>
      <w:r>
        <w:rPr/>
      </w:r>
    </w:p>
    <w:p>
      <w:pPr>
        <w:pStyle w:val="TextBody"/>
        <w:bidi w:val="0"/>
        <w:spacing w:before="0" w:after="24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 PURSUANT TO</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18 U.S.C. SECTION 1350, AS ADOPTED PURSUANT TO</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SECTION 906 OF THE SARBANES-OXLEY ACT OF 2002</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connection with the Annual Report on Form 10-K for the year ended December 31, 2023 of Salarius Pharmaceuticals, Inc. (the “Company”), as filed with the Securities and Exchange Commission on the date hereof (the “Report”), I, David J. Arthur, Chief Executive Officer of the Company, certify, pursuant to 18 U.S.C. Section 1350, as adopted pursuant to Section 906 of the Sarbanes-Oxley Act of 2002, that:</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1.the Report fully complies with the requirements of Section 13(a) or 15(d) of the Securities Exchange Act of 1934; and</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2.the information contained in the Report fairly presents, in all material respects, the financial condition and results of operations of the Company.</w:t>
      </w:r>
    </w:p>
    <w:p>
      <w:pPr>
        <w:pStyle w:val="TextBody"/>
        <w:bidi w:val="0"/>
        <w:spacing w:lineRule="auto" w:line="288" w:before="0" w:after="240"/>
        <w:ind w:left="0" w:right="0" w:firstLine="720"/>
        <w:jc w:val="left"/>
        <w:rPr>
          <w:color w:val="000000"/>
        </w:rPr>
      </w:pPr>
      <w:r>
        <w:rPr>
          <w:color w:val="000000"/>
        </w:rPr>
        <w:t>                    </w:t>
      </w:r>
    </w:p>
    <w:tbl>
      <w:tblPr>
        <w:tblW w:w="6253" w:type="dxa"/>
        <w:jc w:val="left"/>
        <w:tblInd w:w="0" w:type="dxa"/>
        <w:tblLayout w:type="fixed"/>
        <w:tblCellMar>
          <w:top w:w="28" w:type="dxa"/>
          <w:left w:w="28" w:type="dxa"/>
          <w:bottom w:w="28" w:type="dxa"/>
          <w:right w:w="28" w:type="dxa"/>
        </w:tblCellMar>
      </w:tblPr>
      <w:tblGrid>
        <w:gridCol w:w="842"/>
        <w:gridCol w:w="740"/>
        <w:gridCol w:w="743"/>
        <w:gridCol w:w="149"/>
        <w:gridCol w:w="149"/>
        <w:gridCol w:w="151"/>
        <w:gridCol w:w="1015"/>
        <w:gridCol w:w="1015"/>
        <w:gridCol w:w="1449"/>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 March 22, 2024</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David J. Arthur</w:t>
            </w:r>
          </w:p>
        </w:tc>
      </w:tr>
      <w:tr>
        <w:trPr/>
        <w:tc>
          <w:tcPr>
            <w:tcW w:w="232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4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David J. Arthur</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w:t>
            </w:r>
          </w:p>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(Principal Executive Officer)</w:t>
            </w:r>
          </w:p>
        </w:tc>
      </w:tr>
    </w:tbl>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 PURSUANT TO</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18 U.S.C. SECTION 1350, AS ADOPTED PURSUANT TO</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SECTION 906 OF THE SARBANES-OXLEY ACT OF 2002</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connection with the Annual Report on Form 10-K for the year ended December 31, 2023 of Salarius Pharmaceuticals, Inc. (the “Company”), as filed with the Securities and Exchange Commission on the date hereof (the “Report”), I, Mark Rosenblum, Chief Financial Officer of the Company, certify, pursuant to 18 U.S.C. Section 1350, as adopted pursuant to Section 906 of the Sarbanes-Oxley Act of 2002, that:</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1.the Report fully complies with the requirements of Section 13(a) or 15(d) of the Securities Exchange Act of 1934; and</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2.the information contained in the Report fairly presents, in all material respects, the financial condition and results of operations of the Company.</w:t>
      </w:r>
    </w:p>
    <w:p>
      <w:pPr>
        <w:pStyle w:val="TextBody"/>
        <w:bidi w:val="0"/>
        <w:spacing w:lineRule="auto" w:line="288" w:before="0" w:after="240"/>
        <w:ind w:left="0" w:right="0" w:firstLine="720"/>
        <w:jc w:val="left"/>
        <w:rPr>
          <w:color w:val="000000"/>
        </w:rPr>
      </w:pPr>
      <w:r>
        <w:rPr>
          <w:color w:val="000000"/>
        </w:rPr>
        <w:t>                    </w:t>
      </w:r>
    </w:p>
    <w:tbl>
      <w:tblPr>
        <w:tblW w:w="9584" w:type="dxa"/>
        <w:jc w:val="left"/>
        <w:tblInd w:w="0" w:type="dxa"/>
        <w:tblLayout w:type="fixed"/>
        <w:tblCellMar>
          <w:top w:w="28" w:type="dxa"/>
          <w:left w:w="28" w:type="dxa"/>
          <w:bottom w:w="28" w:type="dxa"/>
          <w:right w:w="28" w:type="dxa"/>
        </w:tblCellMar>
      </w:tblPr>
      <w:tblGrid>
        <w:gridCol w:w="842"/>
        <w:gridCol w:w="740"/>
        <w:gridCol w:w="743"/>
        <w:gridCol w:w="149"/>
        <w:gridCol w:w="149"/>
        <w:gridCol w:w="151"/>
        <w:gridCol w:w="1991"/>
        <w:gridCol w:w="1991"/>
        <w:gridCol w:w="2828"/>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 March 22, 2024</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Mark Rosenblum</w:t>
            </w:r>
          </w:p>
        </w:tc>
      </w:tr>
      <w:tr>
        <w:trPr/>
        <w:tc>
          <w:tcPr>
            <w:tcW w:w="232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4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Mark Rosenblum</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Executive Vice President of Finance and Chief Financial Officer</w:t>
              <w:br/>
              <w:t>          </w:t>
            </w:r>
          </w:p>
        </w:tc>
      </w:tr>
    </w:tbl>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SALARIUS PHARMACEUTICALS, INC.</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Incentive Compensation Recovery Policy</w:t>
      </w:r>
    </w:p>
    <w:p>
      <w:pPr>
        <w:pStyle w:val="TextBody"/>
        <w:bidi w:val="0"/>
        <w:spacing w:lineRule="auto" w:line="268" w:before="0" w:after="0"/>
        <w:jc w:val="left"/>
        <w:rPr/>
      </w:pPr>
      <w:r>
        <w:rPr>
          <w:rFonts w:ascii="Times New Roman;sans-serif" w:hAnsi="Times New Roman;sans-serif"/>
          <w:b/>
          <w:color w:val="000000"/>
          <w:sz w:val="24"/>
        </w:rPr>
        <w:t>Adopted by the Board of Directors (the “Board”) of Salarius Pharmaceuticals, Inc. (the</w:t>
      </w:r>
      <w:r>
        <w:rPr>
          <w:color w:val="000000"/>
        </w:rPr>
        <w:t xml:space="preserv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on November 17, 2023</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is committed to conducting business in accordance with the highest ethical and legal standards, and the Board believes that a culture that emphasizes integrity and accountability is in the best interests of the Company and its stockholders and essential to the Company’s success. The Board is therefore adopting this Incentive Compensation Recovery Policy (this “Policy”) to provide for the recovery of certain incentive compensation in the event of an Accounting Restatement. This Policy is intended to foster a culture of compliance and accountability, to reward integrity, and to reinforce the Company’s pay-for-performance compensation philosophy.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Statement of Policy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that the Company is required to prepare an Accounting Restatement, except as otherwise set forth in this Policy, the Company shall recover, reasonably promptly, the Excess Incentive Compensation received by any Covered Executive during the Recoupment Period.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applies to all Incentive Compensation received during the Recoupment Period by a person (a) after beginning service as a Covered Executive, (b) who served as a Covered Executive at any time during the performance period for that Incentive Compensation and (c) while the Company has a class of securities listed on the Nasdaq Stock Market LLC (“Nasdaq”) or another national securities exchange or association. This Policy may therefore apply to a Covered Executive even after that person is no longer a Company employee or a Covered Executive at the time of recovery.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Incentive Compensation is deemed “received” for purposes of this Policy in the fiscal period during which the financial reporting measure specified in the Incentive Compensation award is attained, even if the payment or issuance of such Incentive Compensation occurs after the end of that period. For example, if the performance target for an award is based on total stockholder return or revenue for the year ended December 31, 2023, the award will be deemed to have been received in 2023 even if paid in 2024.</w:t>
      </w:r>
    </w:p>
    <w:p>
      <w:pPr>
        <w:pStyle w:val="TextBody"/>
        <w:bidi w:val="0"/>
        <w:spacing w:lineRule="auto" w:line="26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Exceptions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is not required to recover Excess Incentive Compensation pursuant to this Policy to the extent the Compensation Committee of the Board (the “Committee”) makes a determination that recovery would be impracticable for one of the following reasons (and the applicable procedural requirements are met):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val="false"/>
          <w:color w:val="000000"/>
          <w:sz w:val="24"/>
        </w:rPr>
        <w:t>after making a reasonable and documented attempt to recover the Excess Incentive Compensation, which documentation will be provided to Nasdaq to the extent required, the Committee determines that the direct expenses that would be paid to a third party to assist in enforcing this Policy would exceed the amount to be recovered; or</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val="false"/>
          <w:color w:val="000000"/>
          <w:sz w:val="24"/>
        </w:rPr>
        <w:t>the Committee determines that 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lineRule="auto" w:line="268"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Definitions</w:t>
      </w:r>
    </w:p>
    <w:p>
      <w:pPr>
        <w:pStyle w:val="TextBody"/>
        <w:bidi w:val="0"/>
        <w:spacing w:before="0" w:after="0"/>
        <w:jc w:val="left"/>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4"/>
        </w:rPr>
        <w:t>Accounting Restatement</w:t>
      </w:r>
      <w:r>
        <w:rPr>
          <w:color w:val="000000"/>
        </w:rPr>
        <w:t xml:space="preserve">” </w:t>
      </w:r>
      <w:r>
        <w:rPr>
          <w:rFonts w:ascii="Times New Roman;sans-serif" w:hAnsi="Times New Roman;sans-serif"/>
          <w:b w:val="false"/>
          <w:color w:val="000000"/>
          <w:sz w:val="24"/>
        </w:rPr>
        <w:t xml:space="preserve">means an accounting restatement due to the material noncompliance of the Company with any financial reporting requirement under the securities laws, including any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696595"/>
                <wp:effectExtent l="0" t="0" r="0" b="0"/>
                <wp:wrapNone/>
                <wp:docPr id="84" name="Frame83"/>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244" w:type="dxa"/>
                              <w:jc w:val="left"/>
                              <w:tblInd w:w="0" w:type="dxa"/>
                              <w:tblLayout w:type="fixed"/>
                              <w:tblCellMar>
                                <w:top w:w="28" w:type="dxa"/>
                                <w:left w:w="28" w:type="dxa"/>
                                <w:bottom w:w="28" w:type="dxa"/>
                                <w:right w:w="28" w:type="dxa"/>
                              </w:tblCellMar>
                            </w:tblPr>
                            <w:tblGrid>
                              <w:gridCol w:w="397"/>
                              <w:gridCol w:w="348"/>
                              <w:gridCol w:w="499"/>
                            </w:tblGrid>
                            <w:tr>
                              <w:trPr/>
                              <w:tc>
                                <w:tcPr>
                                  <w:tcW w:w="397" w:type="dxa"/>
                                  <w:tcBorders/>
                                  <w:vAlign w:val="center"/>
                                </w:tcPr>
                                <w:p>
                                  <w:pPr>
                                    <w:pStyle w:val="TableContents"/>
                                    <w:bidi w:val="0"/>
                                    <w:spacing w:before="0" w:after="283"/>
                                    <w:jc w:val="left"/>
                                    <w:rPr>
                                      <w:sz w:val="4"/>
                                      <w:szCs w:val="4"/>
                                    </w:rPr>
                                  </w:pPr>
                                  <w:r>
                                    <w:rPr>
                                      <w:sz w:val="4"/>
                                      <w:szCs w:val="4"/>
                                    </w:rPr>
                                  </w:r>
                                  <w:r>
                                    <w:br w:type="page"/>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15" w:after="283"/>
                                    <w:jc w:val="left"/>
                                    <w:rPr>
                                      <w:rFonts w:ascii="Times New Roman;sans-serif" w:hAnsi="Times New Roman;sans-serif"/>
                                      <w:b w:val="false"/>
                                      <w:color w:val="000000"/>
                                      <w:sz w:val="12"/>
                                    </w:rPr>
                                  </w:pPr>
                                  <w:r>
                                    <w:rPr>
                                      <w:rFonts w:ascii="Times New Roman;sans-serif" w:hAnsi="Times New Roman;sans-serif"/>
                                      <w:b w:val="false"/>
                                      <w:color w:val="000000"/>
                                      <w:sz w:val="12"/>
                                    </w:rPr>
                                    <w:t>\\4142-9467-6040 v11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244" w:type="dxa"/>
                        <w:jc w:val="left"/>
                        <w:tblInd w:w="0" w:type="dxa"/>
                        <w:tblLayout w:type="fixed"/>
                        <w:tblCellMar>
                          <w:top w:w="28" w:type="dxa"/>
                          <w:left w:w="28" w:type="dxa"/>
                          <w:bottom w:w="28" w:type="dxa"/>
                          <w:right w:w="28" w:type="dxa"/>
                        </w:tblCellMar>
                      </w:tblPr>
                      <w:tblGrid>
                        <w:gridCol w:w="397"/>
                        <w:gridCol w:w="348"/>
                        <w:gridCol w:w="499"/>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15" w:after="283"/>
                              <w:jc w:val="left"/>
                              <w:rPr>
                                <w:rFonts w:ascii="Times New Roman;sans-serif" w:hAnsi="Times New Roman;sans-serif"/>
                                <w:b w:val="false"/>
                                <w:color w:val="000000"/>
                                <w:sz w:val="12"/>
                              </w:rPr>
                            </w:pPr>
                            <w:r>
                              <w:rPr>
                                <w:rFonts w:ascii="Times New Roman;sans-serif" w:hAnsi="Times New Roman;sans-serif"/>
                                <w:b w:val="false"/>
                                <w:color w:val="000000"/>
                                <w:sz w:val="12"/>
                              </w:rPr>
                              <w:t>\\4142-9467-6040 v11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For the avoidance of doubt, a restatement resulting solely from any one or more of the following is not an Accounting Restatement: retrospective application of a change in generally accepted accounting principles; retrospective revision to reportable segment information due to a change in the structure of an issuer’s internal organization; retrospective reclassification due to a discontinued operation; retrospective application of a change in reporting entity, such as from a reorganization of entities under common control; retrospective adjustment to provisional amounts in connection with a prior business combination; and retrospective revision for stock splits, reverse stock splits, stock dividends or other changes in capital structure.</w:t>
      </w:r>
    </w:p>
    <w:p>
      <w:pPr>
        <w:pStyle w:val="TextBody"/>
        <w:bidi w:val="0"/>
        <w:spacing w:before="0" w:after="0"/>
        <w:jc w:val="left"/>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4"/>
        </w:rPr>
        <w:t>Covered Executive</w:t>
      </w:r>
      <w:r>
        <w:rPr>
          <w:color w:val="000000"/>
        </w:rPr>
        <w:t xml:space="preserve">” </w:t>
      </w:r>
      <w:r>
        <w:rPr>
          <w:rFonts w:ascii="Times New Roman;sans-serif" w:hAnsi="Times New Roman;sans-serif"/>
          <w:b w:val="false"/>
          <w:color w:val="000000"/>
          <w:sz w:val="24"/>
        </w:rPr>
        <w:t xml:space="preserve">means the Company’s Chief Executive Officer, President, Chief Financial Officer, principal accounting officer (or if there is no such accounting officer, the controller), any vice-president of the Company in charge of a principal business unit, division, or function, any other officer who performs a policy-making function for the Company, any other person who performs similar policy-making functions for the Company, and any other employee who may from time to time be deemed subject to this Policy by the Committee. For purposes of the foregoing, designation by the Board as an “Officer” for purposes of Rule 16a-1(f) under the Securities Exchange Act of 1934, as amended (the “Exchange Act”) shall constitute designation as a Covered Executive. </w:t>
      </w:r>
    </w:p>
    <w:p>
      <w:pPr>
        <w:pStyle w:val="TextBody"/>
        <w:bidi w:val="0"/>
        <w:spacing w:before="0" w:after="0"/>
        <w:jc w:val="left"/>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4"/>
        </w:rPr>
        <w:t>Excess Incentive Compensation</w:t>
      </w:r>
      <w:r>
        <w:rPr>
          <w:color w:val="000000"/>
        </w:rPr>
        <w:t xml:space="preserve">” </w:t>
      </w:r>
      <w:r>
        <w:rPr>
          <w:rFonts w:ascii="Times New Roman;sans-serif" w:hAnsi="Times New Roman;sans-serif"/>
          <w:b w:val="false"/>
          <w:color w:val="000000"/>
          <w:sz w:val="24"/>
        </w:rPr>
        <w:t>means the amount of Incentive Compensation received during the Recoupment Period by any Covered Executive that exceeds the amount of Incentive Compensation that otherwise would have been received by such Covered Executive if the determination of the Incentive Compensation to be received had been determined based on restated amounts in the Accounting Restatement and without regard to any taxes paid.</w:t>
      </w:r>
    </w:p>
    <w:p>
      <w:pPr>
        <w:pStyle w:val="TextBody"/>
        <w:bidi w:val="0"/>
        <w:spacing w:before="0" w:after="0"/>
        <w:jc w:val="left"/>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4"/>
        </w:rPr>
        <w:t>Incentive Compensation</w:t>
      </w:r>
      <w:r>
        <w:rPr>
          <w:color w:val="000000"/>
        </w:rPr>
        <w:t xml:space="preserve">” </w:t>
      </w:r>
      <w:r>
        <w:rPr>
          <w:rFonts w:ascii="Times New Roman;sans-serif" w:hAnsi="Times New Roman;sans-serif"/>
          <w:b w:val="false"/>
          <w:color w:val="000000"/>
          <w:sz w:val="24"/>
        </w:rPr>
        <w:t>means any compensation (including cash and equity compensation) that is granted, earned, or vested based wholly or in part upon the attainment of a financial reporting measure. For purposes of this definition, a “</w:t>
      </w:r>
      <w:r>
        <w:rPr>
          <w:rFonts w:ascii="Times New Roman;sans-serif" w:hAnsi="Times New Roman;sans-serif"/>
          <w:b w:val="false"/>
          <w:i/>
          <w:color w:val="000000"/>
          <w:sz w:val="24"/>
        </w:rPr>
        <w:t>financial reporting measure</w:t>
      </w:r>
      <w:r>
        <w:rPr>
          <w:color w:val="000000"/>
        </w:rPr>
        <w:t xml:space="preserve">” </w:t>
      </w:r>
      <w:r>
        <w:rPr>
          <w:rFonts w:ascii="Times New Roman;sans-serif" w:hAnsi="Times New Roman;sans-serif"/>
          <w:b w:val="false"/>
          <w:color w:val="000000"/>
          <w:sz w:val="24"/>
        </w:rPr>
        <w:t xml:space="preserve">is (i) any measure that is determined and presented in accordance with the accounting principles used in preparing the Company’s financial statements and any measure derived wholly or in part from such measures, or (ii) the Company’s stock price and/or total shareholder return. A financial reporting measure need not be presented within the financial statements or included in a filing with the U.S. Securities and Exchange Commission. Incentive Compensation subject to this Policy may be provided by the Company or subsidiaries or affiliates of the Company (“Company Affiliates”). </w:t>
      </w:r>
    </w:p>
    <w:p>
      <w:pPr>
        <w:pStyle w:val="TextBody"/>
        <w:bidi w:val="0"/>
        <w:spacing w:before="0" w:after="0"/>
        <w:jc w:val="left"/>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4"/>
        </w:rPr>
        <w:t>Recoupment Period</w:t>
      </w:r>
      <w:r>
        <w:rPr>
          <w:color w:val="000000"/>
        </w:rPr>
        <w:t xml:space="preserve">” </w:t>
      </w:r>
      <w:r>
        <w:rPr>
          <w:rFonts w:ascii="Times New Roman;sans-serif" w:hAnsi="Times New Roman;sans-serif"/>
          <w:b w:val="false"/>
          <w:color w:val="000000"/>
          <w:sz w:val="24"/>
        </w:rPr>
        <w:t xml:space="preserve">means the three completed fiscal years preceding the Trigger Date, and any transition period (that results from a change in the Company’s fiscal year) of less than nine months within or immediately following those three completed fiscal years, provided that any transition period of nine months or more shall count as a full fiscal year. </w:t>
      </w:r>
    </w:p>
    <w:p>
      <w:pPr>
        <w:pStyle w:val="TextBody"/>
        <w:bidi w:val="0"/>
        <w:spacing w:before="0" w:after="0"/>
        <w:jc w:val="left"/>
        <w:rPr/>
      </w:pPr>
      <w:r>
        <w:rPr/>
      </w:r>
    </w:p>
    <w:p>
      <w:pPr>
        <w:pStyle w:val="TextBody"/>
        <w:bidi w:val="0"/>
        <w:spacing w:lineRule="auto" w:line="268" w:before="0" w:after="0"/>
        <w:jc w:val="both"/>
        <w:rPr/>
      </w:pPr>
      <w:r>
        <w:rPr>
          <w:color w:val="000000"/>
        </w:rPr>
        <w:t>“</w:t>
      </w:r>
      <w:r>
        <w:rPr>
          <w:rFonts w:ascii="Times New Roman;sans-serif" w:hAnsi="Times New Roman;sans-serif"/>
          <w:b w:val="false"/>
          <w:i/>
          <w:color w:val="000000"/>
          <w:sz w:val="24"/>
        </w:rPr>
        <w:t>Trigger Date</w:t>
      </w:r>
      <w:r>
        <w:rPr>
          <w:color w:val="000000"/>
        </w:rPr>
        <w:t xml:space="preserve">” </w:t>
      </w:r>
      <w:r>
        <w:rPr>
          <w:rFonts w:ascii="Times New Roman;sans-serif" w:hAnsi="Times New Roman;sans-serif"/>
          <w:b w:val="false"/>
          <w:color w:val="000000"/>
          <w:sz w:val="24"/>
        </w:rPr>
        <w:t>means the earlier to occur of: (a) the date the Board, the Audit Committee of the Board (or such other committee of the Board as may be authorized to make such a conclusion), or the officer or officers of the Company authorized to take such action if action by the Board is not required concludes, or reasonably should have concluded, that the Company is required to prepare an Accounting Restatement; and (b) the date a court, regulator, or other legally authorized body directs the Company to prepare an Accounting Restatement; in the case of both (a) and (b) regardless of if or when restated financial statements are filed.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Administration</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96595"/>
                <wp:effectExtent l="0" t="0" r="0" b="0"/>
                <wp:wrapNone/>
                <wp:docPr id="85" name="Frame84"/>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244" w:type="dxa"/>
                              <w:jc w:val="left"/>
                              <w:tblInd w:w="0" w:type="dxa"/>
                              <w:tblLayout w:type="fixed"/>
                              <w:tblCellMar>
                                <w:top w:w="28" w:type="dxa"/>
                                <w:left w:w="28" w:type="dxa"/>
                                <w:bottom w:w="28" w:type="dxa"/>
                                <w:right w:w="28" w:type="dxa"/>
                              </w:tblCellMar>
                            </w:tblPr>
                            <w:tblGrid>
                              <w:gridCol w:w="397"/>
                              <w:gridCol w:w="348"/>
                              <w:gridCol w:w="499"/>
                            </w:tblGrid>
                            <w:tr>
                              <w:trPr/>
                              <w:tc>
                                <w:tcPr>
                                  <w:tcW w:w="397" w:type="dxa"/>
                                  <w:tcBorders/>
                                  <w:vAlign w:val="center"/>
                                </w:tcPr>
                                <w:p>
                                  <w:pPr>
                                    <w:pStyle w:val="TableContents"/>
                                    <w:bidi w:val="0"/>
                                    <w:spacing w:before="0" w:after="283"/>
                                    <w:jc w:val="left"/>
                                    <w:rPr>
                                      <w:sz w:val="4"/>
                                      <w:szCs w:val="4"/>
                                    </w:rPr>
                                  </w:pPr>
                                  <w:r>
                                    <w:rPr>
                                      <w:sz w:val="4"/>
                                      <w:szCs w:val="4"/>
                                    </w:rPr>
                                  </w:r>
                                  <w:r>
                                    <w:br w:type="page"/>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15" w:after="283"/>
                                    <w:jc w:val="left"/>
                                    <w:rPr>
                                      <w:rFonts w:ascii="Times New Roman;sans-serif" w:hAnsi="Times New Roman;sans-serif"/>
                                      <w:b w:val="false"/>
                                      <w:color w:val="000000"/>
                                      <w:sz w:val="12"/>
                                    </w:rPr>
                                  </w:pPr>
                                  <w:r>
                                    <w:rPr>
                                      <w:rFonts w:ascii="Times New Roman;sans-serif" w:hAnsi="Times New Roman;sans-serif"/>
                                      <w:b w:val="false"/>
                                      <w:color w:val="000000"/>
                                      <w:sz w:val="12"/>
                                    </w:rPr>
                                    <w:t>\\4142-9467-6040 v11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244" w:type="dxa"/>
                        <w:jc w:val="left"/>
                        <w:tblInd w:w="0" w:type="dxa"/>
                        <w:tblLayout w:type="fixed"/>
                        <w:tblCellMar>
                          <w:top w:w="28" w:type="dxa"/>
                          <w:left w:w="28" w:type="dxa"/>
                          <w:bottom w:w="28" w:type="dxa"/>
                          <w:right w:w="28" w:type="dxa"/>
                        </w:tblCellMar>
                      </w:tblPr>
                      <w:tblGrid>
                        <w:gridCol w:w="397"/>
                        <w:gridCol w:w="348"/>
                        <w:gridCol w:w="499"/>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15" w:after="283"/>
                              <w:jc w:val="left"/>
                              <w:rPr>
                                <w:rFonts w:ascii="Times New Roman;sans-serif" w:hAnsi="Times New Roman;sans-serif"/>
                                <w:b w:val="false"/>
                                <w:color w:val="000000"/>
                                <w:sz w:val="12"/>
                              </w:rPr>
                            </w:pPr>
                            <w:r>
                              <w:rPr>
                                <w:rFonts w:ascii="Times New Roman;sans-serif" w:hAnsi="Times New Roman;sans-serif"/>
                                <w:b w:val="false"/>
                                <w:color w:val="000000"/>
                                <w:sz w:val="12"/>
                              </w:rPr>
                              <w:t>\\4142-9467-6040 v11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is intended to comply with Nasdaq Listing Rule 5608, Section 10D of the Exchange Act, and Rule 10D-1(b)(1) as promulgated under the Exchange Act, and shall be interpreted in a manner consistent with those requirements. The Committee has full authority to interpret and administer this Policy. The Committee’s determinations under this Policy shall be final and binding on all persons, need not be uniform with respect to each individual covered by the Policy, and shall be given the maximum deference permitted by law.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Committee has the authority to determine the appropriate means of recovering Excess Incentive Compensation based on the particular facts and circumstances, which could include, but is not limited to, seeking direct reimbursement, forfeiture of awards, offsets against other payments, and forfeiture of deferred compensation (subject to compliance with Section 409A of the Internal Revenue Code).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any limitations under applicable law, the Committee may authorize any officer or employee of the Company to take actions necessary or appropriate to carry out the purpose and intent of this Policy, provided that no such authorization shall relate to any recovery under this Policy that involves such officer or employee.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the Committee cannot determine the amount of excess Incentive Compensation received by a Covered Executive directly from the information in the Accounting Restatement, such as in the case of Incentive Compensation tied to stock price or total stockholder return, then it shall make its determination based on its reasonable estimate of the effect of the Accounting Restatement and shall maintain documentation of such determination, including for purposes of providing such documentation to Nasdaq.</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Except where an action is required by Nasdaq Listing Rule 5608, Section 10D of the Exchange Act or Rule 10D-1(b)(1) promulgated under the Exchange Act to be determined in a different matter, the Board may act to have the independent directors of the Board administer this Policy in place of the Committee in any particular circumstance.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rPr>
        <w:t xml:space="preserve">Each Covered Executive shall sign an Incentive Compensation Recovery Policy Acknowledgment and Agreement in the form attached to this Policy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or such other form as approved by the Committee in its sole discretion.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 Indemnification or Advancement of Legal Fees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terms of any indemnification agreement, insurance policy, contractual arrangement, the governing documents of the Company or other document or arrangement, the Company shall not indemnify any Covered Executive against, or pay the premiums for any insurance policy to cover, any amounts recovered under this Policy or any expenses that a Covered Executive incurs in opposing Company efforts to recoup amounts pursuant to the Policy.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Non-Exclusive Remedy; Successors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Recovery of Incentive Compensation pursuant to this Policy shall not in any way limit or affect the rights of the Company to pursue disciplinary, legal, or other action or pursue any other remedies available to it. This Policy shall be in addition to, and is not intended to limit, any rights of the Company to recover Incentive Compensation from Covered Executives under any legal remedy available to the Company and applicable laws and regulations, including but not limited to the Sarbanes-Oxley Act of 2002, as amended, or pursuant to the terms of any other Company policy, employment agreement, equity award agreement, or similar agreement with a Covered Executive.</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696595"/>
                <wp:effectExtent l="0" t="0" r="0" b="0"/>
                <wp:wrapNone/>
                <wp:docPr id="86" name="Frame85"/>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244" w:type="dxa"/>
                              <w:jc w:val="left"/>
                              <w:tblInd w:w="0" w:type="dxa"/>
                              <w:tblLayout w:type="fixed"/>
                              <w:tblCellMar>
                                <w:top w:w="28" w:type="dxa"/>
                                <w:left w:w="28" w:type="dxa"/>
                                <w:bottom w:w="28" w:type="dxa"/>
                                <w:right w:w="28" w:type="dxa"/>
                              </w:tblCellMar>
                            </w:tblPr>
                            <w:tblGrid>
                              <w:gridCol w:w="397"/>
                              <w:gridCol w:w="348"/>
                              <w:gridCol w:w="499"/>
                            </w:tblGrid>
                            <w:tr>
                              <w:trPr/>
                              <w:tc>
                                <w:tcPr>
                                  <w:tcW w:w="397" w:type="dxa"/>
                                  <w:tcBorders/>
                                  <w:vAlign w:val="center"/>
                                </w:tcPr>
                                <w:p>
                                  <w:pPr>
                                    <w:pStyle w:val="TableContents"/>
                                    <w:bidi w:val="0"/>
                                    <w:spacing w:before="0" w:after="283"/>
                                    <w:jc w:val="left"/>
                                    <w:rPr>
                                      <w:sz w:val="4"/>
                                      <w:szCs w:val="4"/>
                                    </w:rPr>
                                  </w:pPr>
                                  <w:r>
                                    <w:rPr>
                                      <w:sz w:val="4"/>
                                      <w:szCs w:val="4"/>
                                    </w:rPr>
                                  </w:r>
                                  <w:r>
                                    <w:br w:type="page"/>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15" w:after="283"/>
                                    <w:jc w:val="left"/>
                                    <w:rPr>
                                      <w:rFonts w:ascii="Times New Roman;sans-serif" w:hAnsi="Times New Roman;sans-serif"/>
                                      <w:b w:val="false"/>
                                      <w:color w:val="000000"/>
                                      <w:sz w:val="12"/>
                                    </w:rPr>
                                  </w:pPr>
                                  <w:r>
                                    <w:rPr>
                                      <w:rFonts w:ascii="Times New Roman;sans-serif" w:hAnsi="Times New Roman;sans-serif"/>
                                      <w:b w:val="false"/>
                                      <w:color w:val="000000"/>
                                      <w:sz w:val="12"/>
                                    </w:rPr>
                                    <w:t>\\4142-9467-6040 v11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244" w:type="dxa"/>
                        <w:jc w:val="left"/>
                        <w:tblInd w:w="0" w:type="dxa"/>
                        <w:tblLayout w:type="fixed"/>
                        <w:tblCellMar>
                          <w:top w:w="28" w:type="dxa"/>
                          <w:left w:w="28" w:type="dxa"/>
                          <w:bottom w:w="28" w:type="dxa"/>
                          <w:right w:w="28" w:type="dxa"/>
                        </w:tblCellMar>
                      </w:tblPr>
                      <w:tblGrid>
                        <w:gridCol w:w="397"/>
                        <w:gridCol w:w="348"/>
                        <w:gridCol w:w="499"/>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15" w:after="283"/>
                              <w:jc w:val="left"/>
                              <w:rPr>
                                <w:rFonts w:ascii="Times New Roman;sans-serif" w:hAnsi="Times New Roman;sans-serif"/>
                                <w:b w:val="false"/>
                                <w:color w:val="000000"/>
                                <w:sz w:val="12"/>
                              </w:rPr>
                            </w:pPr>
                            <w:r>
                              <w:rPr>
                                <w:rFonts w:ascii="Times New Roman;sans-serif" w:hAnsi="Times New Roman;sans-serif"/>
                                <w:b w:val="false"/>
                                <w:color w:val="000000"/>
                                <w:sz w:val="12"/>
                              </w:rPr>
                              <w:t>\\4142-9467-6040 v11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be binding and enforceable against all Covered Executives and their successors, beneficiaries, heirs, executors, administrators, or other legal representatives.</w:t>
      </w:r>
    </w:p>
    <w:p>
      <w:pPr>
        <w:pStyle w:val="TextBody"/>
        <w:bidi w:val="0"/>
        <w:spacing w:lineRule="auto" w:line="268"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Amendment</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may be amended from time to time by the Committee of the Board. </w:t>
      </w:r>
    </w:p>
    <w:p>
      <w:pPr>
        <w:pStyle w:val="TextBody"/>
        <w:bidi w:val="0"/>
        <w:spacing w:lineRule="auto" w:line="268"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Effective Date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is adopted effective as of November 17, 2023 and shall apply to any Incentive Compensation received on or after October 2,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696595"/>
                <wp:effectExtent l="0" t="0" r="0" b="0"/>
                <wp:wrapNone/>
                <wp:docPr id="87" name="Frame86"/>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244" w:type="dxa"/>
                              <w:jc w:val="left"/>
                              <w:tblInd w:w="0" w:type="dxa"/>
                              <w:tblLayout w:type="fixed"/>
                              <w:tblCellMar>
                                <w:top w:w="28" w:type="dxa"/>
                                <w:left w:w="28" w:type="dxa"/>
                                <w:bottom w:w="28" w:type="dxa"/>
                                <w:right w:w="28" w:type="dxa"/>
                              </w:tblCellMar>
                            </w:tblPr>
                            <w:tblGrid>
                              <w:gridCol w:w="397"/>
                              <w:gridCol w:w="348"/>
                              <w:gridCol w:w="499"/>
                            </w:tblGrid>
                            <w:tr>
                              <w:trPr/>
                              <w:tc>
                                <w:tcPr>
                                  <w:tcW w:w="397" w:type="dxa"/>
                                  <w:tcBorders/>
                                  <w:vAlign w:val="center"/>
                                </w:tcPr>
                                <w:p>
                                  <w:pPr>
                                    <w:pStyle w:val="TableContents"/>
                                    <w:bidi w:val="0"/>
                                    <w:spacing w:before="0" w:after="283"/>
                                    <w:jc w:val="left"/>
                                    <w:rPr>
                                      <w:sz w:val="4"/>
                                      <w:szCs w:val="4"/>
                                    </w:rPr>
                                  </w:pPr>
                                  <w:r>
                                    <w:rPr>
                                      <w:sz w:val="4"/>
                                      <w:szCs w:val="4"/>
                                    </w:rPr>
                                  </w:r>
                                  <w:r>
                                    <w:br w:type="page"/>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15" w:after="283"/>
                                    <w:jc w:val="left"/>
                                    <w:rPr>
                                      <w:rFonts w:ascii="Times New Roman;sans-serif" w:hAnsi="Times New Roman;sans-serif"/>
                                      <w:b w:val="false"/>
                                      <w:color w:val="000000"/>
                                      <w:sz w:val="12"/>
                                    </w:rPr>
                                  </w:pPr>
                                  <w:r>
                                    <w:rPr>
                                      <w:rFonts w:ascii="Times New Roman;sans-serif" w:hAnsi="Times New Roman;sans-serif"/>
                                      <w:b w:val="false"/>
                                      <w:color w:val="000000"/>
                                      <w:sz w:val="12"/>
                                    </w:rPr>
                                    <w:t>\\4142-9467-6040 v11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244" w:type="dxa"/>
                        <w:jc w:val="left"/>
                        <w:tblInd w:w="0" w:type="dxa"/>
                        <w:tblLayout w:type="fixed"/>
                        <w:tblCellMar>
                          <w:top w:w="28" w:type="dxa"/>
                          <w:left w:w="28" w:type="dxa"/>
                          <w:bottom w:w="28" w:type="dxa"/>
                          <w:right w:w="28" w:type="dxa"/>
                        </w:tblCellMar>
                      </w:tblPr>
                      <w:tblGrid>
                        <w:gridCol w:w="397"/>
                        <w:gridCol w:w="348"/>
                        <w:gridCol w:w="499"/>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15" w:after="283"/>
                              <w:jc w:val="left"/>
                              <w:rPr>
                                <w:rFonts w:ascii="Times New Roman;sans-serif" w:hAnsi="Times New Roman;sans-serif"/>
                                <w:b w:val="false"/>
                                <w:color w:val="000000"/>
                                <w:sz w:val="12"/>
                              </w:rPr>
                            </w:pPr>
                            <w:r>
                              <w:rPr>
                                <w:rFonts w:ascii="Times New Roman;sans-serif" w:hAnsi="Times New Roman;sans-serif"/>
                                <w:b w:val="false"/>
                                <w:color w:val="000000"/>
                                <w:sz w:val="12"/>
                              </w:rPr>
                              <w:t>\\4142-9467-6040 v11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79"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SALARIUS PHARMACEUTICALS, INC. </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INCENTIVE COMPENSATION RECOVERY POLICY</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ACKNOWLEDGMENT AND AGREEMENT</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Acknowledgment and Agreement (this “Agreement”) is entered into as of the __ day of ______, 20[__], between Salarius Pharmaceuticals, Inc., a Delaware corporation (the “Company”), and (the “Executive”), under the following circumstances:</w:t>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Board of Directors of the Company (the “Board”) has adopted the Salarius Pharmaceuticals, Inc. Incentive Compensation Recovery Policy (the “Policy”);</w:t>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Executive has been designated as a “Covered Executive” of the Company as defined in the Policy;</w:t>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in consideration of, and as a condition to the receipt of, future cash and equity-based awards, performance-based compensation, and other forms of cash or equity compensation made under the Company’s 2015 Equity Incentive Plan or any other incentive compensation plan or program of the Company, the Executive and the Company are entering into this Agreement; and</w:t>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defined terms used but not defined in this Agreement shall have the meanings set forth in the Policy.</w:t>
      </w:r>
    </w:p>
    <w:p>
      <w:pPr>
        <w:pStyle w:val="TextBody"/>
        <w:bidi w:val="0"/>
        <w:spacing w:lineRule="auto" w:line="268" w:before="0" w:after="0"/>
        <w:ind w:left="0" w:right="0" w:firstLine="720"/>
        <w:jc w:val="left"/>
        <w:rPr/>
      </w:pPr>
      <w:r>
        <w:rPr>
          <w:rFonts w:ascii="Times New Roman;sans-serif" w:hAnsi="Times New Roman;sans-serif"/>
          <w:b/>
          <w:color w:val="000000"/>
          <w:sz w:val="24"/>
        </w:rPr>
        <w:t>NOW, THEREFORE</w:t>
      </w:r>
      <w:r>
        <w:rPr>
          <w:rFonts w:ascii="Times New Roman;sans-serif" w:hAnsi="Times New Roman;sans-serif"/>
          <w:b w:val="false"/>
          <w:color w:val="000000"/>
          <w:sz w:val="24"/>
        </w:rPr>
        <w:t>, the Company and the Executive hereby agree as follows:</w:t>
      </w:r>
    </w:p>
    <w:p>
      <w:pPr>
        <w:pStyle w:val="TextBody"/>
        <w:bidi w:val="0"/>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val="false"/>
          <w:color w:val="000000"/>
          <w:sz w:val="24"/>
        </w:rPr>
        <w:t>The Executive hereby acknowledges receipt of the Policy, to which this Agreement is attached, and the terms of which are hereby incorporated into this Agreement by reference. The Executive has read and understands the Policy and has had the opportunity to ask questions to the Company regarding the Policy.</w:t>
      </w:r>
    </w:p>
    <w:p>
      <w:pPr>
        <w:pStyle w:val="TextBody"/>
        <w:bidi w:val="0"/>
        <w:spacing w:lineRule="auto" w:line="268" w:before="0" w:after="0"/>
        <w:ind w:left="0" w:right="0" w:hanging="360"/>
        <w:jc w:val="both"/>
        <w:rPr/>
      </w:pPr>
      <w:r>
        <w:rPr>
          <w:rFonts w:ascii="Arial;sans-serif" w:hAnsi="Arial;sans-serif"/>
          <w:b w:val="false"/>
          <w:color w:val="000000"/>
          <w:sz w:val="24"/>
        </w:rPr>
        <w:t>2.</w:t>
      </w:r>
      <w:r>
        <w:rPr>
          <w:rFonts w:ascii="Times New Roman;sans-serif" w:hAnsi="Times New Roman;sans-serif"/>
          <w:b w:val="false"/>
          <w:color w:val="000000"/>
          <w:sz w:val="24"/>
        </w:rPr>
        <w:t>The Executive hereby acknowledges and agrees that the Policy shall apply to any Incentive Compensation granted to the Executive by the Board or the Compensation Committee of the Board (the “Committee”) as set forth in the Policy and that all such Incentive Compensation shall be subject to recovery under the Policy.</w:t>
      </w:r>
    </w:p>
    <w:p>
      <w:pPr>
        <w:pStyle w:val="TextBody"/>
        <w:bidi w:val="0"/>
        <w:spacing w:lineRule="auto" w:line="268" w:before="0" w:after="0"/>
        <w:ind w:left="0" w:right="0" w:hanging="360"/>
        <w:jc w:val="both"/>
        <w:rPr/>
      </w:pPr>
      <w:r>
        <w:rPr>
          <w:rFonts w:ascii="Arial;sans-serif" w:hAnsi="Arial;sans-serif"/>
          <w:b w:val="false"/>
          <w:color w:val="000000"/>
          <w:sz w:val="24"/>
        </w:rPr>
        <w:t>3.</w:t>
      </w:r>
      <w:r>
        <w:rPr>
          <w:rFonts w:ascii="Times New Roman;sans-serif" w:hAnsi="Times New Roman;sans-serif"/>
          <w:b w:val="false"/>
          <w:color w:val="000000"/>
          <w:sz w:val="24"/>
        </w:rPr>
        <w:t>Any applicable award agreement or other document setting forth the terms and conditions of any Incentive Compensation granted to the Executive by the Board or the Committee shall be deemed to include the restrictions imposed by the Policy and incorporate the Policy by reference. In the event of any inconsistency between the provisions of the Policy and the applicable award agreement or other document setting forth the terms and conditions of any Incentive Compensation granted to the Executive, the terms of the Policy shall govern unless the terms of such other agreement or other document would result in a greater recovery by the Company.</w:t>
      </w:r>
    </w:p>
    <w:p>
      <w:pPr>
        <w:pStyle w:val="TextBody"/>
        <w:bidi w:val="0"/>
        <w:spacing w:lineRule="auto" w:line="268" w:before="0" w:after="0"/>
        <w:ind w:left="0" w:right="0" w:hanging="360"/>
        <w:jc w:val="both"/>
        <w:rPr/>
      </w:pPr>
      <w:r>
        <w:rPr>
          <w:rFonts w:ascii="Arial;sans-serif" w:hAnsi="Arial;sans-serif"/>
          <w:b w:val="false"/>
          <w:color w:val="000000"/>
          <w:sz w:val="24"/>
        </w:rPr>
        <w:t>4.</w:t>
      </w:r>
      <w:r>
        <w:rPr>
          <w:rFonts w:ascii="Times New Roman;sans-serif" w:hAnsi="Times New Roman;sans-serif"/>
          <w:b w:val="false"/>
          <w:color w:val="000000"/>
          <w:sz w:val="24"/>
        </w:rPr>
        <w:t>The Executive hereby acknowledges that, notwithstanding any indemnification agreement or other arrangement between the Company and the Executive, the Company shall not indemnify the Executive against, or pay the premiums for any insurance policy to cover, losses incurred under the Policy.</w:t>
      </w:r>
    </w:p>
    <w:p>
      <w:pPr>
        <w:pStyle w:val="TextBody"/>
        <w:bidi w:val="0"/>
        <w:spacing w:lineRule="auto" w:line="268" w:before="0" w:after="0"/>
        <w:ind w:left="0" w:right="0" w:hanging="360"/>
        <w:jc w:val="both"/>
        <w:rPr/>
      </w:pPr>
      <w:r>
        <w:rPr>
          <w:rFonts w:ascii="Arial;sans-serif" w:hAnsi="Arial;sans-serif"/>
          <w:b w:val="false"/>
          <w:color w:val="000000"/>
          <w:sz w:val="24"/>
        </w:rPr>
        <w:t>5.</w:t>
      </w:r>
      <w:r>
        <w:rPr>
          <w:rFonts w:ascii="Times New Roman;sans-serif" w:hAnsi="Times New Roman;sans-serif"/>
          <w:b w:val="false"/>
          <w:color w:val="000000"/>
          <w:sz w:val="24"/>
        </w:rPr>
        <w:t>In the event it is determined by the Company that any amounts granted, awarded, earned or paid to the Executive must be forfeited or reimbursed to the Company, the Executive will promptly take any action necessary to effectuate such forfeiture and/or reimbursement.</w:t>
      </w:r>
    </w:p>
    <w:p>
      <w:pPr>
        <w:pStyle w:val="TextBody"/>
        <w:bidi w:val="0"/>
        <w:spacing w:lineRule="auto" w:line="268" w:before="0" w:after="0"/>
        <w:ind w:left="0" w:right="0" w:hanging="360"/>
        <w:jc w:val="both"/>
        <w:rPr/>
      </w:pPr>
      <w:r>
        <w:rPr>
          <w:rFonts w:ascii="Arial;sans-serif" w:hAnsi="Arial;sans-serif"/>
          <w:b w:val="false"/>
          <w:color w:val="000000"/>
          <w:sz w:val="24"/>
        </w:rPr>
        <w:t>6.</w:t>
      </w:r>
      <w:r>
        <w:rPr>
          <w:rFonts w:ascii="Times New Roman;sans-serif" w:hAnsi="Times New Roman;sans-serif"/>
          <w:b w:val="false"/>
          <w:color w:val="000000"/>
          <w:sz w:val="24"/>
        </w:rPr>
        <w:t>This Agreement and the Policy shall survive and continue in full force and in accordance with their terms notwithstanding any termination of the Executive’s employment with the Company and its affiliates.</w:t>
      </w:r>
    </w:p>
    <w:p>
      <w:pPr>
        <w:pStyle w:val="TextBody"/>
        <w:bidi w:val="0"/>
        <w:spacing w:lineRule="auto" w:line="268" w:before="0" w:after="0"/>
        <w:ind w:left="0" w:right="0" w:hanging="360"/>
        <w:jc w:val="both"/>
        <w:rPr/>
      </w:pPr>
      <w:r>
        <w:rPr>
          <w:rFonts w:ascii="Arial;sans-serif" w:hAnsi="Arial;sans-serif"/>
          <w:b w:val="false"/>
          <w:color w:val="000000"/>
          <w:sz w:val="24"/>
        </w:rPr>
        <w:t>7.</w:t>
      </w:r>
      <w:r>
        <w:rPr>
          <w:rFonts w:ascii="Times New Roman;sans-serif" w:hAnsi="Times New Roman;sans-serif"/>
          <w:b w:val="false"/>
          <w:color w:val="000000"/>
          <w:sz w:val="24"/>
        </w:rPr>
        <w:t>This Agreement may be executed in two or more counterparts, and by facsimile or electronic transmission (such as PDF), each of which will be deemed to be an original but all of which, taken together, shall constitute one and the same Agreement.</w:t>
      </w:r>
    </w:p>
    <w:p>
      <w:pPr>
        <w:pStyle w:val="TextBody"/>
        <w:bidi w:val="0"/>
        <w:spacing w:lineRule="auto" w:line="268" w:before="0" w:after="0"/>
        <w:ind w:left="0" w:right="0" w:hanging="360"/>
        <w:jc w:val="both"/>
        <w:rPr/>
      </w:pPr>
      <w:r>
        <w:rPr>
          <w:rFonts w:ascii="Arial;sans-serif" w:hAnsi="Arial;sans-serif"/>
          <w:b w:val="false"/>
          <w:color w:val="000000"/>
          <w:sz w:val="24"/>
        </w:rPr>
        <w:t>8.</w:t>
      </w:r>
      <w:r>
        <w:rPr>
          <w:rFonts w:ascii="Times New Roman;sans-serif" w:hAnsi="Times New Roman;sans-serif"/>
          <w:b w:val="false"/>
          <w:color w:val="000000"/>
          <w:sz w:val="24"/>
        </w:rPr>
        <w:t>This Agreement shall be governed by the laws of the State of Delaware, without reference to principles of conflict of laws.</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696595"/>
                <wp:effectExtent l="0" t="0" r="0" b="0"/>
                <wp:wrapNone/>
                <wp:docPr id="88" name="Frame87"/>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244" w:type="dxa"/>
                              <w:jc w:val="left"/>
                              <w:tblInd w:w="0" w:type="dxa"/>
                              <w:tblLayout w:type="fixed"/>
                              <w:tblCellMar>
                                <w:top w:w="28" w:type="dxa"/>
                                <w:left w:w="28" w:type="dxa"/>
                                <w:bottom w:w="28" w:type="dxa"/>
                                <w:right w:w="28" w:type="dxa"/>
                              </w:tblCellMar>
                            </w:tblPr>
                            <w:tblGrid>
                              <w:gridCol w:w="397"/>
                              <w:gridCol w:w="348"/>
                              <w:gridCol w:w="499"/>
                            </w:tblGrid>
                            <w:tr>
                              <w:trPr/>
                              <w:tc>
                                <w:tcPr>
                                  <w:tcW w:w="397" w:type="dxa"/>
                                  <w:tcBorders/>
                                  <w:vAlign w:val="center"/>
                                </w:tcPr>
                                <w:p>
                                  <w:pPr>
                                    <w:pStyle w:val="TableContents"/>
                                    <w:bidi w:val="0"/>
                                    <w:spacing w:before="0" w:after="283"/>
                                    <w:jc w:val="left"/>
                                    <w:rPr>
                                      <w:sz w:val="4"/>
                                      <w:szCs w:val="4"/>
                                    </w:rPr>
                                  </w:pPr>
                                  <w:r>
                                    <w:rPr>
                                      <w:sz w:val="4"/>
                                      <w:szCs w:val="4"/>
                                    </w:rPr>
                                  </w:r>
                                  <w:r>
                                    <w:br w:type="page"/>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15" w:after="283"/>
                                    <w:jc w:val="left"/>
                                    <w:rPr>
                                      <w:rFonts w:ascii="Times New Roman;sans-serif" w:hAnsi="Times New Roman;sans-serif"/>
                                      <w:b w:val="false"/>
                                      <w:color w:val="000000"/>
                                      <w:sz w:val="12"/>
                                    </w:rPr>
                                  </w:pPr>
                                  <w:r>
                                    <w:rPr>
                                      <w:rFonts w:ascii="Times New Roman;sans-serif" w:hAnsi="Times New Roman;sans-serif"/>
                                      <w:b w:val="false"/>
                                      <w:color w:val="000000"/>
                                      <w:sz w:val="12"/>
                                    </w:rPr>
                                    <w:t>\\4142-9467-6040 v11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244" w:type="dxa"/>
                        <w:jc w:val="left"/>
                        <w:tblInd w:w="0" w:type="dxa"/>
                        <w:tblLayout w:type="fixed"/>
                        <w:tblCellMar>
                          <w:top w:w="28" w:type="dxa"/>
                          <w:left w:w="28" w:type="dxa"/>
                          <w:bottom w:w="28" w:type="dxa"/>
                          <w:right w:w="28" w:type="dxa"/>
                        </w:tblCellMar>
                      </w:tblPr>
                      <w:tblGrid>
                        <w:gridCol w:w="397"/>
                        <w:gridCol w:w="348"/>
                        <w:gridCol w:w="499"/>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15" w:after="283"/>
                              <w:jc w:val="left"/>
                              <w:rPr>
                                <w:rFonts w:ascii="Times New Roman;sans-serif" w:hAnsi="Times New Roman;sans-serif"/>
                                <w:b w:val="false"/>
                                <w:color w:val="000000"/>
                                <w:sz w:val="12"/>
                              </w:rPr>
                            </w:pPr>
                            <w:r>
                              <w:rPr>
                                <w:rFonts w:ascii="Times New Roman;sans-serif" w:hAnsi="Times New Roman;sans-serif"/>
                                <w:b w:val="false"/>
                                <w:color w:val="000000"/>
                                <w:sz w:val="12"/>
                              </w:rPr>
                              <w:t>\\4142-9467-6040 v11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ind w:left="0" w:right="0" w:hanging="360"/>
        <w:jc w:val="both"/>
        <w:rPr/>
      </w:pPr>
      <w:r>
        <w:rPr>
          <w:rFonts w:ascii="Arial;sans-serif" w:hAnsi="Arial;sans-serif"/>
          <w:b w:val="false"/>
          <w:color w:val="000000"/>
          <w:sz w:val="24"/>
        </w:rPr>
        <w:t>9.</w:t>
      </w:r>
      <w:r>
        <w:rPr>
          <w:rFonts w:ascii="Times New Roman;sans-serif" w:hAnsi="Times New Roman;sans-serif"/>
          <w:b w:val="false"/>
          <w:color w:val="000000"/>
          <w:sz w:val="24"/>
        </w:rPr>
        <w:t>No modifications or amendments of the terms of this Agreement shall be effective unless in writing and signed by the parties hereto or their respective duly authorized agents. The provisions of this Agreement shall inure to the benefit of, and be binding upon, the successors, administrators, heirs, legal representatives and assigns of the Executive, and the successors and assigns of the Company.</w:t>
      </w:r>
    </w:p>
    <w:p>
      <w:pPr>
        <w:pStyle w:val="TextBody"/>
        <w:bidi w:val="0"/>
        <w:spacing w:lineRule="auto" w:line="26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0"/>
        <w:jc w:val="left"/>
        <w:rPr/>
      </w:pPr>
      <w:r>
        <w:rPr/>
      </w:r>
    </w:p>
    <w:p>
      <w:pPr>
        <w:pStyle w:val="TextBody"/>
        <w:bidi w:val="0"/>
        <w:spacing w:lineRule="auto" w:line="268" w:before="0" w:after="0"/>
        <w:ind w:left="0" w:right="0" w:firstLine="648"/>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hereto have executed this Agreement as of the day and year first above written.</w:t>
      </w:r>
    </w:p>
    <w:p>
      <w:pPr>
        <w:pStyle w:val="TextBody"/>
        <w:bidi w:val="0"/>
        <w:spacing w:lineRule="auto" w:line="268" w:before="0" w:after="0"/>
        <w:ind w:left="0" w:right="0" w:firstLine="4500"/>
        <w:jc w:val="left"/>
        <w:rPr>
          <w:rFonts w:ascii="Times New Roman;sans-serif" w:hAnsi="Times New Roman;sans-serif"/>
          <w:b/>
          <w:color w:val="000000"/>
          <w:sz w:val="24"/>
        </w:rPr>
      </w:pPr>
      <w:r>
        <w:rPr>
          <w:rFonts w:ascii="Times New Roman;sans-serif" w:hAnsi="Times New Roman;sans-serif"/>
          <w:b/>
          <w:color w:val="000000"/>
          <w:sz w:val="24"/>
        </w:rPr>
        <w:t xml:space="preserve">SALARIUS PHARMACEUTICALS, INC.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500"/>
        <w:jc w:val="left"/>
        <w:rPr>
          <w:rFonts w:ascii="Times New Roman;sans-serif" w:hAnsi="Times New Roman;sans-serif"/>
          <w:b w:val="false"/>
          <w:color w:val="000000"/>
          <w:sz w:val="24"/>
        </w:rPr>
      </w:pPr>
      <w:r>
        <w:rPr>
          <w:rFonts w:ascii="Times New Roman;sans-serif" w:hAnsi="Times New Roman;sans-serif"/>
          <w:b w:val="false"/>
          <w:color w:val="000000"/>
          <w:sz w:val="24"/>
        </w:rPr>
        <w:t>By:_______________________________________</w:t>
      </w:r>
    </w:p>
    <w:p>
      <w:pPr>
        <w:pStyle w:val="TextBody"/>
        <w:bidi w:val="0"/>
        <w:spacing w:lineRule="auto" w:line="268" w:before="0" w:after="0"/>
        <w:ind w:left="0" w:right="0" w:firstLine="4500"/>
        <w:jc w:val="left"/>
        <w:rPr>
          <w:rFonts w:ascii="Times New Roman;sans-serif" w:hAnsi="Times New Roman;sans-serif"/>
          <w:b w:val="false"/>
          <w:color w:val="000000"/>
          <w:sz w:val="24"/>
        </w:rPr>
      </w:pPr>
      <w:r>
        <w:rPr>
          <w:rFonts w:ascii="Times New Roman;sans-serif" w:hAnsi="Times New Roman;sans-serif"/>
          <w:b w:val="false"/>
          <w:color w:val="000000"/>
          <w:sz w:val="24"/>
        </w:rPr>
        <w:t>Name: 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500"/>
        <w:jc w:val="left"/>
        <w:rPr>
          <w:rFonts w:ascii="Times New Roman;sans-serif" w:hAnsi="Times New Roman;sans-serif"/>
          <w:b/>
          <w:color w:val="000000"/>
          <w:sz w:val="24"/>
        </w:rPr>
      </w:pPr>
      <w:r>
        <w:rPr>
          <w:rFonts w:ascii="Times New Roman;sans-serif" w:hAnsi="Times New Roman;sans-serif"/>
          <w:b/>
          <w:color w:val="000000"/>
          <w:sz w:val="24"/>
        </w:rPr>
        <w:t>[Executive]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50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w:t>
      </w:r>
    </w:p>
    <w:p>
      <w:pPr>
        <w:pStyle w:val="TextBody"/>
        <w:bidi w:val="0"/>
        <w:spacing w:lineRule="auto" w:line="268" w:before="0" w:after="0"/>
        <w:ind w:left="0" w:right="0" w:firstLine="4500"/>
        <w:jc w:val="left"/>
        <w:rPr>
          <w:rFonts w:ascii="Times New Roman;sans-serif" w:hAnsi="Times New Roman;sans-serif"/>
          <w:b w:val="false"/>
          <w:color w:val="000000"/>
          <w:sz w:val="24"/>
        </w:rPr>
      </w:pPr>
      <w:r>
        <w:rPr>
          <w:rFonts w:ascii="Times New Roman;sans-serif" w:hAnsi="Times New Roman;sans-serif"/>
          <w:b w:val="false"/>
          <w:color w:val="000000"/>
          <w:sz w:val="24"/>
        </w:rPr>
        <w:t>Name: Title:</w:t>
      </w:r>
    </w:p>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45" w:after="283"/>
        <w:jc w:val="left"/>
        <w:rPr/>
      </w:pPr>
      <w:r>
        <w:rPr/>
      </w:r>
    </w:p>
    <w:p>
      <w:pPr>
        <w:pStyle w:val="TextBody"/>
        <w:bidi w:val="0"/>
        <w:spacing w:before="0" w:after="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696595"/>
                <wp:effectExtent l="0" t="0" r="0" b="0"/>
                <wp:wrapNone/>
                <wp:docPr id="89" name="Frame88"/>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244" w:type="dxa"/>
                              <w:jc w:val="left"/>
                              <w:tblInd w:w="0" w:type="dxa"/>
                              <w:tblLayout w:type="fixed"/>
                              <w:tblCellMar>
                                <w:top w:w="28" w:type="dxa"/>
                                <w:left w:w="28" w:type="dxa"/>
                                <w:bottom w:w="28" w:type="dxa"/>
                                <w:right w:w="28" w:type="dxa"/>
                              </w:tblCellMar>
                            </w:tblPr>
                            <w:tblGrid>
                              <w:gridCol w:w="397"/>
                              <w:gridCol w:w="348"/>
                              <w:gridCol w:w="499"/>
                            </w:tblGrid>
                            <w:tr>
                              <w:trPr/>
                              <w:tc>
                                <w:tcPr>
                                  <w:tcW w:w="397" w:type="dxa"/>
                                  <w:tcBorders/>
                                  <w:vAlign w:val="center"/>
                                </w:tcPr>
                                <w:p>
                                  <w:pPr>
                                    <w:pStyle w:val="TableContents"/>
                                    <w:bidi w:val="0"/>
                                    <w:spacing w:before="0" w:after="283"/>
                                    <w:jc w:val="left"/>
                                    <w:rPr>
                                      <w:sz w:val="4"/>
                                      <w:szCs w:val="4"/>
                                    </w:rPr>
                                  </w:pPr>
                                  <w:r>
                                    <w:rPr>
                                      <w:sz w:val="4"/>
                                      <w:szCs w:val="4"/>
                                    </w:rPr>
                                  </w:r>
                                  <w:r>
                                    <w:br w:type="page"/>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15" w:after="283"/>
                                    <w:jc w:val="left"/>
                                    <w:rPr>
                                      <w:rFonts w:ascii="Times New Roman;sans-serif" w:hAnsi="Times New Roman;sans-serif"/>
                                      <w:b w:val="false"/>
                                      <w:color w:val="000000"/>
                                      <w:sz w:val="12"/>
                                    </w:rPr>
                                  </w:pPr>
                                  <w:r>
                                    <w:rPr>
                                      <w:rFonts w:ascii="Times New Roman;sans-serif" w:hAnsi="Times New Roman;sans-serif"/>
                                      <w:b w:val="false"/>
                                      <w:color w:val="000000"/>
                                      <w:sz w:val="12"/>
                                    </w:rPr>
                                    <w:t>\\4142-9467-6040 v11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244" w:type="dxa"/>
                        <w:jc w:val="left"/>
                        <w:tblInd w:w="0" w:type="dxa"/>
                        <w:tblLayout w:type="fixed"/>
                        <w:tblCellMar>
                          <w:top w:w="28" w:type="dxa"/>
                          <w:left w:w="28" w:type="dxa"/>
                          <w:bottom w:w="28" w:type="dxa"/>
                          <w:right w:w="28" w:type="dxa"/>
                        </w:tblCellMar>
                      </w:tblPr>
                      <w:tblGrid>
                        <w:gridCol w:w="397"/>
                        <w:gridCol w:w="348"/>
                        <w:gridCol w:w="499"/>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15" w:after="283"/>
                              <w:jc w:val="left"/>
                              <w:rPr>
                                <w:rFonts w:ascii="Times New Roman;sans-serif" w:hAnsi="Times New Roman;sans-serif"/>
                                <w:b w:val="false"/>
                                <w:color w:val="000000"/>
                                <w:sz w:val="12"/>
                              </w:rPr>
                            </w:pPr>
                            <w:r>
                              <w:rPr>
                                <w:rFonts w:ascii="Times New Roman;sans-serif" w:hAnsi="Times New Roman;sans-serif"/>
                                <w:b w:val="false"/>
                                <w:color w:val="000000"/>
                                <w:sz w:val="12"/>
                              </w:rPr>
                              <w:t>\\4142-9467-6040 v11</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www.sec.gov/Archives/edgar/data/1615219/000110465915007801/a15-4061_1ex3d1.htm" TargetMode="External"/><Relationship Id="rId4" Type="http://schemas.openxmlformats.org/officeDocument/2006/relationships/hyperlink" Target="https://www.sec.gov/Archives/edgar/data/1615219/000119312519199074/d754556dex31.htm" TargetMode="External"/><Relationship Id="rId5" Type="http://schemas.openxmlformats.org/officeDocument/2006/relationships/hyperlink" Target="https://www.sec.gov/Archives/edgar/data/1615219/000119312519199074/d754556dex32.htm" TargetMode="External"/><Relationship Id="rId6" Type="http://schemas.openxmlformats.org/officeDocument/2006/relationships/hyperlink" Target="https://www.sec.gov/Archives/edgar/data/1615219/000119312519199074/d754556dex32.htm" TargetMode="External"/><Relationship Id="rId7" Type="http://schemas.openxmlformats.org/officeDocument/2006/relationships/hyperlink" Target="https://www.sec.gov/Archives/edgar/data/1615219/000161521922000034/salarius-bylawsamendment33.htm" TargetMode="External"/><Relationship Id="rId8" Type="http://schemas.openxmlformats.org/officeDocument/2006/relationships/hyperlink" Target="https://www.sec.gov/Archives/edgar/data/1615219/000104746915000197/a2222689zex-4_1.htm" TargetMode="External"/><Relationship Id="rId9" Type="http://schemas.openxmlformats.org/officeDocument/2006/relationships/hyperlink" Target="https://www.sec.gov/Archives/edgar/data/1615219/000119312520025727/d857822dex48.htm" TargetMode="External"/><Relationship Id="rId10" Type="http://schemas.openxmlformats.org/officeDocument/2006/relationships/hyperlink" Target="https://www.sec.gov/Archives/edgar/data/1615219/000119312520025727/d857822dex48.htm" TargetMode="External"/><Relationship Id="rId11" Type="http://schemas.openxmlformats.org/officeDocument/2006/relationships/hyperlink" Target="http://www.sec.gov/Archives/edgar/data/1615219/000119312520033412/d863520dex41.htm" TargetMode="External"/><Relationship Id="rId12" Type="http://schemas.openxmlformats.org/officeDocument/2006/relationships/hyperlink" Target="http://www.sec.gov/Archives/edgar/data/1615219/000161521920000129/slrxaformofinducementw.htm" TargetMode="External"/><Relationship Id="rId13" Type="http://schemas.openxmlformats.org/officeDocument/2006/relationships/hyperlink" Target="https://www.sec.gov/Archives/edgar/data/1615219/000161521921000070/salarius-formofwarranttopu.htm" TargetMode="External"/><Relationship Id="rId14" Type="http://schemas.openxmlformats.org/officeDocument/2006/relationships/hyperlink" Target="https://www.sec.gov/Archives/edgar/data/1615219/000161521921000026/slrx12312019descriptionofr.htm" TargetMode="External"/><Relationship Id="rId15" Type="http://schemas.openxmlformats.org/officeDocument/2006/relationships/hyperlink" Target="http://www.sec.gov/Archives/edgar/data/1615219/000119312519199074/d754556dex101.htm" TargetMode="External"/><Relationship Id="rId16" Type="http://schemas.openxmlformats.org/officeDocument/2006/relationships/hyperlink" Target="https://www.sec.gov/Archives/edgar/data/1615219/000119312519199074/d754556dex101.htm" TargetMode="External"/><Relationship Id="rId17" Type="http://schemas.openxmlformats.org/officeDocument/2006/relationships/hyperlink" Target="https://www.sec.gov/Archives/edgar/data/1615219/000161521924000017/exhibit104.htm" TargetMode="External"/><Relationship Id="rId18" Type="http://schemas.openxmlformats.org/officeDocument/2006/relationships/hyperlink" Target="http://www.sec.gov/Archives/edgar/data/1615219/000119312519038620/d675806dex101.htm" TargetMode="External"/><Relationship Id="rId19" Type="http://schemas.openxmlformats.org/officeDocument/2006/relationships/hyperlink" Target="https://www.sec.gov/Archives/edgar/data/1615219/000119312519038620/d675806dex101.htm" TargetMode="External"/><Relationship Id="rId20" Type="http://schemas.openxmlformats.org/officeDocument/2006/relationships/hyperlink" Target="http://www.sec.gov/Archives/edgar/data/1615219/000119312519038620/d675806dex103.htm" TargetMode="External"/><Relationship Id="rId21" Type="http://schemas.openxmlformats.org/officeDocument/2006/relationships/hyperlink" Target="https://www.sec.gov/Archives/edgar/data/1615219/000119312519038620/d675806dex103.htm" TargetMode="External"/><Relationship Id="rId22" Type="http://schemas.openxmlformats.org/officeDocument/2006/relationships/hyperlink" Target="http://www.sec.gov/Archives/edgar/data/1615219/000119312519038620/d675806dex105.htm" TargetMode="External"/><Relationship Id="rId23" Type="http://schemas.openxmlformats.org/officeDocument/2006/relationships/hyperlink" Target="https://www.sec.gov/Archives/edgar/data/1615219/000119312519038620/d675806dex105.htm" TargetMode="External"/><Relationship Id="rId24" Type="http://schemas.openxmlformats.org/officeDocument/2006/relationships/hyperlink" Target="http://www.sec.gov/Archives/edgar/data/1615219/000161521919000043/exhibit105salariusdavidj.htm" TargetMode="External"/><Relationship Id="rId25" Type="http://schemas.openxmlformats.org/officeDocument/2006/relationships/hyperlink" Target="https://www.sec.gov/Archives/edgar/data/1615219/000161521920000050/mrosenblum-executiveem.htm" TargetMode="External"/><Relationship Id="rId26" Type="http://schemas.openxmlformats.org/officeDocument/2006/relationships/hyperlink" Target="https://www.sec.gov/Archives/edgar/data/1615219/000161521924000017/exhibit105.htm" TargetMode="External"/><Relationship Id="rId27" Type="http://schemas.openxmlformats.org/officeDocument/2006/relationships/hyperlink" Target="https://www.sec.gov/Archives/edgar/data/1615219/000161521924000017/exhibit1012.htm" TargetMode="External"/><Relationship Id="rId28" Type="http://schemas.openxmlformats.org/officeDocument/2006/relationships/hyperlink" Target="https://www.sec.gov/Archives/edgar/data/1615219/000161521924000017/exhibit1022.htm" TargetMode="External"/><Relationship Id="rId29" Type="http://schemas.openxmlformats.org/officeDocument/2006/relationships/hyperlink" Target="https://www.sec.gov/Archives/edgar/data/1615219/000161521915000004/flks20141231ex-104.htm" TargetMode="External"/><Relationship Id="rId30" Type="http://schemas.openxmlformats.org/officeDocument/2006/relationships/hyperlink" Target="https://www.sec.gov/Archives/edgar/data/1615219/000161521924000017/exhibit103.htm" TargetMode="External"/><Relationship Id="rId31" Type="http://schemas.openxmlformats.org/officeDocument/2006/relationships/hyperlink" Target="https://www.sec.gov/Archives/edgar/data/1615219/000161521923000055/salariusespp-4129x2112x032.htm" TargetMode="External"/><Relationship Id="rId32" Type="http://schemas.openxmlformats.org/officeDocument/2006/relationships/hyperlink" Target="https://www.sec.gov/Archives/edgar/data/1615219/000161521921000013/salarius-ex11conformedsale.htm" TargetMode="External"/><Relationship Id="rId33" Type="http://schemas.openxmlformats.org/officeDocument/2006/relationships/hyperlink" Target="https://www.sec.gov/Archives/edgar/data/1615219/000161521922000045/exhibit101.htm" TargetMode="External"/><Relationship Id="rId34" Type="http://schemas.openxmlformats.org/officeDocument/2006/relationships/hyperlink" Target="https://www.sec.gov/Archives/edgar/data/1615219/000161521923000042/exhibit1011.htm" TargetMode="External"/><Relationship Id="rId35" Type="http://schemas.openxmlformats.org/officeDocument/2006/relationships/hyperlink" Target="https://www.sec.gov/Archives/edgar/data/1615219/000161521923000042/exhibit1021.htm" TargetMode="External"/><Relationship Id="rId36" Type="http://schemas.openxmlformats.org/officeDocument/2006/relationships/hyperlink" Target="https://www.sec.gov/Archives/edgar/data/1615219/000119312520005401/d857822dex211.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49485</Words>
  <Characters>278898</Characters>
  <CharactersWithSpaces>326872</CharactersWithSpaces>
  <Paragraphs>2099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