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205" w:type="dxa"/>
        <w:jc w:val="center"/>
        <w:tblInd w:w="0" w:type="dxa"/>
        <w:tblCellMar>
          <w:top w:w="28" w:type="dxa"/>
          <w:left w:w="28" w:type="dxa"/>
          <w:bottom w:w="28" w:type="dxa"/>
          <w:right w:w="28" w:type="dxa"/>
        </w:tblCellMar>
      </w:tblPr>
      <w:tblGrid>
        <w:gridCol w:w="191"/>
        <w:gridCol w:w="168"/>
        <w:gridCol w:w="168"/>
        <w:gridCol w:w="2816"/>
        <w:gridCol w:w="2816"/>
        <w:gridCol w:w="4046"/>
      </w:tblGrid>
      <w:tr>
        <w:trPr/>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816" w:type="dxa"/>
            <w:tcBorders/>
            <w:shd w:fill="auto" w:val="clear"/>
            <w:vAlign w:val="center"/>
          </w:tcPr>
          <w:p>
            <w:pPr>
              <w:pStyle w:val="TableContents"/>
              <w:spacing w:before="0" w:after="283"/>
              <w:rPr>
                <w:sz w:val="4"/>
                <w:szCs w:val="4"/>
              </w:rPr>
            </w:pPr>
            <w:r>
              <w:rPr>
                <w:sz w:val="4"/>
                <w:szCs w:val="4"/>
              </w:rPr>
            </w:r>
          </w:p>
        </w:tc>
        <w:tc>
          <w:tcPr>
            <w:tcW w:w="2816" w:type="dxa"/>
            <w:tcBorders/>
            <w:shd w:fill="auto" w:val="clear"/>
            <w:vAlign w:val="center"/>
          </w:tcPr>
          <w:p>
            <w:pPr>
              <w:pStyle w:val="TableContents"/>
              <w:spacing w:before="0" w:after="283"/>
              <w:rPr>
                <w:sz w:val="4"/>
                <w:szCs w:val="4"/>
              </w:rPr>
            </w:pPr>
            <w:r>
              <w:rPr>
                <w:sz w:val="4"/>
                <w:szCs w:val="4"/>
              </w:rPr>
            </w:r>
          </w:p>
        </w:tc>
        <w:tc>
          <w:tcPr>
            <w:tcW w:w="4046"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(Mark One)</w:t>
            </w:r>
          </w:p>
        </w:tc>
      </w:tr>
      <w:tr>
        <w:trPr/>
        <w:tc>
          <w:tcPr>
            <w:tcW w:w="5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For the quarterly period ended March 31, 2022</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OR</w:t>
            </w:r>
          </w:p>
        </w:tc>
      </w:tr>
      <w:tr>
        <w:trPr/>
        <w:tc>
          <w:tcPr>
            <w:tcW w:w="5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For the Transition Period from to</w:t>
            </w:r>
          </w:p>
        </w:tc>
      </w:tr>
    </w:tbl>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001-36812</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SALARIUS PHARMACEUTICALS, INC.</w:t>
      </w:r>
    </w:p>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971" w:type="dxa"/>
        <w:jc w:val="center"/>
        <w:tblInd w:w="0" w:type="dxa"/>
        <w:tblCellMar>
          <w:top w:w="28" w:type="dxa"/>
          <w:left w:w="28" w:type="dxa"/>
          <w:bottom w:w="28" w:type="dxa"/>
          <w:right w:w="28" w:type="dxa"/>
        </w:tblCellMar>
      </w:tblPr>
      <w:tblGrid>
        <w:gridCol w:w="124"/>
        <w:gridCol w:w="109"/>
        <w:gridCol w:w="109"/>
        <w:gridCol w:w="742"/>
        <w:gridCol w:w="742"/>
        <w:gridCol w:w="751"/>
        <w:gridCol w:w="109"/>
        <w:gridCol w:w="109"/>
        <w:gridCol w:w="109"/>
        <w:gridCol w:w="563"/>
        <w:gridCol w:w="563"/>
        <w:gridCol w:w="56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46-5087339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Number)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2450 Holcombe Blvd., Suite X, Houston, TX 77021</w:t>
      </w:r>
    </w:p>
    <w:p>
      <w:pPr>
        <w:pStyle w:val="TextBody"/>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offices)(Zip Code)</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4"/>
        </w:rPr>
      </w:pPr>
      <w:r>
        <w:rPr>
          <w:rFonts w:ascii="Arial;sans-serif" w:hAnsi="Arial;sans-serif"/>
          <w:b/>
          <w:color w:val="000000"/>
          <w:sz w:val="14"/>
        </w:rPr>
        <w:t>(832)834-6992</w:t>
      </w:r>
    </w:p>
    <w:p>
      <w:pPr>
        <w:pStyle w:val="TextBody"/>
        <w:spacing w:lineRule="auto" w:line="288" w:before="0" w:after="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60" w:after="60"/>
        <w:ind w:left="0" w:right="0" w:firstLine="270"/>
        <w:rPr/>
      </w:pPr>
      <w:r>
        <w:rPr/>
      </w:r>
    </w:p>
    <w:p>
      <w:pPr>
        <w:pStyle w:val="TextBody"/>
        <w:spacing w:lineRule="auto" w:line="288" w:before="60" w:after="60"/>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71" w:type="dxa"/>
        <w:jc w:val="left"/>
        <w:tblInd w:w="0" w:type="dxa"/>
        <w:tblCellMar>
          <w:top w:w="28" w:type="dxa"/>
          <w:left w:w="28" w:type="dxa"/>
          <w:bottom w:w="28" w:type="dxa"/>
          <w:right w:w="28" w:type="dxa"/>
        </w:tblCellMar>
      </w:tblPr>
      <w:tblGrid>
        <w:gridCol w:w="970"/>
        <w:gridCol w:w="852"/>
        <w:gridCol w:w="862"/>
        <w:gridCol w:w="109"/>
        <w:gridCol w:w="109"/>
        <w:gridCol w:w="109"/>
        <w:gridCol w:w="524"/>
        <w:gridCol w:w="524"/>
        <w:gridCol w:w="526"/>
        <w:gridCol w:w="109"/>
        <w:gridCol w:w="109"/>
        <w:gridCol w:w="109"/>
        <w:gridCol w:w="1071"/>
        <w:gridCol w:w="1071"/>
        <w:gridCol w:w="1517"/>
      </w:tblGrid>
      <w:tr>
        <w:trPr/>
        <w:tc>
          <w:tcPr>
            <w:tcW w:w="97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$ 0.0001 par value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SLRX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spacing w:before="0" w:after="0"/>
        <w:jc w:val="center"/>
        <w:rPr/>
      </w:pPr>
      <w:r>
        <w:rPr/>
      </w:r>
    </w:p>
    <w:p>
      <w:pPr>
        <w:pStyle w:val="TextBody"/>
        <w:spacing w:lineRule="auto" w:line="288" w:before="60" w:after="60"/>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spacing w:lineRule="auto" w:line="288" w:before="60" w:after="60"/>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611"/>
        <w:gridCol w:w="537"/>
        <w:gridCol w:w="540"/>
        <w:gridCol w:w="109"/>
        <w:gridCol w:w="109"/>
        <w:gridCol w:w="109"/>
        <w:gridCol w:w="425"/>
        <w:gridCol w:w="425"/>
        <w:gridCol w:w="427"/>
        <w:gridCol w:w="109"/>
        <w:gridCol w:w="109"/>
        <w:gridCol w:w="109"/>
        <w:gridCol w:w="540"/>
        <w:gridCol w:w="540"/>
        <w:gridCol w:w="542"/>
        <w:gridCol w:w="109"/>
        <w:gridCol w:w="109"/>
        <w:gridCol w:w="109"/>
        <w:gridCol w:w="646"/>
        <w:gridCol w:w="646"/>
        <w:gridCol w:w="649"/>
        <w:gridCol w:w="109"/>
        <w:gridCol w:w="109"/>
        <w:gridCol w:w="109"/>
        <w:gridCol w:w="661"/>
        <w:gridCol w:w="661"/>
        <w:gridCol w:w="664"/>
        <w:gridCol w:w="109"/>
        <w:gridCol w:w="109"/>
        <w:gridCol w:w="165"/>
      </w:tblGrid>
      <w:tr>
        <w:trPr/>
        <w:tc>
          <w:tcPr>
            <w:tcW w:w="611"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62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9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9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Arial;sans-serif" w:hAnsi="Arial;sans-serif"/>
                <w:b w:val="false"/>
                <w:color w:val="000000"/>
                <w:sz w:val="16"/>
              </w:rPr>
              <w:t>Emerging Growth Company</w:t>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pStyle w:val="TextBody"/>
        <w:spacing w:lineRule="auto" w:line="288" w:before="0" w:after="0"/>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w:t>
      </w:r>
    </w:p>
    <w:p>
      <w:pPr>
        <w:pStyle w:val="TextBody"/>
        <w:spacing w:before="0" w:after="0"/>
        <w:rPr/>
      </w:pPr>
      <w:r>
        <w:rPr/>
      </w:r>
    </w:p>
    <w:p>
      <w:pPr>
        <w:pStyle w:val="TextBody"/>
        <w:spacing w:lineRule="auto" w:line="276" w:before="0" w:after="0"/>
        <w:rPr>
          <w:rFonts w:ascii="Arial;sans-serif" w:hAnsi="Arial;sans-serif"/>
          <w:b w:val="false"/>
          <w:color w:val="000000"/>
          <w:sz w:val="16"/>
        </w:rPr>
      </w:pPr>
      <w:r>
        <w:rPr>
          <w:rFonts w:ascii="Arial;sans-serif" w:hAnsi="Arial;sans-serif"/>
          <w:b w:val="false"/>
          <w:color w:val="000000"/>
          <w:sz w:val="16"/>
        </w:rPr>
        <w:t>As of May 9, 2022, there were 56,116,243 shares of common stock outstanding.</w:t>
      </w:r>
    </w:p>
    <w:p>
      <w:pPr>
        <w:pStyle w:val="TextBody"/>
        <w:spacing w:before="60" w:after="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spacing w:lineRule="auto" w:line="288" w:before="160" w:after="160"/>
        <w:jc w:val="center"/>
        <w:rPr>
          <w:rFonts w:ascii="Arial;sans-serif" w:hAnsi="Arial;sans-serif"/>
          <w:b/>
          <w:color w:val="000000"/>
          <w:sz w:val="20"/>
        </w:rPr>
      </w:pPr>
      <w:r>
        <w:rPr>
          <w:rFonts w:ascii="Arial;sans-serif" w:hAnsi="Arial;sans-serif"/>
          <w:b/>
          <w:color w:val="000000"/>
          <w:sz w:val="20"/>
        </w:rPr>
        <w:t>TABLE OF CONTENTS</w:t>
      </w:r>
    </w:p>
    <w:tbl>
      <w:tblPr>
        <w:tblW w:w="9781" w:type="dxa"/>
        <w:jc w:val="left"/>
        <w:tblInd w:w="0" w:type="dxa"/>
        <w:tblCellMar>
          <w:top w:w="28" w:type="dxa"/>
          <w:left w:w="28" w:type="dxa"/>
          <w:bottom w:w="28" w:type="dxa"/>
          <w:right w:w="28" w:type="dxa"/>
        </w:tblCellMar>
      </w:tblPr>
      <w:tblGrid>
        <w:gridCol w:w="505"/>
        <w:gridCol w:w="443"/>
        <w:gridCol w:w="448"/>
        <w:gridCol w:w="2613"/>
        <w:gridCol w:w="2613"/>
        <w:gridCol w:w="2618"/>
        <w:gridCol w:w="158"/>
        <w:gridCol w:w="158"/>
        <w:gridCol w:w="225"/>
      </w:tblGrid>
      <w:tr>
        <w:trPr/>
        <w:tc>
          <w:tcPr>
            <w:tcW w:w="505"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c>
          <w:tcPr>
            <w:tcW w:w="261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7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13">
              <w:r>
                <w:rPr>
                  <w:rStyle w:val="InternetLink"/>
                  <w:rFonts w:ascii="Arial;sans-serif" w:hAnsi="Arial;sans-serif"/>
                  <w:b w:val="false"/>
                  <w:color w:val="0000FF"/>
                  <w:sz w:val="20"/>
                  <w:u w:val="single"/>
                </w:rPr>
                <w:t xml:space="preserve">PART I. </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13">
              <w:r>
                <w:rPr>
                  <w:rStyle w:val="InternetLink"/>
                  <w:rFonts w:ascii="Arial;sans-serif" w:hAnsi="Arial;sans-serif"/>
                  <w:b w:val="false"/>
                  <w:color w:val="0000FF"/>
                  <w:sz w:val="20"/>
                  <w:u w:val="single"/>
                </w:rPr>
                <w:t>Financial Information</w:t>
              </w:r>
            </w:hyperlink>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16">
              <w:r>
                <w:rPr>
                  <w:rStyle w:val="InternetLink"/>
                  <w:rFonts w:ascii="Arial;sans-serif" w:hAnsi="Arial;sans-serif"/>
                  <w:b w:val="false"/>
                  <w:color w:val="0000FF"/>
                  <w:sz w:val="20"/>
                  <w:u w:val="single"/>
                </w:rPr>
                <w:t>Item 1.</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13">
              <w:r>
                <w:rPr>
                  <w:rStyle w:val="InternetLink"/>
                  <w:rFonts w:ascii="Arial;sans-serif" w:hAnsi="Arial;sans-serif"/>
                  <w:b w:val="false"/>
                  <w:color w:val="0000FF"/>
                  <w:sz w:val="20"/>
                  <w:u w:val="single"/>
                </w:rPr>
                <w:t>Financial Statements (Unaudited)</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16">
              <w:r>
                <w:rPr>
                  <w:rStyle w:val="InternetLink"/>
                  <w:rFonts w:ascii="Arial;sans-serif" w:hAnsi="Arial;sans-serif"/>
                  <w:b w:val="false"/>
                  <w:color w:val="0000FF"/>
                  <w:sz w:val="20"/>
                  <w:u w:val="single"/>
                </w:rPr>
                <w:t>5</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19">
              <w:r>
                <w:rPr>
                  <w:rStyle w:val="InternetLink"/>
                </w:rPr>
                <w:t xml:space="preserve">Condensed </w:t>
              </w:r>
            </w:hyperlink>
            <w:hyperlink w:anchor="ib938601e11464f6a9acfd74189928073_19">
              <w:r>
                <w:rPr>
                  <w:rStyle w:val="InternetLink"/>
                </w:rPr>
                <w:t>Consolidated Balance Sheets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19">
              <w:r>
                <w:rPr>
                  <w:rStyle w:val="InternetLink"/>
                  <w:rFonts w:ascii="Arial;sans-serif" w:hAnsi="Arial;sans-serif"/>
                  <w:b w:val="false"/>
                  <w:color w:val="0000FF"/>
                  <w:sz w:val="20"/>
                  <w:u w:val="single"/>
                </w:rPr>
                <w:t>5</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22">
              <w:r>
                <w:rPr>
                  <w:rStyle w:val="InternetLink"/>
                </w:rPr>
                <w:t xml:space="preserve">Condensed </w:t>
              </w:r>
            </w:hyperlink>
            <w:hyperlink w:anchor="ib938601e11464f6a9acfd74189928073_22">
              <w:r>
                <w:rPr>
                  <w:rStyle w:val="InternetLink"/>
                </w:rPr>
                <w:t>Consolidated Statements of Operations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22">
              <w:r>
                <w:rPr>
                  <w:rStyle w:val="InternetLink"/>
                  <w:rFonts w:ascii="Arial;sans-serif" w:hAnsi="Arial;sans-serif"/>
                  <w:b w:val="false"/>
                  <w:color w:val="0000FF"/>
                  <w:sz w:val="20"/>
                  <w:u w:val="single"/>
                </w:rPr>
                <w:t>6</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25">
              <w:r>
                <w:rPr>
                  <w:rStyle w:val="InternetLink"/>
                </w:rPr>
                <w:t xml:space="preserve">Condensed </w:t>
              </w:r>
            </w:hyperlink>
            <w:hyperlink w:anchor="ib938601e11464f6a9acfd74189928073_25">
              <w:r>
                <w:rPr>
                  <w:rStyle w:val="InternetLink"/>
                </w:rPr>
                <w:t xml:space="preserve">Consolidated Statements of Cash Flows </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25">
              <w:r>
                <w:rPr>
                  <w:rStyle w:val="InternetLink"/>
                  <w:rFonts w:ascii="Arial;sans-serif" w:hAnsi="Arial;sans-serif"/>
                  <w:b w:val="false"/>
                  <w:color w:val="0000FF"/>
                  <w:sz w:val="20"/>
                  <w:u w:val="single"/>
                </w:rPr>
                <w:t>7</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28">
              <w:r>
                <w:rPr>
                  <w:rStyle w:val="InternetLink"/>
                </w:rPr>
                <w:t xml:space="preserve">Condensed </w:t>
              </w:r>
            </w:hyperlink>
            <w:hyperlink w:anchor="ib938601e11464f6a9acfd74189928073_28">
              <w:r>
                <w:rPr>
                  <w:rStyle w:val="InternetLink"/>
                </w:rPr>
                <w:t>Consolidated Statement</w:t>
              </w:r>
            </w:hyperlink>
            <w:hyperlink w:anchor="ib938601e11464f6a9acfd74189928073_28">
              <w:r>
                <w:rPr>
                  <w:rStyle w:val="InternetLink"/>
                </w:rPr>
                <w:t>s</w:t>
              </w:r>
            </w:hyperlink>
            <w:hyperlink w:anchor="ib938601e11464f6a9acfd74189928073_28">
              <w:r>
                <w:rPr>
                  <w:rStyle w:val="InternetLink"/>
                </w:rPr>
                <w:t xml:space="preserve"> of Stockholders' Equity</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28">
              <w:r>
                <w:rPr>
                  <w:rStyle w:val="InternetLink"/>
                  <w:rFonts w:ascii="Arial;sans-serif" w:hAnsi="Arial;sans-serif"/>
                  <w:b w:val="false"/>
                  <w:color w:val="0000FF"/>
                  <w:sz w:val="20"/>
                  <w:u w:val="single"/>
                </w:rPr>
                <w:t>8</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31">
              <w:r>
                <w:rPr>
                  <w:rStyle w:val="InternetLink"/>
                </w:rPr>
                <w:t>Notes to</w:t>
              </w:r>
            </w:hyperlink>
            <w:hyperlink w:anchor="ib938601e11464f6a9acfd74189928073_31">
              <w:r>
                <w:rPr>
                  <w:rStyle w:val="InternetLink"/>
                </w:rPr>
                <w:t xml:space="preserve"> Condensed </w:t>
              </w:r>
            </w:hyperlink>
            <w:hyperlink w:anchor="ib938601e11464f6a9acfd74189928073_31">
              <w:r>
                <w:rPr>
                  <w:rStyle w:val="InternetLink"/>
                </w:rPr>
                <w:t>Consolidated Financial Statements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31">
              <w:r>
                <w:rPr>
                  <w:rStyle w:val="InternetLink"/>
                  <w:rFonts w:ascii="Arial;sans-serif" w:hAnsi="Arial;sans-serif"/>
                  <w:b w:val="false"/>
                  <w:color w:val="0000FF"/>
                  <w:sz w:val="20"/>
                  <w:u w:val="single"/>
                </w:rPr>
                <w:t>9</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64">
              <w:r>
                <w:rPr>
                  <w:rStyle w:val="InternetLink"/>
                  <w:rFonts w:ascii="Arial;sans-serif" w:hAnsi="Arial;sans-serif"/>
                  <w:b w:val="false"/>
                  <w:color w:val="0000FF"/>
                  <w:sz w:val="20"/>
                  <w:u w:val="single"/>
                </w:rPr>
                <w:t>Item 2.</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64">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64">
              <w:r>
                <w:rPr>
                  <w:rStyle w:val="InternetLink"/>
                  <w:rFonts w:ascii="Arial;sans-serif" w:hAnsi="Arial;sans-serif"/>
                  <w:b w:val="false"/>
                  <w:color w:val="0000FF"/>
                  <w:sz w:val="20"/>
                  <w:u w:val="single"/>
                </w:rPr>
                <w:t>18</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73">
              <w:r>
                <w:rPr>
                  <w:rStyle w:val="InternetLink"/>
                  <w:rFonts w:ascii="Arial;sans-serif" w:hAnsi="Arial;sans-serif"/>
                  <w:b w:val="false"/>
                  <w:color w:val="0000FF"/>
                  <w:sz w:val="20"/>
                  <w:u w:val="single"/>
                </w:rPr>
                <w:t>Item 3.</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73">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73">
              <w:r>
                <w:rPr>
                  <w:rStyle w:val="InternetLink"/>
                  <w:rFonts w:ascii="Arial;sans-serif" w:hAnsi="Arial;sans-serif"/>
                  <w:b w:val="false"/>
                  <w:color w:val="0000FF"/>
                  <w:sz w:val="20"/>
                  <w:u w:val="single"/>
                </w:rPr>
                <w:t>22</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76">
              <w:r>
                <w:rPr>
                  <w:rStyle w:val="InternetLink"/>
                  <w:rFonts w:ascii="Arial;sans-serif" w:hAnsi="Arial;sans-serif"/>
                  <w:b w:val="false"/>
                  <w:color w:val="0000FF"/>
                  <w:sz w:val="20"/>
                  <w:u w:val="single"/>
                </w:rPr>
                <w:t>Item 4.</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76">
              <w:r>
                <w:rPr>
                  <w:rStyle w:val="InternetLink"/>
                  <w:rFonts w:ascii="Arial;sans-serif" w:hAnsi="Arial;sans-serif"/>
                  <w:b w:val="false"/>
                  <w:color w:val="0000FF"/>
                  <w:sz w:val="20"/>
                  <w:u w:val="single"/>
                </w:rPr>
                <w:t>Controls and Procedures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76">
              <w:r>
                <w:rPr>
                  <w:rStyle w:val="InternetLink"/>
                  <w:rFonts w:ascii="Arial;sans-serif" w:hAnsi="Arial;sans-serif"/>
                  <w:b w:val="false"/>
                  <w:color w:val="0000FF"/>
                  <w:sz w:val="20"/>
                  <w:u w:val="single"/>
                </w:rPr>
                <w:t>22</w:t>
              </w:r>
            </w:hyperlink>
          </w:p>
        </w:tc>
      </w:tr>
      <w:tr>
        <w:trPr/>
        <w:tc>
          <w:tcPr>
            <w:tcW w:w="97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79">
              <w:r>
                <w:rPr>
                  <w:rStyle w:val="InternetLink"/>
                  <w:rFonts w:ascii="Arial;sans-serif" w:hAnsi="Arial;sans-serif"/>
                  <w:b w:val="false"/>
                  <w:color w:val="0000FF"/>
                  <w:sz w:val="20"/>
                  <w:u w:val="single"/>
                </w:rPr>
                <w:t>PART II.</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79">
              <w:r>
                <w:rPr>
                  <w:rStyle w:val="InternetLink"/>
                  <w:rFonts w:ascii="Arial;sans-serif" w:hAnsi="Arial;sans-serif"/>
                  <w:b w:val="false"/>
                  <w:color w:val="0000FF"/>
                  <w:sz w:val="20"/>
                  <w:u w:val="single"/>
                </w:rPr>
                <w:t>Other Information</w:t>
              </w:r>
            </w:hyperlink>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82">
              <w:r>
                <w:rPr>
                  <w:rStyle w:val="InternetLink"/>
                  <w:rFonts w:ascii="Arial;sans-serif" w:hAnsi="Arial;sans-serif"/>
                  <w:b w:val="false"/>
                  <w:color w:val="0000FF"/>
                  <w:sz w:val="20"/>
                  <w:u w:val="single"/>
                </w:rPr>
                <w:t>Item 1.</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82">
              <w:r>
                <w:rPr>
                  <w:rStyle w:val="InternetLink"/>
                  <w:rFonts w:ascii="Arial;sans-serif" w:hAnsi="Arial;sans-serif"/>
                  <w:b w:val="false"/>
                  <w:color w:val="0000FF"/>
                  <w:sz w:val="20"/>
                  <w:u w:val="single"/>
                </w:rPr>
                <w:t>Legal Proceedings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82">
              <w:r>
                <w:rPr>
                  <w:rStyle w:val="InternetLink"/>
                  <w:rFonts w:ascii="Arial;sans-serif" w:hAnsi="Arial;sans-serif"/>
                  <w:b w:val="false"/>
                  <w:color w:val="0000FF"/>
                  <w:sz w:val="20"/>
                  <w:u w:val="single"/>
                </w:rPr>
                <w:t>23</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85">
              <w:r>
                <w:rPr>
                  <w:rStyle w:val="InternetLink"/>
                  <w:rFonts w:ascii="Arial;sans-serif" w:hAnsi="Arial;sans-serif"/>
                  <w:b w:val="false"/>
                  <w:color w:val="0000FF"/>
                  <w:sz w:val="20"/>
                  <w:u w:val="single"/>
                </w:rPr>
                <w:t>Item 1A.</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85">
              <w:r>
                <w:rPr>
                  <w:rStyle w:val="InternetLink"/>
                  <w:rFonts w:ascii="Arial;sans-serif" w:hAnsi="Arial;sans-serif"/>
                  <w:b w:val="false"/>
                  <w:color w:val="0000FF"/>
                  <w:sz w:val="20"/>
                  <w:u w:val="single"/>
                </w:rPr>
                <w:t>Risk Factors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85">
              <w:r>
                <w:rPr>
                  <w:rStyle w:val="InternetLink"/>
                  <w:rFonts w:ascii="Arial;sans-serif" w:hAnsi="Arial;sans-serif"/>
                  <w:b w:val="false"/>
                  <w:color w:val="0000FF"/>
                  <w:sz w:val="20"/>
                  <w:u w:val="single"/>
                </w:rPr>
                <w:t>23</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88">
              <w:r>
                <w:rPr>
                  <w:rStyle w:val="InternetLink"/>
                  <w:rFonts w:ascii="Arial;sans-serif" w:hAnsi="Arial;sans-serif"/>
                  <w:b w:val="false"/>
                  <w:color w:val="0000FF"/>
                  <w:sz w:val="20"/>
                  <w:u w:val="single"/>
                </w:rPr>
                <w:t>Item 6.</w:t>
              </w:r>
            </w:hyperlink>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88">
              <w:r>
                <w:rPr>
                  <w:rStyle w:val="InternetLink"/>
                  <w:rFonts w:ascii="Arial;sans-serif" w:hAnsi="Arial;sans-serif"/>
                  <w:b w:val="false"/>
                  <w:color w:val="0000FF"/>
                  <w:sz w:val="20"/>
                  <w:u w:val="single"/>
                </w:rPr>
                <w:t>Exhibits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88">
              <w:r>
                <w:rPr>
                  <w:rStyle w:val="InternetLink"/>
                  <w:rFonts w:ascii="Arial;sans-serif" w:hAnsi="Arial;sans-serif"/>
                  <w:b w:val="false"/>
                  <w:color w:val="0000FF"/>
                  <w:sz w:val="20"/>
                  <w:u w:val="single"/>
                </w:rPr>
                <w:t>26</w:t>
              </w:r>
            </w:hyperlink>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938601e11464f6a9acfd74189928073_91">
              <w:r>
                <w:rPr>
                  <w:rStyle w:val="InternetLink"/>
                  <w:rFonts w:ascii="Arial;sans-serif" w:hAnsi="Arial;sans-serif"/>
                  <w:b w:val="false"/>
                  <w:color w:val="0000FF"/>
                  <w:sz w:val="20"/>
                  <w:u w:val="single"/>
                </w:rPr>
                <w:t>SIGNATURES</w:t>
              </w:r>
            </w:hyperlink>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938601e11464f6a9acfd74189928073_91">
              <w:r>
                <w:rPr>
                  <w:rStyle w:val="InternetLink"/>
                  <w:rFonts w:ascii="Arial;sans-serif" w:hAnsi="Arial;sans-serif"/>
                  <w:b w:val="false"/>
                  <w:color w:val="0000FF"/>
                  <w:sz w:val="20"/>
                  <w:u w:val="single"/>
                </w:rPr>
                <w:t>27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160" w:after="16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future periods;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Company's strategy and ongoing development programs;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Company's clinical trials, including status, costs, goals, timing and other expectations related thereto;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Company’s belief as to the potential of its lead compound, SP-2577;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Company's strategic collaborations and license agreements, and intellectual property;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potential for seclidemstat to target the epigenetic dysregulation underlying Ewing sarcoma and advanced solid tumors;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expected timing and results of clinical studies;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the ability of the Company’s product candidates to demonstrate drug activity;</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nature, strategy and focus of the Company;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development and commercial potential of any product candidates;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Company's ability and plan to regain and maintain compliance with Nasdaq's continued listing standards; the Company’s expectations as to revenue, cash flow, and expenses;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potential impact of the COVID-19 pandemic on the Company’s business, operations, cash flow and ability to obtain additional financing;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Company's liquidity position, the expected sufficiency of such position for anticipated operating and capital requirements; future capital requirements, and need for, and ability to secure, additional financing;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 xml:space="preserve">the ability of the Company to access additional financing under the Grant Contract with Cancer Prevention and Research Institute of Texas; the Company's operating losses and ability to continue as a going concern; and </w:t>
      </w:r>
    </w:p>
    <w:p>
      <w:pPr>
        <w:pStyle w:val="TextBody"/>
        <w:spacing w:lineRule="auto" w:line="276" w:before="0" w:after="240"/>
        <w:ind w:left="0" w:right="0" w:hanging="360"/>
        <w:jc w:val="both"/>
        <w:rPr/>
      </w:pPr>
      <w:r>
        <w:rPr>
          <w:color w:val="000000"/>
        </w:rPr>
        <w:t>•</w:t>
      </w:r>
      <w:r>
        <w:rPr>
          <w:rFonts w:ascii="Arial;sans-serif" w:hAnsi="Arial;sans-serif"/>
          <w:b w:val="false"/>
          <w:color w:val="000000"/>
          <w:sz w:val="20"/>
        </w:rPr>
        <w:t xml:space="preserve">the Company's decision to engage in any new collaborations or selectively partnering its technology to improve the Company's ability to continue as a going concern. </w:t>
      </w:r>
    </w:p>
    <w:p>
      <w:pPr>
        <w:pStyle w:val="TextBody"/>
        <w:spacing w:lineRule="auto" w:line="276" w:before="0" w:after="240"/>
        <w:jc w:val="both"/>
        <w:rPr/>
      </w:pPr>
      <w:r>
        <w:rPr>
          <w:rFonts w:ascii="Arial;sans-serif" w:hAnsi="Arial;sans-serif"/>
          <w:b w:val="false"/>
          <w:color w:val="000000"/>
          <w:sz w:val="20"/>
        </w:rPr>
        <w:t>Forward-looking statements also include statements other than statements of current or historical fact, including, without limitation, all statements</w:t>
      </w:r>
      <w:r>
        <w:rPr>
          <w:color w:val="000000"/>
        </w:rPr>
        <w:t xml:space="preserve"> </w:t>
      </w:r>
      <w:r>
        <w:rPr>
          <w:rFonts w:ascii="Arial;sans-serif" w:hAnsi="Arial;sans-serif"/>
          <w:b w:val="false"/>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color w:val="000000"/>
        </w:rPr>
        <w:t xml:space="preserve"> “</w:t>
      </w:r>
      <w:r>
        <w:rPr>
          <w:rFonts w:ascii="Arial;sans-serif" w:hAnsi="Arial;sans-serif"/>
          <w:b w:val="false"/>
          <w:color w:val="000000"/>
          <w:sz w:val="20"/>
        </w:rPr>
        <w:t>target”,</w:t>
      </w:r>
      <w:r>
        <w:rPr>
          <w:color w:val="000000"/>
        </w:rPr>
        <w:t xml:space="preserve"> “</w:t>
      </w:r>
      <w:r>
        <w:rPr>
          <w:rFonts w:ascii="Arial;sans-serif" w:hAnsi="Arial;sans-serif"/>
          <w:b w:val="false"/>
          <w:color w:val="000000"/>
          <w:sz w:val="20"/>
        </w:rPr>
        <w:t>potential,” “evaluate,” “proceeding.”</w:t>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the extent to which the COVID-19 pandemic impacts our business, our customers’ businesses, the medical community and the global economy;</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the effectiveness and timeliness of our preclinical studies and clinical trials, and the usefulness of the data;</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our expectations regarding the timing and clinical development of our product candidates;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our ability to achieve profitable operations and access to needed capital;</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fluctuations in our operating results;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the success of current and future license and collaboration agreements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our dependence on contract research organizations, vendors and investigators;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effects of competition and other developments affecting development of products;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market acceptance of our product candidates;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protection of intellectual property and avoiding intellectual property infringement;</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product liability; and</w:t>
      </w:r>
    </w:p>
    <w:p>
      <w:pPr>
        <w:pStyle w:val="TextBody"/>
        <w:spacing w:lineRule="auto" w:line="276" w:before="0" w:after="240"/>
        <w:ind w:left="0" w:right="0" w:hanging="360"/>
        <w:jc w:val="both"/>
        <w:rPr/>
      </w:pPr>
      <w:r>
        <w:rPr>
          <w:color w:val="000000"/>
        </w:rPr>
        <w:t>•</w:t>
      </w:r>
      <w:r>
        <w:rPr>
          <w:rFonts w:ascii="Arial;sans-serif" w:hAnsi="Arial;sans-serif"/>
          <w:b w:val="false"/>
          <w:color w:val="000000"/>
          <w:sz w:val="20"/>
        </w:rPr>
        <w:t>other factors described in our filings with the SEC.</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2021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849" w:type="dxa"/>
        <w:jc w:val="center"/>
        <w:tblInd w:w="0" w:type="dxa"/>
        <w:tblCellMar>
          <w:top w:w="28" w:type="dxa"/>
          <w:left w:w="28" w:type="dxa"/>
          <w:bottom w:w="28" w:type="dxa"/>
          <w:right w:w="28" w:type="dxa"/>
        </w:tblCellMar>
      </w:tblPr>
      <w:tblGrid>
        <w:gridCol w:w="271"/>
        <w:gridCol w:w="238"/>
        <w:gridCol w:w="241"/>
        <w:gridCol w:w="614"/>
        <w:gridCol w:w="614"/>
        <w:gridCol w:w="871"/>
      </w:tblGrid>
      <w:tr>
        <w:trPr/>
        <w:tc>
          <w:tcPr>
            <w:tcW w:w="2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Financial Statements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SALARIUS 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683"/>
        <w:gridCol w:w="2143"/>
        <w:gridCol w:w="2114"/>
        <w:gridCol w:w="211"/>
        <w:gridCol w:w="1126"/>
        <w:gridCol w:w="109"/>
        <w:gridCol w:w="109"/>
        <w:gridCol w:w="109"/>
        <w:gridCol w:w="109"/>
        <w:gridCol w:w="211"/>
        <w:gridCol w:w="1126"/>
        <w:gridCol w:w="155"/>
      </w:tblGrid>
      <w:tr>
        <w:trPr/>
        <w:tc>
          <w:tcPr>
            <w:tcW w:w="2683"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3/31/2022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12/31/2021</w:t>
            </w:r>
          </w:p>
        </w:tc>
      </w:tr>
      <w:tr>
        <w:trPr/>
        <w:tc>
          <w:tcPr>
            <w:tcW w:w="6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24,193,554 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29,214,380 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949,215 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24,856,408 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30,163,595 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 from CPRIT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1,610,490 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35,507,904 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40,833,868 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Liabilities and stockholders' equity </w:t>
            </w:r>
          </w:p>
        </w:tc>
        <w:tc>
          <w:tcPr>
            <w:tcW w:w="14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1,543,096 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553,269 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 liability</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2,092,341 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2,110,883 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5)</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4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$0.0001 par value; 10,000,000 shares authorized; 0 issued and outstanding</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100,000,000 shares authorized; 46,697,194 and 45,241,808 shares issued and outstanding at March 31, 2022 and December 31, 2021, respectively</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71,717,311 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70,915,653 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(38,306,417)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(32,197,192)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33,415,563 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38,722,985 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35,507,904 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40,833,868 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CellMar>
          <w:top w:w="28" w:type="dxa"/>
          <w:left w:w="28" w:type="dxa"/>
          <w:bottom w:w="28" w:type="dxa"/>
          <w:right w:w="28" w:type="dxa"/>
        </w:tblCellMar>
      </w:tblPr>
      <w:tblGrid>
        <w:gridCol w:w="2344"/>
        <w:gridCol w:w="1966"/>
        <w:gridCol w:w="1971"/>
        <w:gridCol w:w="211"/>
        <w:gridCol w:w="1073"/>
        <w:gridCol w:w="109"/>
        <w:gridCol w:w="109"/>
        <w:gridCol w:w="109"/>
        <w:gridCol w:w="109"/>
        <w:gridCol w:w="211"/>
        <w:gridCol w:w="1073"/>
        <w:gridCol w:w="109"/>
        <w:gridCol w:w="109"/>
        <w:gridCol w:w="109"/>
        <w:gridCol w:w="109"/>
        <w:gridCol w:w="109"/>
        <w:gridCol w:w="109"/>
        <w:gridCol w:w="109"/>
        <w:gridCol w:w="157"/>
      </w:tblGrid>
      <w:tr>
        <w:trPr/>
        <w:tc>
          <w:tcPr>
            <w:tcW w:w="2344" w:type="dxa"/>
            <w:tcBorders/>
            <w:shd w:fill="auto" w:val="clear"/>
            <w:vAlign w:val="center"/>
          </w:tcPr>
          <w:p>
            <w:pPr>
              <w:pStyle w:val="TableContents"/>
              <w:spacing w:before="0" w:after="283"/>
              <w:rPr>
                <w:sz w:val="4"/>
                <w:szCs w:val="4"/>
              </w:rPr>
            </w:pPr>
            <w:r>
              <w:rPr>
                <w:sz w:val="4"/>
                <w:szCs w:val="4"/>
              </w:rPr>
            </w:r>
          </w:p>
        </w:tc>
        <w:tc>
          <w:tcPr>
            <w:tcW w:w="1966" w:type="dxa"/>
            <w:tcBorders/>
            <w:shd w:fill="auto" w:val="clear"/>
            <w:vAlign w:val="center"/>
          </w:tcPr>
          <w:p>
            <w:pPr>
              <w:pStyle w:val="TableContents"/>
              <w:spacing w:before="0" w:after="283"/>
              <w:rPr>
                <w:sz w:val="4"/>
                <w:szCs w:val="4"/>
              </w:rPr>
            </w:pPr>
            <w:r>
              <w:rPr>
                <w:sz w:val="4"/>
                <w:szCs w:val="4"/>
              </w:rPr>
            </w:r>
          </w:p>
        </w:tc>
        <w:tc>
          <w:tcPr>
            <w:tcW w:w="19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other income (expense)</w:t>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continuing operations</w:t>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(6,109,225)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(1,851,896)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loss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(6,109,225)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(1,851,896)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Loss per common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 basic and diluted</w:t>
            </w:r>
          </w:p>
        </w:tc>
        <w:tc>
          <w:tcPr>
            <w:tcW w:w="12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46,255,210 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30,551,316 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939" w:type="dxa"/>
        <w:jc w:val="left"/>
        <w:tblInd w:w="0" w:type="dxa"/>
        <w:tblCellMar>
          <w:top w:w="28" w:type="dxa"/>
          <w:left w:w="28" w:type="dxa"/>
          <w:bottom w:w="28" w:type="dxa"/>
          <w:right w:w="28" w:type="dxa"/>
        </w:tblCellMar>
      </w:tblPr>
      <w:tblGrid>
        <w:gridCol w:w="2418"/>
        <w:gridCol w:w="2125"/>
        <w:gridCol w:w="2132"/>
        <w:gridCol w:w="211"/>
        <w:gridCol w:w="1126"/>
        <w:gridCol w:w="109"/>
        <w:gridCol w:w="109"/>
        <w:gridCol w:w="109"/>
        <w:gridCol w:w="109"/>
        <w:gridCol w:w="211"/>
        <w:gridCol w:w="1126"/>
        <w:gridCol w:w="154"/>
      </w:tblGrid>
      <w:tr>
        <w:trPr/>
        <w:tc>
          <w:tcPr>
            <w:tcW w:w="2418"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March 31</w:t>
            </w:r>
          </w:p>
        </w:tc>
      </w:tr>
      <w:tr>
        <w:trPr/>
        <w:tc>
          <w:tcPr>
            <w:tcW w:w="6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4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(1,851,896)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amortization and impairment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In-process research and development technology</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(446,520)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(3,520,826)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(2,722,790)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in-process research and development technology</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equity securities, net</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27,016,746 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warrants exercised for cash</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28,216,464 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cash equivalents and restricted cash</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(5,020,826)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25,493,674 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29,214,380 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11,118,614 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24,193,554 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36,612,288 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issuance costs for public offering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CellMar>
          <w:top w:w="28" w:type="dxa"/>
          <w:left w:w="28" w:type="dxa"/>
          <w:bottom w:w="28" w:type="dxa"/>
          <w:right w:w="28" w:type="dxa"/>
        </w:tblCellMar>
      </w:tblPr>
      <w:tblGrid>
        <w:gridCol w:w="786"/>
        <w:gridCol w:w="457"/>
        <w:gridCol w:w="460"/>
        <w:gridCol w:w="354"/>
        <w:gridCol w:w="354"/>
        <w:gridCol w:w="358"/>
        <w:gridCol w:w="111"/>
        <w:gridCol w:w="111"/>
        <w:gridCol w:w="111"/>
        <w:gridCol w:w="384"/>
        <w:gridCol w:w="292"/>
        <w:gridCol w:w="294"/>
        <w:gridCol w:w="109"/>
        <w:gridCol w:w="109"/>
        <w:gridCol w:w="109"/>
        <w:gridCol w:w="515"/>
        <w:gridCol w:w="567"/>
        <w:gridCol w:w="503"/>
        <w:gridCol w:w="109"/>
        <w:gridCol w:w="109"/>
        <w:gridCol w:w="109"/>
        <w:gridCol w:w="632"/>
        <w:gridCol w:w="562"/>
        <w:gridCol w:w="567"/>
        <w:gridCol w:w="109"/>
        <w:gridCol w:w="109"/>
        <w:gridCol w:w="109"/>
        <w:gridCol w:w="648"/>
        <w:gridCol w:w="678"/>
        <w:gridCol w:w="480"/>
      </w:tblGrid>
      <w:tr>
        <w:trPr/>
        <w:tc>
          <w:tcPr>
            <w:tcW w:w="78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3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 (Deficit)</w:t>
            </w:r>
          </w:p>
        </w:tc>
      </w:tr>
      <w:tr>
        <w:trPr/>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2020</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23,808,546</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2,381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41,585,761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(19,428,954)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22,159,188</w:t>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19,627,215</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26,848,058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26,850,021</w:t>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 exercised for cash</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1,298,567</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1,485,222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1,485,351</w:t>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135,379</w:t>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(1,851,896)</w:t>
            </w:r>
          </w:p>
        </w:tc>
        <w:tc>
          <w:tcPr>
            <w:tcW w:w="5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(1,851,896)</w:t>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2021</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44,734,328</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4,473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70,054,420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(21,280,850)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48,778,043</w:t>
            </w:r>
          </w:p>
        </w:tc>
      </w:tr>
      <w:tr>
        <w:trPr/>
        <w:tc>
          <w:tcPr>
            <w:tcW w:w="17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45,241,808</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4,524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70,915,653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(32,197,192)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38,722,985</w:t>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w:t>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455,386</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313,903</w:t>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c>
          <w:tcPr>
            <w:tcW w:w="5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c>
          <w:tcPr>
            <w:tcW w:w="4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10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46,697,194</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4,669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71,717,311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(38,306,417)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33,415,563</w:t>
            </w:r>
          </w:p>
        </w:tc>
      </w:tr>
    </w:tbl>
    <w:p>
      <w:pPr>
        <w:pStyle w:val="TextBody"/>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160" w:after="283"/>
        <w:jc w:val="center"/>
        <w:rPr>
          <w:rFonts w:ascii="Arial;sans-serif" w:hAnsi="Arial;sans-serif"/>
          <w:b/>
          <w:color w:val="000000"/>
          <w:sz w:val="20"/>
        </w:rPr>
      </w:pPr>
      <w:r>
        <w:rPr>
          <w:rFonts w:ascii="Arial;sans-serif" w:hAnsi="Arial;sans-serif"/>
          <w:b/>
          <w:color w:val="000000"/>
          <w:sz w:val="20"/>
        </w:rPr>
        <w:t>SALARIUS PHARMACEUTICALS,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16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
        <w:rPr>
          <w:rFonts w:ascii="Arial;sans-serif" w:hAnsi="Arial;sans-serif"/>
          <w:b/>
          <w:color w:val="000000"/>
          <w:sz w:val="20"/>
        </w:rPr>
      </w:pPr>
      <w:r>
        <w:rPr>
          <w:rFonts w:ascii="Arial;sans-serif" w:hAnsi="Arial;sans-serif"/>
          <w:b/>
          <w:color w:val="000000"/>
          <w:sz w:val="20"/>
        </w:rPr>
        <w:t>NOTE 1. ORGANIZATION AND OPERATIONS</w:t>
      </w:r>
    </w:p>
    <w:p>
      <w:pPr>
        <w:pStyle w:val="TextBody"/>
        <w:spacing w:before="0" w:after="20"/>
        <w:rPr/>
      </w:pPr>
      <w:r>
        <w:rPr/>
      </w:r>
    </w:p>
    <w:p>
      <w:pPr>
        <w:pStyle w:val="TextBody"/>
        <w:spacing w:lineRule="auto" w:line="288" w:before="0" w:after="20"/>
        <w:rPr>
          <w:rFonts w:ascii="Arial;sans-serif" w:hAnsi="Arial;sans-serif"/>
          <w:b/>
          <w:color w:val="000000"/>
          <w:sz w:val="20"/>
        </w:rPr>
      </w:pPr>
      <w:r>
        <w:rPr>
          <w:rFonts w:ascii="Arial;sans-serif" w:hAnsi="Arial;sans-serif"/>
          <w:b/>
          <w:color w:val="000000"/>
          <w:sz w:val="20"/>
        </w:rPr>
        <w:t>Nature of Business</w:t>
      </w:r>
    </w:p>
    <w:p>
      <w:pPr>
        <w:pStyle w:val="TextBody"/>
        <w:spacing w:before="0" w:after="20"/>
        <w:rPr/>
      </w:pPr>
      <w:r>
        <w:rPr/>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We are developing two classes of drugs that address gene dysregulation: epigenetic inhibitors and targeted protein degraders. Our technologies have the potential to work in both liquid and solid tumors. Our current pipeline consists of two small molecule drugs: 1) seclidemstat (SP-2577), a targeted protein inhibitor and 2) SP-3164, a targeted protein degrader. The Company is located in Houston, Texas.</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Going Concern</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oncology drug. Based on Salarius’ expected cash requirements, Salarius believes that there is substantial doubt that its existing cash and cash equivalents, will be sufficient to fund its operations through one year from the financial statements issuance date. The Company intends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Risks Related to Covid-19 Pandemic</w:t>
      </w:r>
    </w:p>
    <w:p>
      <w:pPr>
        <w:pStyle w:val="TextBody"/>
        <w:spacing w:lineRule="auto" w:line="268" w:before="0" w:after="0"/>
        <w:jc w:val="both"/>
        <w:rPr/>
      </w:pPr>
      <w:r>
        <w:rPr>
          <w:rFonts w:ascii="Arial;sans-serif" w:hAnsi="Arial;sans-serif"/>
          <w:b w:val="false"/>
          <w:color w:val="000000"/>
          <w:sz w:val="20"/>
          <w:highlight w:val="white"/>
        </w:rPr>
        <w:t xml:space="preserve">The ongoing COVID-19 coronavirus pandemic (the “Pandemic”) has had a significant effect on the United States, global economies, and business worldwide. While </w:t>
      </w:r>
      <w:r>
        <w:rPr>
          <w:rFonts w:ascii="Arial;sans-serif" w:hAnsi="Arial;sans-serif"/>
          <w:b w:val="false"/>
          <w:color w:val="000000"/>
          <w:sz w:val="20"/>
        </w:rPr>
        <w:t>we have thus far experienced minimal disruptions from the Pandemic, t</w:t>
      </w:r>
      <w:r>
        <w:rPr>
          <w:rFonts w:ascii="Arial;sans-serif" w:hAnsi="Arial;sans-serif"/>
          <w:b w:val="false"/>
          <w:color w:val="000000"/>
          <w:sz w:val="20"/>
          <w:highlight w:val="white"/>
        </w:rPr>
        <w:t>he duration and full extent to which the Pandemic impacts our business and financial condition depends on future developments that are highly uncertain, subject to change and are difficult to predict, including new information that may emerge concerning the Pandemic, and may cause intermittent or prolonged periods of interruptions to our clinical operations. We are continuously monitoring the Pandemic and its potential effect on our financial position, results of operations and cash flows. This uncertainty could have an impact in future periods on certain estimates used in the preparation of our periodic financial results. Uncertainty around the extent and length of time of the Pandemic, and any future related financial impact cannot be reasonably estimated at this time.</w:t>
      </w:r>
      <w:r>
        <w:rPr>
          <w:color w:val="000000"/>
        </w:rPr>
        <w:t xml:space="preserve"> </w:t>
      </w:r>
    </w:p>
    <w:p>
      <w:pPr>
        <w:pStyle w:val="TextBody"/>
        <w:spacing w:before="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2. BASIS OF PRESENTATION AND SIGNIFICANT ACCOUNTING POLICIES</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Basis of Presentation</w:t>
      </w:r>
    </w:p>
    <w:p>
      <w:pPr>
        <w:pStyle w:val="TextBody"/>
        <w:spacing w:before="0" w:after="0"/>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Principles of Consolidation</w:t>
      </w:r>
    </w:p>
    <w:p>
      <w:pPr>
        <w:pStyle w:val="TextBody"/>
        <w:spacing w:before="0" w:after="0"/>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the Company and its wholly owned subsidiaries. All significant intercompany balances and transactions have been eliminated in consolidation.</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 Interim Financial Information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2021 included elsewhere in the Company's Annual Report on Form 10-K filed with the SEC on March 25, 2022. In the opinion of management, the unaudited interim financial statements reflect all the adjustments (consisting of normal recurring adjustments) necessary to state fairly the Company’s financial position as of March 31, 2022 and the results of operations for the three months ended March 31, 2022 and 2021. The interim results of operations are not necessarily indicative of the results that may occur for the full fiscal year. The December 31, 2021 balance sheet included herein was derived from the audited financial statements, but does not include all disclosures, including notes, required by GAAP for complete financial statements.</w:t>
      </w:r>
    </w:p>
    <w:p>
      <w:pPr>
        <w:pStyle w:val="TextBody"/>
        <w:spacing w:before="0" w:after="0"/>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Use of Estimates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Cash and Cash Equivalents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Salarius considers all highly-liquid investments with original maturities of three months or less to be cash equivalents.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Impairment of Long-Lived Assets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months ended March 31, 2022 and 2021.</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Goodwill</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Goodwill is not amortized, but is tested at least annually for impairment at the reporting unit level. The Company has determined that the reporting unit is the single operating segment disclosed in its current financial statements. Additional impairment assessments may be performed on an interim basis if the Company encounters events or changes in circumstances that would indicate that, more likely than not, the carrying value of goodwill has been impaired.</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Impairment is the condition that exists when the carrying amount of goodwill exceeds its implied fair value. The Company utilizes the option to perform a qualitative assessment for its reporting unit and if the Company concludes it is more likely than not that the fair value of the reporting unit is less than its carrying amount, then the Company utilizes the two-step quantitative assessment. The Company’s qualitative assessment is sensitive to assumptions related to potential adverse events and circumstances, including current market trends in control premiums and involves judgement in determining comparable peer companies to include in the control premium evaluation. Many of the events and circumstances evaluated in determining whether it is more likely than not that goodwill is impaired are outside of the Company’s control and could change in future periods. There was no impairment of goodwill during the three months ended March 31, 2022 or March 31, 2021.</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Financial Instruments and Credit Risks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before="0" w:after="0"/>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Warrants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TextBody"/>
        <w:spacing w:before="0" w:after="0"/>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Clinical Trial Accruals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Grants Receivable and Revenue Recognition </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Research and Development Costs</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Costs incurred in obtaining in-process research and development technology ("IPRD") that has no alternative future use are charged to research and development expense as acquired, and presented as investing activity cash outflows on the Statement of Cash Flow.</w:t>
      </w:r>
    </w:p>
    <w:p>
      <w:pPr>
        <w:pStyle w:val="TextBody"/>
        <w:spacing w:before="0" w:after="0"/>
        <w:rPr/>
      </w:pPr>
      <w:r>
        <w:rPr/>
      </w:r>
    </w:p>
    <w:p>
      <w:pPr>
        <w:pStyle w:val="TextBody"/>
        <w:spacing w:lineRule="auto" w:line="276" w:before="0" w:after="0"/>
        <w:rPr>
          <w:rFonts w:ascii="Arial;sans-serif" w:hAnsi="Arial;sans-serif"/>
          <w:b/>
          <w:color w:val="000000"/>
          <w:sz w:val="20"/>
        </w:rPr>
      </w:pPr>
      <w:r>
        <w:rPr>
          <w:rFonts w:ascii="Arial;sans-serif" w:hAnsi="Arial;sans-serif"/>
          <w:b/>
          <w:color w:val="000000"/>
          <w:sz w:val="20"/>
        </w:rPr>
        <w:t>Equity-Based Compensation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Salarius measures equity-based compensation based on the grant date fair value of the awards and recognizes the associated expense in the financial statements over the requisite service period of the award, which is generally the vesting period.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uses the Black-Scholes option valuation model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Loss Per Share</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anti-dilutive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10,785,198 and 9,531,198 shares as of March 31, 2022 and 2021, respectively.</w:t>
      </w:r>
    </w:p>
    <w:p>
      <w:pPr>
        <w:pStyle w:val="TextBody"/>
        <w:spacing w:before="0" w:after="0"/>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Income Taxes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2022 and December 31, 2021,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pStyle w:val="TextBody"/>
        <w:spacing w:before="0" w:after="0"/>
        <w:rPr/>
      </w:pPr>
      <w:r>
        <w:rPr/>
      </w:r>
    </w:p>
    <w:p>
      <w:pPr>
        <w:pStyle w:val="TextBody"/>
        <w:spacing w:lineRule="auto" w:line="276" w:before="0" w:after="240"/>
        <w:rPr>
          <w:rFonts w:ascii="Arial;sans-serif" w:hAnsi="Arial;sans-serif"/>
          <w:b/>
          <w:color w:val="000000"/>
          <w:sz w:val="20"/>
        </w:rPr>
      </w:pPr>
      <w:r>
        <w:rPr>
          <w:rFonts w:ascii="Arial;sans-serif" w:hAnsi="Arial;sans-serif"/>
          <w:b/>
          <w:color w:val="000000"/>
          <w:sz w:val="20"/>
        </w:rPr>
        <w:t>Pronouncements Not Yet Adopted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842),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NOTE 3. GRANTS RECEIVABLE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Grants receivable represents qualifying costs incurred where there is reasonable assurance that conditions of the grant have been met but the corresponding funds have not been received as of the reporting date. Grants receivable balances are $1.6 million at both March 31, 2022 and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before="0" w:after="160"/>
        <w:rPr/>
      </w:pPr>
      <w:r>
        <w:rPr/>
      </w:r>
    </w:p>
    <w:p>
      <w:pPr>
        <w:pStyle w:val="TextBody"/>
        <w:spacing w:lineRule="auto" w:line="288" w:before="0" w:after="160"/>
        <w:rPr>
          <w:rFonts w:ascii="Arial;sans-serif" w:hAnsi="Arial;sans-serif"/>
          <w:b/>
          <w:color w:val="000000"/>
          <w:sz w:val="20"/>
        </w:rPr>
      </w:pPr>
      <w:r>
        <w:rPr>
          <w:rFonts w:ascii="Arial;sans-serif" w:hAnsi="Arial;sans-serif"/>
          <w:b/>
          <w:color w:val="000000"/>
          <w:sz w:val="20"/>
        </w:rPr>
        <w:t>NOTE 4. PREPAID EXPENSES AND OTHER CURRENT ASSETS</w:t>
      </w:r>
    </w:p>
    <w:p>
      <w:pPr>
        <w:pStyle w:val="TextBody"/>
        <w:spacing w:lineRule="auto" w:line="288" w:before="160" w:after="160"/>
        <w:rPr>
          <w:rFonts w:ascii="Arial;sans-serif" w:hAnsi="Arial;sans-serif"/>
          <w:b w:val="false"/>
          <w:color w:val="000000"/>
          <w:sz w:val="20"/>
        </w:rPr>
      </w:pPr>
      <w:r>
        <w:rPr>
          <w:rFonts w:ascii="Arial;sans-serif" w:hAnsi="Arial;sans-serif"/>
          <w:b w:val="false"/>
          <w:color w:val="000000"/>
          <w:sz w:val="20"/>
        </w:rPr>
        <w:t xml:space="preserve">Prepaid expenses and other current assets at March 31, 2022 and December 31, 2021 consisted of the following: </w:t>
      </w:r>
    </w:p>
    <w:tbl>
      <w:tblPr>
        <w:tblW w:w="8019" w:type="dxa"/>
        <w:jc w:val="left"/>
        <w:tblInd w:w="0" w:type="dxa"/>
        <w:tblCellMar>
          <w:top w:w="28" w:type="dxa"/>
          <w:left w:w="28" w:type="dxa"/>
          <w:bottom w:w="28" w:type="dxa"/>
          <w:right w:w="28" w:type="dxa"/>
        </w:tblCellMar>
      </w:tblPr>
      <w:tblGrid>
        <w:gridCol w:w="1565"/>
        <w:gridCol w:w="1374"/>
        <w:gridCol w:w="1380"/>
        <w:gridCol w:w="266"/>
        <w:gridCol w:w="1081"/>
        <w:gridCol w:w="137"/>
        <w:gridCol w:w="109"/>
        <w:gridCol w:w="109"/>
        <w:gridCol w:w="109"/>
        <w:gridCol w:w="326"/>
        <w:gridCol w:w="1325"/>
        <w:gridCol w:w="238"/>
      </w:tblGrid>
      <w:tr>
        <w:trPr/>
        <w:tc>
          <w:tcPr>
            <w:tcW w:w="1565"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2021</w:t>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clinical trial expenses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97,557 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insurance</w:t>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399,746 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678,672 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 and current assets</w:t>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195,378 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172,986 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 and other current assets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662,854 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949,215 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Prepaid insurance is mainly comprised of prepaid directors' and officers' insurance.</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5. COMMITMENTS AND CONTINGENCIES</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License Agreement with the University of Utah Research Foundation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Cancer Prevention and Research Institute of Texas</w:t>
      </w:r>
    </w:p>
    <w:p>
      <w:pPr>
        <w:pStyle w:val="TextBody"/>
        <w:spacing w:before="0" w:after="0"/>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June 2016, the Company entered into a Cancer Research Grant Contract with CPRIT. Pursuant to the contract, CPRIT awarded the Company a grant of up to $18.7 million, further modified to $16.1 million, to fund the development of an LSD1 inhibitor. This is a 3-year grant award which originally expired on May 31, 2019. The grant now expires on November 30, 2022.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pStyle w:val="TextBody"/>
        <w:spacing w:before="0" w:after="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CPRIT grant is subject to funding conditions including a matching funds requirement where the Company will match 50% of funding from the CPRIT grant. As of March 31, 2022, the Company has expended all allowable funds under the grant.</w:t>
      </w:r>
    </w:p>
    <w:p>
      <w:pPr>
        <w:pStyle w:val="TextBody"/>
        <w:spacing w:before="0" w:after="0"/>
        <w:jc w:val="both"/>
        <w:rPr/>
      </w:pPr>
      <w:r>
        <w:rPr/>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Lease Agreement</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Company presently leases office space under operating lease agreements on a month to month basis.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 xml:space="preserve">NOTE 6. FAIR VALUE OF FINANCIAL INSTRUMENTS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spacing w:lineRule="auto" w:line="288" w:before="0" w:after="6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spacing w:lineRule="auto" w:line="288" w:before="0" w:after="60"/>
        <w:ind w:left="0" w:right="0" w:hanging="810"/>
        <w:jc w:val="both"/>
        <w:rPr>
          <w:rFonts w:ascii="Arial;sans-serif" w:hAnsi="Arial;sans-serif"/>
          <w:b w:val="false"/>
          <w:color w:val="000000"/>
          <w:sz w:val="20"/>
        </w:rPr>
      </w:pPr>
      <w:r>
        <w:rPr>
          <w:rFonts w:ascii="Arial;sans-serif" w:hAnsi="Arial;sans-serif"/>
          <w:b w:val="false"/>
          <w:color w:val="000000"/>
          <w:sz w:val="20"/>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3 - Significant unobservable inputs including Salarius’ own assumptions in determining fair value.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believes the recorded values of its financial instruments, including cash and cash equivalents, accounts payable and note payable approximate their fair values due to the short-term nature of these instruments.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sets forth a summary of changes in the fair value of Level 3 liabilities, the warrants issued in connection with the Company's merger with Flex Pharma in 2019, which are measured at fair value on a recurring basis for the three months ended March 31, 2022:</w:t>
      </w:r>
    </w:p>
    <w:tbl>
      <w:tblPr>
        <w:tblW w:w="9576" w:type="dxa"/>
        <w:jc w:val="center"/>
        <w:tblInd w:w="0" w:type="dxa"/>
        <w:tblCellMar>
          <w:top w:w="28" w:type="dxa"/>
          <w:left w:w="28" w:type="dxa"/>
          <w:bottom w:w="28" w:type="dxa"/>
          <w:right w:w="28" w:type="dxa"/>
        </w:tblCellMar>
      </w:tblPr>
      <w:tblGrid>
        <w:gridCol w:w="527"/>
        <w:gridCol w:w="462"/>
        <w:gridCol w:w="465"/>
        <w:gridCol w:w="564"/>
        <w:gridCol w:w="2009"/>
        <w:gridCol w:w="291"/>
        <w:gridCol w:w="109"/>
        <w:gridCol w:w="109"/>
        <w:gridCol w:w="109"/>
        <w:gridCol w:w="449"/>
        <w:gridCol w:w="1374"/>
        <w:gridCol w:w="231"/>
        <w:gridCol w:w="109"/>
        <w:gridCol w:w="109"/>
        <w:gridCol w:w="109"/>
        <w:gridCol w:w="532"/>
        <w:gridCol w:w="1630"/>
        <w:gridCol w:w="388"/>
      </w:tblGrid>
      <w:tr>
        <w:trPr/>
        <w:tc>
          <w:tcPr>
            <w:tcW w:w="52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Balance at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Change in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Balance at March 31, 2022</w:t>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 liability</w:t>
            </w:r>
          </w:p>
        </w:tc>
        <w:tc>
          <w:tcPr>
            <w:tcW w:w="5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14,518 </w:t>
            </w:r>
          </w:p>
        </w:tc>
        <w:tc>
          <w:tcPr>
            <w:tcW w:w="2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5,808 </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8,710 </w:t>
            </w:r>
          </w:p>
        </w:tc>
        <w:tc>
          <w:tcPr>
            <w:tcW w:w="3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NOTE 7. STOCKHOLDERS' EQUITY</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 xml:space="preserve">Common Stock </w:t>
      </w:r>
    </w:p>
    <w:p>
      <w:pPr>
        <w:pStyle w:val="TextBody"/>
        <w:spacing w:lineRule="auto" w:line="268" w:before="0" w:after="0"/>
        <w:jc w:val="both"/>
        <w:rPr/>
      </w:pPr>
      <w:r>
        <w:rPr>
          <w:rFonts w:ascii="Arial;sans-serif" w:hAnsi="Arial;sans-serif"/>
          <w:b w:val="false"/>
          <w:color w:val="000000"/>
          <w:sz w:val="20"/>
        </w:rPr>
        <w:t>On January 12, 2022, the Company, entered into an Acquisition and Strategic Collaboration Agreement (the “ASCA”), with DeuteRx, LLC, a Delaware limited liability company (the “DeuteRx”), pursuant to which DeuteRx agreed to sell, and Company agreed to purchase and assume from DeuteRx, all of DeuteRx’s rights, title, and interest in and to certain assets of DeuteRx, including SP-3164, DeuteRx’s intellectual property, information and data related to SP-3164, tangible materials or reagents related to SP-3164, goodwill, rights and claims, other than certain excluded assets (collectively, the “Purchased Assets”), all as more specifically set forth in the ASCA, and assume certain assumed liabilities, upon the terms and subject to the conditions set forth in the ASCA. The Aggregate purchase price paid under the ASCA was $2.0 million consisting of</w:t>
      </w:r>
      <w:r>
        <w:rPr>
          <w:color w:val="000000"/>
        </w:rPr>
        <w:t xml:space="preserve"> </w:t>
      </w:r>
      <w:r>
        <w:rPr>
          <w:rFonts w:ascii="Arial;sans-serif" w:hAnsi="Arial;sans-serif"/>
          <w:b w:val="false"/>
          <w:color w:val="000000"/>
          <w:sz w:val="20"/>
        </w:rPr>
        <w:t>$1.5 million cash payment and the delivery of 1 million shares of the Company's common stock, valued at $0.5 million. In addition, the Company agreed to pay to Seller potential future milestone payments upon the occurrence of an applicable Milestone Event (as defined in the ASCA) and potential future royalty payments. A member of the Company’s Board of Directors also serves as a consultant to the Seller and is employed by an affiliate of the Seller.</w:t>
      </w:r>
    </w:p>
    <w:p>
      <w:pPr>
        <w:pStyle w:val="TextBody"/>
        <w:spacing w:before="0" w:after="24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February 5, 2021, the Company entered into an At the Market Offering Agreement (the “Sales Agreement”) with Ladenburg Thalmann &amp; Co. Inc. (“Ladenburg”). Under the Sales Agreement the Company was able to issue and sell, from time to time, shares of its common stock having an aggregate offering price of up to $6.3 million (the “ATM Shares”) with Ladenburg acting as an agent for sales. Sales of the ATM Shares may be made by any method permitted by law deemed to be an “at the market offering” as defined in Rule 415(a)(4) of the Securities Act of 1933, as amended, including, without limitation, sales made directly on or through the NASDAQ Capital Market. No shares were issued under the Sales Agreement during the three months ended March 31, 2022. During the three months ended March 31, 2021, the Company issued 2,820,493 shares under the Sales Agreement for gross proceeds of $6.3 million.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2021, the Company completed a public offering of 16,806,722 shares of its common stock at a price to the public of $1.3685 per share. Total gross proceeds from the offering were approximately $23.0 million prior to deducting underwriting discounts and commissions and offering expenses payable by the Company.</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before="0" w:after="0"/>
        <w:rPr/>
      </w:pPr>
      <w:r>
        <w:rPr/>
      </w:r>
    </w:p>
    <w:p>
      <w:pPr>
        <w:pStyle w:val="TextBody"/>
        <w:spacing w:lineRule="auto" w:line="288" w:before="160" w:after="240"/>
        <w:rPr>
          <w:rFonts w:ascii="Arial;sans-serif" w:hAnsi="Arial;sans-serif"/>
          <w:b/>
          <w:color w:val="000000"/>
          <w:sz w:val="20"/>
        </w:rPr>
      </w:pPr>
      <w:r>
        <w:rPr>
          <w:rFonts w:ascii="Arial;sans-serif" w:hAnsi="Arial;sans-serif"/>
          <w:b/>
          <w:color w:val="000000"/>
          <w:sz w:val="20"/>
        </w:rPr>
        <w:t xml:space="preserve">Warrants Exercised for Cash </w:t>
      </w:r>
    </w:p>
    <w:p>
      <w:pPr>
        <w:pStyle w:val="TextBody"/>
        <w:spacing w:lineRule="auto" w:line="288" w:before="0" w:after="240"/>
        <w:jc w:val="both"/>
        <w:rPr>
          <w:rFonts w:ascii="Arial;sans-serif" w:hAnsi="Arial;sans-serif"/>
          <w:b w:val="false"/>
          <w:color w:val="000000"/>
          <w:sz w:val="20"/>
          <w:highlight w:val="white"/>
        </w:rPr>
      </w:pPr>
      <w:r>
        <w:rPr>
          <w:rFonts w:ascii="Arial;sans-serif" w:hAnsi="Arial;sans-serif"/>
          <w:b w:val="false"/>
          <w:color w:val="000000"/>
          <w:sz w:val="20"/>
          <w:highlight w:val="white"/>
        </w:rPr>
        <w:t>The Company has five-year warrants outstanding that were issued in February 2020 and subsequently modified in December 2020 in connection with the issuance of additional inducement warrants. The warrants are exercisable at a price per share of $0.90. The inducement warrants expire on June 11, 2026 and are exercisable at a price per share of $1.182.</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2022, no warrants were exercised. During the three months ended March 31, 2021, the Company issued 1,298,567 common shares as a result of warrant exercises, and received cash proceeds of approximately $1.5 million. As of March 31, 2022, 7,747,587 warrants remain outstanding.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Rights to Warrants </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January 3, 2019, Flex Pharma, Private Salarius and Merger Sub entered into the Merger Agreement. Pursuant to the Merger Agreement, Flex Pharma distributed one right per share of common stock to stockholders of record as of the close of business on July 18, 2019. Each right entitles such stockholders to receive a warrant to purchase the Company's common shares on January 20, 2020. These warrants were issued on July 1, 2021 and are exercisable in the aggregate, into 142,711 shares of the Company's common stock with a 5-year term from January 20, 2020, at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accounted for these warrants at fair value using Level 3 inputs. The Company determined the fair value of this warrant liability using a Black-Scholes valuation model. Using this method, unobservable inputs included the Company’s equity value, expected timing of possible outcomes, risk free interest rates and stock</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price volatility.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Variables used in the Black-Scholes model are as follows:</w:t>
      </w:r>
    </w:p>
    <w:tbl>
      <w:tblPr>
        <w:tblW w:w="5947" w:type="dxa"/>
        <w:jc w:val="center"/>
        <w:tblInd w:w="0" w:type="dxa"/>
        <w:tblCellMar>
          <w:top w:w="28" w:type="dxa"/>
          <w:left w:w="28" w:type="dxa"/>
          <w:bottom w:w="28" w:type="dxa"/>
          <w:right w:w="28" w:type="dxa"/>
        </w:tblCellMar>
      </w:tblPr>
      <w:tblGrid>
        <w:gridCol w:w="696"/>
        <w:gridCol w:w="611"/>
        <w:gridCol w:w="613"/>
        <w:gridCol w:w="109"/>
        <w:gridCol w:w="109"/>
        <w:gridCol w:w="109"/>
        <w:gridCol w:w="494"/>
        <w:gridCol w:w="494"/>
        <w:gridCol w:w="496"/>
        <w:gridCol w:w="109"/>
        <w:gridCol w:w="109"/>
        <w:gridCol w:w="109"/>
        <w:gridCol w:w="552"/>
        <w:gridCol w:w="552"/>
        <w:gridCol w:w="785"/>
      </w:tblGrid>
      <w:tr>
        <w:trPr/>
        <w:tc>
          <w:tcPr>
            <w:tcW w:w="69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2021</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0.97%</w:t>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2.81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3.06 years</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125.58%</w:t>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20"/>
              </w:rPr>
              <w:t>%</w:t>
            </w:r>
          </w:p>
        </w:tc>
      </w:tr>
    </w:tbl>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Wedbush Warrant </w:t>
      </w:r>
    </w:p>
    <w:p>
      <w:pPr>
        <w:pStyle w:val="TextBody"/>
        <w:spacing w:before="0" w:after="0"/>
        <w:rPr/>
      </w:pPr>
      <w:r>
        <w:rPr/>
      </w:r>
    </w:p>
    <w:p>
      <w:pPr>
        <w:pStyle w:val="TextBody"/>
        <w:spacing w:lineRule="auto" w:line="288" w:before="0" w:after="240"/>
        <w:jc w:val="both"/>
        <w:rPr/>
      </w:pPr>
      <w:r>
        <w:rPr>
          <w:rFonts w:ascii="Arial;sans-serif" w:hAnsi="Arial;sans-serif"/>
          <w:b w:val="false"/>
          <w:color w:val="000000"/>
          <w:sz w:val="20"/>
          <w:highlight w:val="white"/>
        </w:rPr>
        <w:t xml:space="preserve">On July 19, 2019, upon the closing of the merger, the Company elected to issue warrants to purchase 42,928 common shares to Wedbush Securities Inc. ("Wedbush") to satisfy $0.5 million of the $1.0 million success fee payable to Wedbush at the closing of the merger. The remaining $0.5 million success fee was paid in cash. These warrants have an exercise price of $18.90 and a 5-year term. As of </w:t>
      </w:r>
      <w:r>
        <w:rPr>
          <w:rFonts w:ascii="Arial;sans-serif" w:hAnsi="Arial;sans-serif"/>
          <w:b w:val="false"/>
          <w:color w:val="000000"/>
          <w:sz w:val="20"/>
        </w:rPr>
        <w:t>March 31, 2022, all warrants issued to Wedbush were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Arial;sans-serif" w:hAnsi="Arial;sans-serif"/>
          <w:b/>
          <w:color w:val="000000"/>
          <w:sz w:val="20"/>
        </w:rPr>
      </w:pPr>
      <w:r>
        <w:rPr>
          <w:rFonts w:ascii="Arial;sans-serif" w:hAnsi="Arial;sans-serif"/>
          <w:b/>
          <w:color w:val="000000"/>
          <w:sz w:val="20"/>
        </w:rPr>
        <w:t xml:space="preserve">NOTE 8. EQUITY-BASED COMPENSATION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Equity Incentive Plans</w:t>
      </w:r>
    </w:p>
    <w:p>
      <w:pPr>
        <w:pStyle w:val="TextBody"/>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2022, there were 1,126,976 shares remaining available for the grant of option awards under the 2015 Plan.</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During the three-months periods ended March 31, 2022 and 2021, the Company awarded 1,254,000 and 40,000 stock options, respectively,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each of the three months periods ended March 31, 2022 and 2021 was $0.5 million and $0.1 million, respectively, which has been estimated with the following assumptions on the grant date.</w:t>
      </w:r>
    </w:p>
    <w:tbl>
      <w:tblPr>
        <w:tblW w:w="5037" w:type="dxa"/>
        <w:jc w:val="center"/>
        <w:tblInd w:w="0" w:type="dxa"/>
        <w:tblCellMar>
          <w:top w:w="28" w:type="dxa"/>
          <w:left w:w="28" w:type="dxa"/>
          <w:bottom w:w="28" w:type="dxa"/>
          <w:right w:w="28" w:type="dxa"/>
        </w:tblCellMar>
      </w:tblPr>
      <w:tblGrid>
        <w:gridCol w:w="880"/>
        <w:gridCol w:w="773"/>
        <w:gridCol w:w="777"/>
        <w:gridCol w:w="424"/>
        <w:gridCol w:w="424"/>
        <w:gridCol w:w="427"/>
        <w:gridCol w:w="109"/>
        <w:gridCol w:w="109"/>
        <w:gridCol w:w="109"/>
        <w:gridCol w:w="294"/>
        <w:gridCol w:w="294"/>
        <w:gridCol w:w="417"/>
      </w:tblGrid>
      <w:tr>
        <w:trPr/>
        <w:tc>
          <w:tcPr>
            <w:tcW w:w="880"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1/20/2022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3/10/2021</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1.62%-1.70%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    </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133.35%</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(years)    </w:t>
            </w:r>
          </w:p>
        </w:tc>
        <w:tc>
          <w:tcPr>
            <w:tcW w:w="12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5.00-6.00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6.00</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    </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bl>
    <w:p>
      <w:pPr>
        <w:pStyle w:val="TextBody"/>
        <w:spacing w:before="160" w:after="160"/>
        <w:jc w:val="center"/>
        <w:rPr/>
      </w:pPr>
      <w:r>
        <w:rPr/>
      </w:r>
    </w:p>
    <w:p>
      <w:pPr>
        <w:pStyle w:val="TextBody"/>
        <w:spacing w:before="160" w:after="160"/>
        <w:jc w:val="center"/>
        <w:rPr/>
      </w:pPr>
      <w:r>
        <w:rPr/>
      </w:r>
    </w:p>
    <w:p>
      <w:pPr>
        <w:pStyle w:val="TextBody"/>
        <w:spacing w:lineRule="auto" w:line="288" w:before="160" w:after="160"/>
        <w:rPr>
          <w:rFonts w:ascii="Arial;sans-serif" w:hAnsi="Arial;sans-serif"/>
          <w:b w:val="false"/>
          <w:color w:val="000000"/>
          <w:sz w:val="20"/>
        </w:rPr>
      </w:pPr>
      <w:r>
        <w:rPr>
          <w:rFonts w:ascii="Arial;sans-serif" w:hAnsi="Arial;sans-serif"/>
          <w:b w:val="false"/>
          <w:color w:val="000000"/>
          <w:sz w:val="20"/>
        </w:rPr>
        <w:t xml:space="preserve">The following table summarizes stock option activity for employees and non-employees for the three months ended March 31, 2022 and 2021: </w:t>
      </w:r>
    </w:p>
    <w:tbl>
      <w:tblPr>
        <w:tblW w:w="9759" w:type="dxa"/>
        <w:jc w:val="left"/>
        <w:tblInd w:w="0" w:type="dxa"/>
        <w:tblCellMar>
          <w:top w:w="28" w:type="dxa"/>
          <w:left w:w="28" w:type="dxa"/>
          <w:bottom w:w="28" w:type="dxa"/>
          <w:right w:w="28" w:type="dxa"/>
        </w:tblCellMar>
      </w:tblPr>
      <w:tblGrid>
        <w:gridCol w:w="1140"/>
        <w:gridCol w:w="1003"/>
        <w:gridCol w:w="1006"/>
        <w:gridCol w:w="319"/>
        <w:gridCol w:w="319"/>
        <w:gridCol w:w="323"/>
        <w:gridCol w:w="109"/>
        <w:gridCol w:w="109"/>
        <w:gridCol w:w="109"/>
        <w:gridCol w:w="437"/>
        <w:gridCol w:w="1122"/>
        <w:gridCol w:w="227"/>
        <w:gridCol w:w="109"/>
        <w:gridCol w:w="109"/>
        <w:gridCol w:w="109"/>
        <w:gridCol w:w="595"/>
        <w:gridCol w:w="595"/>
        <w:gridCol w:w="596"/>
        <w:gridCol w:w="109"/>
        <w:gridCol w:w="109"/>
        <w:gridCol w:w="109"/>
        <w:gridCol w:w="321"/>
        <w:gridCol w:w="321"/>
        <w:gridCol w:w="454"/>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Remaining</w:t>
              <w:br/>
              <w:t>Contractual</w:t>
              <w:br/>
              <w:t>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Aggregate</w:t>
              <w:br/>
              <w:t>Intrinsic</w:t>
              <w:br/>
              <w:t>Value</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2020</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1,563,972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$175,770</w:t>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Expired</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2021</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1,603,972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$787,801</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2021</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143,747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$57,900</w:t>
            </w:r>
          </w:p>
        </w:tc>
      </w:tr>
      <w:tr>
        <w:trPr/>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2021</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1,597,972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2022</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2,851,972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2022</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768,900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2022 and 2021, there was approximately $1.3 million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2.8 years.</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9 SUBSEQUENT EVENTS</w:t>
      </w:r>
    </w:p>
    <w:p>
      <w:pPr>
        <w:pStyle w:val="TextBody"/>
        <w:spacing w:before="0" w:after="0"/>
        <w:rPr/>
      </w:pPr>
      <w:r>
        <w:rPr/>
      </w:r>
    </w:p>
    <w:p>
      <w:pPr>
        <w:pStyle w:val="TextBody"/>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The Company’s management reviewed all material events through the date that the financial statements were issued for subsequent event disclosure consideration.</w:t>
      </w:r>
    </w:p>
    <w:p>
      <w:pPr>
        <w:pStyle w:val="TextBody"/>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On April 22, 2022, the Company entered into a securities purchase agreement on with certain institutional and accredited investors for the sale by the Company of 9,339,436 shares of the Company’s common stock, par value $0.0001 per share (the “Common Stock”) at a purchase price of $0.25 per share. Concurrently, the Company also sold unregistered warrants exercisable for an aggregate of 7,004,578 shares of Common Stock, which represents 75% of the shares of Common Stock sold, with an exercise price of $0.3399 per share. The transaction closed on April 26, 2022 with gross proceeds of $2.3 million before deducting certain fees due to the placement agent and other estimated transaction expenses.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tbl>
      <w:tblPr>
        <w:tblW w:w="9209" w:type="dxa"/>
        <w:jc w:val="center"/>
        <w:tblInd w:w="0" w:type="dxa"/>
        <w:tblCellMar>
          <w:top w:w="28" w:type="dxa"/>
          <w:left w:w="28" w:type="dxa"/>
          <w:bottom w:w="28" w:type="dxa"/>
          <w:right w:w="28" w:type="dxa"/>
        </w:tblCellMar>
      </w:tblPr>
      <w:tblGrid>
        <w:gridCol w:w="271"/>
        <w:gridCol w:w="238"/>
        <w:gridCol w:w="241"/>
        <w:gridCol w:w="2474"/>
        <w:gridCol w:w="2474"/>
        <w:gridCol w:w="3511"/>
      </w:tblGrid>
      <w:tr>
        <w:trPr/>
        <w:tc>
          <w:tcPr>
            <w:tcW w:w="2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c>
          <w:tcPr>
            <w:tcW w:w="3511"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8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spacing w:lineRule="auto" w:line="276" w:before="240" w:after="240"/>
        <w:jc w:val="both"/>
        <w:rPr/>
      </w:pPr>
      <w:r>
        <w:rPr>
          <w:rFonts w:ascii="Arial;sans-serif" w:hAnsi="Arial;sans-serif"/>
          <w:b w:val="false"/>
          <w:i/>
          <w:color w:val="000000"/>
          <w:sz w:val="20"/>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 xml:space="preserve">on Form 10-K for the year ended December 31, 2021, filed with the SEC on March 25, 2022.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on Form 10-K for the year ended December 31, 2021,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Overview</w:t>
      </w:r>
    </w:p>
    <w:p>
      <w:pPr>
        <w:pStyle w:val="TextBody"/>
        <w:spacing w:lineRule="auto" w:line="276" w:before="0" w:after="240"/>
        <w:jc w:val="both"/>
        <w:rPr/>
      </w:pPr>
      <w:r>
        <w:rPr>
          <w:rFonts w:ascii="Arial;sans-serif" w:hAnsi="Arial;sans-serif"/>
          <w:b w:val="false"/>
          <w:color w:val="000000"/>
          <w:sz w:val="20"/>
        </w:rPr>
        <w:t>We are a clinical-stage biopharmaceutical company focused on developing treatments for cancers with high, unmet medical need</w:t>
      </w:r>
      <w:r>
        <w:rPr>
          <w:rFonts w:ascii="Times New Roman;sans-serif" w:hAnsi="Times New Roman;sans-serif"/>
          <w:b w:val="false"/>
          <w:color w:val="000000"/>
          <w:sz w:val="24"/>
        </w:rPr>
        <w:t xml:space="preserve">. </w:t>
      </w:r>
      <w:r>
        <w:rPr>
          <w:rFonts w:ascii="Arial;sans-serif" w:hAnsi="Arial;sans-serif"/>
          <w:b w:val="false"/>
          <w:color w:val="000000"/>
          <w:sz w:val="20"/>
        </w:rPr>
        <w:t xml:space="preserve">Specifically, we are developing treatments for cancers caused by dysregulated gene expression, i.e., genes which are incorrectly turned on or off. We are developing two classes of drugs that address gene dysregulation: epigenetic inhibitors and targeted protein degraders. Our technologies have the potential to work in both liquid and solid tumors. Our current pipeline consists of two small molecule drugs: 1) seclidemstat (SP-2577), a targeted protein inhibitor and 2) SP-3164, a targeted protein degrader. </w:t>
      </w:r>
    </w:p>
    <w:p>
      <w:pPr>
        <w:pStyle w:val="TextBody"/>
        <w:spacing w:lineRule="auto" w:line="276" w:before="160" w:after="240"/>
        <w:jc w:val="both"/>
        <w:rPr>
          <w:rFonts w:ascii="Arial;sans-serif" w:hAnsi="Arial;sans-serif"/>
          <w:b w:val="false"/>
          <w:color w:val="000000"/>
          <w:sz w:val="20"/>
        </w:rPr>
      </w:pPr>
      <w:r>
        <w:rPr>
          <w:rFonts w:ascii="Arial;sans-serif" w:hAnsi="Arial;sans-serif"/>
          <w:b w:val="false"/>
          <w:color w:val="000000"/>
          <w:sz w:val="20"/>
        </w:rPr>
        <w:t>We have no products approved for commercial sale and have not generated any revenue from product sales. We have never been profitable and have incurred operating losses in each year since inception. We had an accumulated deficit of $38.3 million as of March 31, 2022. Substantially all of our operating losses resulted from expenses incurred in connection with our research and development programs and from general and administrative costs associated with our operations. As of March 31, 2022, we had cash and cash equivalents of $24.2 million.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and may need such additional capital sooner than 12 months. Accordingly, we will need to raise substantial additional capital to continue to fund our operations. The amount and timing of our future funding requirements will depend on many factors, including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pStyle w:val="TextBody"/>
        <w:spacing w:lineRule="auto" w:line="276" w:before="0" w:after="240"/>
        <w:jc w:val="both"/>
        <w:rPr>
          <w:rFonts w:ascii="Arial;sans-serif" w:hAnsi="Arial;sans-serif"/>
          <w:b/>
          <w:i/>
          <w:color w:val="000000"/>
          <w:sz w:val="20"/>
        </w:rPr>
      </w:pPr>
      <w:r>
        <w:rPr>
          <w:rFonts w:ascii="Arial;sans-serif" w:hAnsi="Arial;sans-serif"/>
          <w:b/>
          <w:i/>
          <w:color w:val="000000"/>
          <w:sz w:val="20"/>
        </w:rPr>
        <w:t>Seclidemstat - Targeted Protein Inhibition</w:t>
      </w:r>
    </w:p>
    <w:p>
      <w:pPr>
        <w:pStyle w:val="TextBody"/>
        <w:spacing w:lineRule="auto" w:line="276"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 xml:space="preserve">Our lead compound, seclidemstat (SP-2577), is a small molecule that inhibits the epigenetic enzyme lysine specific demethylase 1 (LSD1). LSD1 is an enzyme that removes mono- and di-methyl marks on histones (core protein of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76"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pStyle w:val="TextBody"/>
        <w:spacing w:before="0" w:after="0"/>
        <w:rPr/>
      </w:pPr>
      <w:r>
        <w:rPr/>
      </w:r>
    </w:p>
    <w:p>
      <w:pPr>
        <w:pStyle w:val="TextBody"/>
        <w:spacing w:lineRule="auto" w:line="276" w:before="0" w:after="0"/>
        <w:jc w:val="both"/>
        <w:rPr/>
      </w:pPr>
      <w:r>
        <w:rPr>
          <w:rFonts w:ascii="Arial;sans-serif" w:hAnsi="Arial;sans-serif"/>
          <w:b w:val="false"/>
          <w:color w:val="000000"/>
          <w:sz w:val="20"/>
          <w:highlight w:val="white"/>
        </w:rPr>
        <w:t xml:space="preserve">SP-2577 is being developed for both solid and liquid tumors. Our lead indication for SP-2577 is a devastating bone and soft-tissue cancer called Ewing sarcoma, which has a median age of diagnosis of 15. We are currently in a Phase 1/2 trial to treat relapsed/refractory Ewing sarcoma patients in combination with topotecan and cylophosphamide. </w:t>
      </w:r>
      <w:r>
        <w:rPr>
          <w:rFonts w:ascii="Arial;sans-serif" w:hAnsi="Arial;sans-serif"/>
          <w:b w:val="false"/>
          <w:color w:val="000000"/>
          <w:sz w:val="20"/>
        </w:rPr>
        <w:t xml:space="preserve">Based on SP-2577’s proposed mechanism of action, preclinical data, and clinical data from our earlier Advanced Solid Tumor trial, we expanded the Ewing sarcoma dose expansion trial to include a cohort of Ewing-related sarcomas (also referred to as FET-translocated sarcomas). Ewing sarcoma and FET-translocated sarcomas are rare cancers that may provide a speed-to-market development approach. In addition, as part of our market expansion strategy, in 2021 we initiated an Investigator Initiated Trial with the MD Anderson Cancer Center that is studying SP-2577 in combination with azacitidine for the treatment of patients with myelodysplastic syndromes (MDS) or chronic myelomonocytic leukemia (CMML). MDS and CMML can progress into Acute Muyeloid Leukemia (AML), which the American Cancer Society estimates there were almost 20,000 new cases of AML in the US alone in 2020. </w:t>
      </w:r>
    </w:p>
    <w:p>
      <w:pPr>
        <w:pStyle w:val="TextBody"/>
        <w:spacing w:before="0" w:after="0"/>
        <w:jc w:val="both"/>
        <w:rPr/>
      </w:pPr>
      <w:r>
        <w:rPr/>
      </w:r>
    </w:p>
    <w:p>
      <w:pPr>
        <w:pStyle w:val="TextBody"/>
        <w:spacing w:before="0" w:after="0"/>
        <w:rPr/>
      </w:pPr>
      <w:r>
        <w:rPr/>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SP-3164 – Targeted Protein Degradation</w:t>
      </w:r>
    </w:p>
    <w:p>
      <w:pPr>
        <w:pStyle w:val="TextBody"/>
        <w:spacing w:lineRule="auto" w:line="268" w:before="0" w:after="240"/>
        <w:jc w:val="both"/>
        <w:rPr/>
      </w:pPr>
      <w:r>
        <w:rPr>
          <w:rFonts w:ascii="Arial;sans-serif" w:hAnsi="Arial;sans-serif"/>
          <w:b w:val="false"/>
          <w:color w:val="000000"/>
          <w:sz w:val="20"/>
        </w:rPr>
        <w:t>SP-3164 is a next-generation cereblon-binding molecular glue. Molecular glues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 with deuterium to stabilize the molecule’s active enantiomer, resulting in a novel molecular entity with the potential for increased efficacy and improved safety compared to the 1st generation compound. SP-3164 degrades transcription factors IKZF1 and IKZF3, along with other proteins, resulting in both direct anti-cancer activity and immune-modulating properties.</w:t>
      </w:r>
      <w:r>
        <w:rPr>
          <w:color w:val="000000"/>
        </w:rPr>
        <w:t xml:space="preserve"> </w:t>
      </w:r>
      <w:r>
        <w:rPr>
          <w:rFonts w:ascii="Arial;sans-serif" w:hAnsi="Arial;sans-serif"/>
          <w:b w:val="false"/>
          <w:color w:val="000000"/>
          <w:sz w:val="20"/>
        </w:rPr>
        <w:t>SP-3164 has potential to treat both hematologic and solid tumors and is currently in IND-enabling studies.</w:t>
      </w:r>
    </w:p>
    <w:p>
      <w:pPr>
        <w:pStyle w:val="TextBody"/>
        <w:spacing w:lineRule="auto" w:line="26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Our goal is to develop SP-2577 and SP-3164 for treatment of cancers while attempting to maximize return for investors. To achieve this goal, our strategy consists of a two-pronged approach: 1) speed-to-market by developing SP-2577 and SP-3164 in high unmet need indications and 2) expansion of the market by developing SP-2577 and SP-3164 in larger market indications.</w:t>
      </w:r>
    </w:p>
    <w:p>
      <w:pPr>
        <w:pStyle w:val="TextBody"/>
        <w:spacing w:before="160" w:after="160"/>
        <w:jc w:val="both"/>
        <w:rPr/>
      </w:pPr>
      <w:r>
        <w:rPr/>
      </w:r>
    </w:p>
    <w:p>
      <w:pPr>
        <w:pStyle w:val="TextBody"/>
        <w:spacing w:lineRule="auto" w:line="276" w:before="132" w:after="283"/>
        <w:jc w:val="both"/>
        <w:rPr>
          <w:rFonts w:ascii="Arial;sans-serif" w:hAnsi="Arial;sans-serif"/>
          <w:b/>
          <w:color w:val="000000"/>
          <w:sz w:val="20"/>
        </w:rPr>
      </w:pPr>
      <w:r>
        <w:rPr>
          <w:rFonts w:ascii="Arial;sans-serif" w:hAnsi="Arial;sans-serif"/>
          <w:b/>
          <w:color w:val="000000"/>
          <w:sz w:val="20"/>
        </w:rPr>
        <w:t>Special Note About Coronavirus (COVID-19)</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0"/>
          <w:highlight w:val="white"/>
        </w:rPr>
        <w:t xml:space="preserve">The ongoing COVID-19 coronavirus pandemic (the “Pandemic”) has had a significant effect on the United States, global economies, and business worldwide. While </w:t>
      </w:r>
      <w:r>
        <w:rPr>
          <w:rFonts w:ascii="Arial;sans-serif" w:hAnsi="Arial;sans-serif"/>
          <w:b w:val="false"/>
          <w:color w:val="000000"/>
          <w:sz w:val="20"/>
        </w:rPr>
        <w:t>we have thus far experienced minimal disruptions from the Pandemic, t</w:t>
      </w:r>
      <w:r>
        <w:rPr>
          <w:rFonts w:ascii="Arial;sans-serif" w:hAnsi="Arial;sans-serif"/>
          <w:b w:val="false"/>
          <w:color w:val="000000"/>
          <w:sz w:val="20"/>
          <w:highlight w:val="white"/>
        </w:rPr>
        <w:t>he duration and full extent to which the Pandemic impacts our business and financial condition depends on future developments that are highly uncertain, subject to change and are difficult to predict, including new information that may emerge concerning the Pandemic, and may cause intermittent or prolonged periods of interruptions to our clinical operations. We are continuously monitoring the Pandemic and its potential effect on our financial position, results of operations and cash flows. This uncertainty could have an impact in future periods on certain estimates used in the preparation of our periodic financial results. Uncertainty around the extent and length of time of the Pandemic, and any future related financial impact cannot be reasonably estimated at this time.</w:t>
      </w:r>
      <w:r>
        <w:rPr>
          <w:color w:val="000000"/>
        </w:rPr>
        <w:t xml:space="preserve"> </w:t>
      </w:r>
    </w:p>
    <w:p>
      <w:pPr>
        <w:pStyle w:val="TextBody"/>
        <w:spacing w:before="160" w:after="16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before="16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160" w:after="160"/>
        <w:rPr>
          <w:rFonts w:ascii="Arial;sans-serif" w:hAnsi="Arial;sans-serif"/>
          <w:b w:val="false"/>
          <w:color w:val="000000"/>
          <w:sz w:val="20"/>
        </w:rPr>
      </w:pPr>
      <w:r>
        <w:rPr>
          <w:rFonts w:ascii="Arial;sans-serif" w:hAnsi="Arial;sans-serif"/>
          <w:b w:val="false"/>
          <w:color w:val="000000"/>
          <w:sz w:val="20"/>
        </w:rPr>
        <w:t xml:space="preserve">The following table sets forth the condensed consolidated results of our operations for the three months ended March 31, 2022 compared to March 31, 2021. </w:t>
      </w:r>
    </w:p>
    <w:p>
      <w:pPr>
        <w:pStyle w:val="TextBody"/>
        <w:spacing w:before="160" w:after="160"/>
        <w:rPr/>
      </w:pPr>
      <w:r>
        <w:rPr/>
      </w:r>
    </w:p>
    <w:tbl>
      <w:tblPr>
        <w:tblW w:w="9699" w:type="dxa"/>
        <w:jc w:val="center"/>
        <w:tblInd w:w="0" w:type="dxa"/>
        <w:tblCellMar>
          <w:top w:w="28" w:type="dxa"/>
          <w:left w:w="28" w:type="dxa"/>
          <w:bottom w:w="28" w:type="dxa"/>
          <w:right w:w="28" w:type="dxa"/>
        </w:tblCellMar>
      </w:tblPr>
      <w:tblGrid>
        <w:gridCol w:w="1240"/>
        <w:gridCol w:w="1087"/>
        <w:gridCol w:w="1092"/>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321"/>
        <w:gridCol w:w="321"/>
        <w:gridCol w:w="454"/>
      </w:tblGrid>
      <w:tr>
        <w:trPr/>
        <w:tc>
          <w:tcPr>
            <w:tcW w:w="1240"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341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419" w:type="dxa"/>
            <w:gridSpan w:val="3"/>
            <w:vMerge w:val="continue"/>
            <w:tcBorders/>
            <w:shd w:fill="auto" w:val="clear"/>
            <w:tcMar>
              <w:top w:w="0" w:type="dxa"/>
              <w:left w:w="0" w:type="dxa"/>
              <w:bottom w:w="0" w:type="dxa"/>
              <w:right w:w="0" w:type="dxa"/>
            </w:tcMar>
            <w:vAlign w:val="center"/>
          </w:tcPr>
          <w:p>
            <w:pPr>
              <w:pStyle w:val="Normal"/>
              <w:rPr/>
            </w:pPr>
            <w:r>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1,268,829 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(1,268,829)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4,439,475 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1,740,655 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2,698,820 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155%</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1,677,754 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1,332,769 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344,985 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(46,054)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income(expense), net</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276%</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(6,109,225)</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(1,851,896)</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(4,257,329)</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230%</w:t>
            </w:r>
          </w:p>
        </w:tc>
      </w:tr>
    </w:tbl>
    <w:p>
      <w:pPr>
        <w:pStyle w:val="TextBody"/>
        <w:spacing w:before="160" w:after="16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Grant Revenue</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Grant revenue, which was derived solely from the CPRIT grant, was $0 for three</w:t>
      </w:r>
      <w:r>
        <w:rPr>
          <w:color w:val="000000"/>
          <w:highlight w:val="white"/>
        </w:rPr>
        <w:t xml:space="preserve"> </w:t>
      </w:r>
      <w:r>
        <w:rPr>
          <w:rFonts w:ascii="Arial;sans-serif" w:hAnsi="Arial;sans-serif"/>
          <w:b w:val="false"/>
          <w:color w:val="000000"/>
          <w:sz w:val="20"/>
          <w:highlight w:val="white"/>
        </w:rPr>
        <w:t xml:space="preserve">months ended </w:t>
      </w:r>
      <w:r>
        <w:rPr>
          <w:rFonts w:ascii="Arial;sans-serif" w:hAnsi="Arial;sans-serif"/>
          <w:b w:val="false"/>
          <w:color w:val="000000"/>
          <w:sz w:val="20"/>
        </w:rPr>
        <w:t>March 31, 2022 resulting from the completion of CPRIT available funding under the grant during the second quarter of 2021. We have reached the maximum amount of the eligible spending that can be reimbursed from CPRIT.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2022, we expect to receive $1.6 million from the grant. </w:t>
      </w:r>
    </w:p>
    <w:p>
      <w:pPr>
        <w:pStyle w:val="TextBody"/>
        <w:spacing w:before="0" w:after="0"/>
        <w:jc w:val="both"/>
        <w:rPr/>
      </w:pPr>
      <w:r>
        <w:rPr/>
      </w:r>
    </w:p>
    <w:p>
      <w:pPr>
        <w:pStyle w:val="TextBody"/>
        <w:spacing w:lineRule="auto" w:line="288" w:before="160" w:after="240"/>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0" w:after="0"/>
        <w:jc w:val="both"/>
        <w:rPr/>
      </w:pPr>
      <w:r>
        <w:rPr>
          <w:rFonts w:ascii="Arial;sans-serif" w:hAnsi="Arial;sans-serif"/>
          <w:b w:val="false"/>
          <w:color w:val="000000"/>
          <w:sz w:val="20"/>
        </w:rPr>
        <w:t>Research and development expenses increased during both the current period and three months ended March 31, 2022 compared to the same periods in 2021 resulting from the purchase of SP-3164 as an in-process research and development technology, significantly higher outsourced research and development consulting and services cost, personnel costs and clinical trial costs, partially offset by lower manufacturing and process development costs.</w:t>
      </w:r>
      <w:r>
        <w:rPr>
          <w:color w:val="000000"/>
        </w:rPr>
        <w:t xml:space="preserve"> </w:t>
      </w:r>
    </w:p>
    <w:p>
      <w:pPr>
        <w:pStyle w:val="TextBody"/>
        <w:spacing w:before="0" w:after="0"/>
        <w:jc w:val="both"/>
        <w:rPr/>
      </w:pPr>
      <w:r>
        <w:rPr/>
      </w:r>
    </w:p>
    <w:tbl>
      <w:tblPr>
        <w:tblW w:w="6713" w:type="dxa"/>
        <w:jc w:val="center"/>
        <w:tblInd w:w="0" w:type="dxa"/>
        <w:tblCellMar>
          <w:top w:w="28" w:type="dxa"/>
          <w:left w:w="28" w:type="dxa"/>
          <w:bottom w:w="28" w:type="dxa"/>
          <w:right w:w="28" w:type="dxa"/>
        </w:tblCellMar>
      </w:tblPr>
      <w:tblGrid>
        <w:gridCol w:w="1326"/>
        <w:gridCol w:w="1164"/>
        <w:gridCol w:w="1169"/>
        <w:gridCol w:w="211"/>
        <w:gridCol w:w="1021"/>
        <w:gridCol w:w="109"/>
        <w:gridCol w:w="109"/>
        <w:gridCol w:w="109"/>
        <w:gridCol w:w="109"/>
        <w:gridCol w:w="211"/>
        <w:gridCol w:w="1021"/>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 March 31</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expense</w:t>
              <w:br/>
              <w:t> by product candidate:</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SP-2577</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2,266,546 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1,740,655 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SP-3164</w:t>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2,172,929 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4,439,475</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1,740,655</w:t>
            </w:r>
            <w:r>
              <w:rPr>
                <w:color w:val="000000"/>
              </w:rPr>
              <w:t>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tbl>
      <w:tblPr>
        <w:tblW w:w="10205" w:type="dxa"/>
        <w:jc w:val="center"/>
        <w:tblInd w:w="0" w:type="dxa"/>
        <w:tblCellMar>
          <w:top w:w="28" w:type="dxa"/>
          <w:left w:w="28" w:type="dxa"/>
          <w:bottom w:w="28" w:type="dxa"/>
          <w:right w:w="28" w:type="dxa"/>
        </w:tblCellMar>
      </w:tblPr>
      <w:tblGrid>
        <w:gridCol w:w="1996"/>
        <w:gridCol w:w="1704"/>
        <w:gridCol w:w="1709"/>
        <w:gridCol w:w="211"/>
        <w:gridCol w:w="1021"/>
        <w:gridCol w:w="109"/>
        <w:gridCol w:w="211"/>
        <w:gridCol w:w="1021"/>
        <w:gridCol w:w="109"/>
        <w:gridCol w:w="211"/>
        <w:gridCol w:w="1021"/>
        <w:gridCol w:w="109"/>
        <w:gridCol w:w="211"/>
        <w:gridCol w:w="406"/>
        <w:gridCol w:w="156"/>
      </w:tblGrid>
      <w:tr>
        <w:trPr/>
        <w:tc>
          <w:tcPr>
            <w:tcW w:w="1996"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211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54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479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5409" w:type="dxa"/>
            <w:gridSpan w:val="3"/>
            <w:vMerge w:val="continue"/>
            <w:tcBorders/>
            <w:shd w:fill="auto" w:val="clear"/>
            <w:tcMar>
              <w:top w:w="0" w:type="dxa"/>
              <w:left w:w="0" w:type="dxa"/>
              <w:bottom w:w="0" w:type="dxa"/>
              <w:right w:w="0" w:type="dxa"/>
            </w:tcMar>
            <w:vAlign w:val="center"/>
          </w:tcPr>
          <w:p>
            <w:pPr>
              <w:pStyle w:val="Normal"/>
              <w:rPr/>
            </w:pPr>
            <w:r>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7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1,270,309 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910,513 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605,818 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315,461 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390,419 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process research and development costs</w:t>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2,266,546</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1,740,655</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2,172,929</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rPr>
          <w:rFonts w:ascii="Arial;sans-serif" w:hAnsi="Arial;sans-serif"/>
          <w:b/>
          <w:i/>
          <w:color w:val="000000"/>
          <w:sz w:val="20"/>
        </w:rPr>
      </w:pPr>
      <w:r>
        <w:rPr>
          <w:rFonts w:ascii="Arial;sans-serif" w:hAnsi="Arial;sans-serif"/>
          <w:b/>
          <w:i/>
          <w:color w:val="000000"/>
          <w:sz w:val="20"/>
        </w:rPr>
        <w:t>General and Administrative Expenses</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increased during the current three months period compared to the same period a year ago resulting from higher personnel costs and public company cost, partially offset by lower professional fee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160"/>
        <w:rPr>
          <w:rFonts w:ascii="Arial;sans-serif" w:hAnsi="Arial;sans-serif"/>
          <w:b/>
          <w:color w:val="000000"/>
          <w:sz w:val="20"/>
        </w:rPr>
      </w:pPr>
      <w:r>
        <w:rPr>
          <w:rFonts w:ascii="Arial;sans-serif" w:hAnsi="Arial;sans-serif"/>
          <w:b/>
          <w:color w:val="000000"/>
          <w:sz w:val="20"/>
        </w:rPr>
        <w:t>Liquidity and Capital Resources</w:t>
      </w:r>
    </w:p>
    <w:p>
      <w:pPr>
        <w:pStyle w:val="TextBody"/>
        <w:spacing w:lineRule="auto" w:line="288" w:before="160" w:after="160"/>
        <w:rPr>
          <w:rFonts w:ascii="Arial;sans-serif" w:hAnsi="Arial;sans-serif"/>
          <w:b/>
          <w:i/>
          <w:color w:val="000000"/>
          <w:sz w:val="20"/>
        </w:rPr>
      </w:pPr>
      <w:r>
        <w:rPr>
          <w:rFonts w:ascii="Arial;sans-serif" w:hAnsi="Arial;sans-serif"/>
          <w:b/>
          <w:i/>
          <w:color w:val="000000"/>
          <w:sz w:val="20"/>
        </w:rPr>
        <w:t>Overview</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Since inception, we have incurred operating losses and we anticipate that we will continue to incur losses for the foreseeable future.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As of March 31, 2022, we had $22.8 million of working capital and our cash and cash equivalents totaled $24.2 million, which were held in bank deposit accounts and a money market account. Our cash and cash equivalents balance decreased during the three months ended March 31, 2022, primarily due to cash used in operating and investing activities.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do not expect to generate any revenue from product sales unless and until we obtain regulatory approval for and commercialize our product candidate. At the same time, 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 discontinue the development or commercialization of our product candidate.</w:t>
      </w:r>
      <w:r>
        <w:rPr>
          <w:color w:val="000000"/>
        </w:rPr>
        <w:t xml:space="preserve"> </w:t>
      </w:r>
      <w:r>
        <w:rPr>
          <w:rFonts w:ascii="Arial;sans-serif" w:hAnsi="Arial;sans-serif"/>
          <w:b w:val="false"/>
          <w:color w:val="000000"/>
          <w:sz w:val="20"/>
        </w:rPr>
        <w:t xml:space="preserve">Furthermore, we may be unable to complete a collaboration, or if we do, we may be forced to relinquish valuable future product rights. </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Cash Flows</w:t>
      </w:r>
    </w:p>
    <w:tbl>
      <w:tblPr>
        <w:tblW w:w="7029" w:type="dxa"/>
        <w:jc w:val="left"/>
        <w:tblInd w:w="0" w:type="dxa"/>
        <w:tblCellMar>
          <w:top w:w="28" w:type="dxa"/>
          <w:left w:w="28" w:type="dxa"/>
          <w:bottom w:w="28" w:type="dxa"/>
          <w:right w:w="28" w:type="dxa"/>
        </w:tblCellMar>
      </w:tblPr>
      <w:tblGrid>
        <w:gridCol w:w="1375"/>
        <w:gridCol w:w="1211"/>
        <w:gridCol w:w="1224"/>
        <w:gridCol w:w="211"/>
        <w:gridCol w:w="1081"/>
        <w:gridCol w:w="109"/>
        <w:gridCol w:w="109"/>
        <w:gridCol w:w="109"/>
        <w:gridCol w:w="109"/>
        <w:gridCol w:w="211"/>
        <w:gridCol w:w="1126"/>
        <w:gridCol w:w="154"/>
      </w:tblGrid>
      <w:tr>
        <w:trPr/>
        <w:tc>
          <w:tcPr>
            <w:tcW w:w="1375"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w:t>
            </w:r>
          </w:p>
        </w:tc>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(3,520,826)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(2,722,790)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28,216,464 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25,493,674 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before="0" w:after="0"/>
        <w:jc w:val="center"/>
        <w:rPr/>
      </w:pPr>
      <w:r>
        <w:rPr/>
      </w:r>
    </w:p>
    <w:p>
      <w:pPr>
        <w:pStyle w:val="TextBody"/>
        <w:spacing w:lineRule="auto" w:line="288" w:before="0" w:after="160"/>
        <w:rPr>
          <w:rFonts w:ascii="Arial;sans-serif" w:hAnsi="Arial;sans-serif"/>
          <w:b/>
          <w:i/>
          <w:color w:val="000000"/>
          <w:sz w:val="20"/>
        </w:rPr>
      </w:pPr>
      <w:r>
        <w:rPr>
          <w:rFonts w:ascii="Arial;sans-serif" w:hAnsi="Arial;sans-serif"/>
          <w:b/>
          <w:i/>
          <w:color w:val="000000"/>
          <w:sz w:val="20"/>
        </w:rPr>
        <w:t>Operating Activities</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Net cash used in operating activities was $3.5 million in the current period, an increase of approximately $0.8 million from the same period a year ago. The increase is primarily due to higher research and development cost incurred in current year.</w:t>
      </w:r>
    </w:p>
    <w:p>
      <w:pPr>
        <w:pStyle w:val="TextBody"/>
        <w:spacing w:before="0" w:after="0"/>
        <w:rPr/>
      </w:pPr>
      <w:r>
        <w:rPr/>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Investing Activities</w:t>
      </w:r>
    </w:p>
    <w:p>
      <w:pPr>
        <w:pStyle w:val="TextBody"/>
        <w:spacing w:lineRule="auto" w:line="268" w:before="0" w:after="240"/>
        <w:jc w:val="both"/>
        <w:rPr>
          <w:rFonts w:ascii="Arial;sans-serif" w:hAnsi="Arial;sans-serif"/>
          <w:b w:val="false"/>
          <w:color w:val="000000"/>
          <w:sz w:val="20"/>
        </w:rPr>
      </w:pPr>
      <w:r>
        <w:rPr>
          <w:rFonts w:ascii="Arial;sans-serif" w:hAnsi="Arial;sans-serif"/>
          <w:b w:val="false"/>
          <w:color w:val="000000"/>
          <w:sz w:val="20"/>
        </w:rPr>
        <w:t>Net cash used in investing activities was $1.5 million in the current period for the cash portion of the purchase price for the acquisition of in-process research and development technology SP-3164, there was no such transaction during the same period 2021.</w:t>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Financing Activities</w:t>
      </w:r>
    </w:p>
    <w:p>
      <w:pPr>
        <w:pStyle w:val="TextBody"/>
        <w:spacing w:lineRule="auto" w:line="276" w:before="0" w:after="0"/>
        <w:jc w:val="both"/>
        <w:rPr/>
      </w:pPr>
      <w:r>
        <w:rPr>
          <w:rFonts w:ascii="Arial;sans-serif" w:hAnsi="Arial;sans-serif"/>
          <w:b w:val="false"/>
          <w:color w:val="000000"/>
          <w:sz w:val="20"/>
        </w:rPr>
        <w:t>Net cash provided by financing activities for the three months ended March 31, 2022 was $0 million, compared to $28.2 million for the same period of the year 2021. This is due to Company's completion of common stock sales during the three-months</w:t>
      </w:r>
      <w:r>
        <w:rPr>
          <w:color w:val="000000"/>
        </w:rPr>
        <w:t xml:space="preserve"> </w:t>
      </w:r>
      <w:r>
        <w:rPr>
          <w:rFonts w:ascii="Arial;sans-serif" w:hAnsi="Arial;sans-serif"/>
          <w:b w:val="false"/>
          <w:color w:val="000000"/>
          <w:sz w:val="20"/>
        </w:rPr>
        <w:t xml:space="preserve">ended March 31, 2021 with total net proceeds of approximately $27.0 million, and the receipt of approximately $1.5 million from the exercise of warrants during the three -months ended 2021. </w:t>
      </w:r>
    </w:p>
    <w:p>
      <w:pPr>
        <w:pStyle w:val="TextBody"/>
        <w:spacing w:before="0" w:after="0"/>
        <w:rPr/>
      </w:pPr>
      <w:r>
        <w:rPr/>
      </w:r>
    </w:p>
    <w:p>
      <w:pPr>
        <w:pStyle w:val="TextBody"/>
        <w:spacing w:lineRule="auto" w:line="247" w:before="0" w:after="0"/>
        <w:rPr>
          <w:rFonts w:ascii="Arial;sans-serif" w:hAnsi="Arial;sans-serif"/>
          <w:b/>
          <w:i/>
          <w:color w:val="000000"/>
          <w:sz w:val="20"/>
        </w:rPr>
      </w:pPr>
      <w:r>
        <w:rPr>
          <w:rFonts w:ascii="Arial;sans-serif" w:hAnsi="Arial;sans-serif"/>
          <w:b/>
          <w:i/>
          <w:color w:val="000000"/>
          <w:sz w:val="20"/>
        </w:rPr>
        <w:t>Critical Accounting Policies and Estimates</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from those described in "Management's Discussion and Analysis of Financial Condition and Results of Operations" included in our Annual Report on Form 10-K filed with SEC on March 25, 2022.</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Readers should refer to our Annual Report on Form10-K filed with SEC on March 25, 2022, Note 2, Basis of Presentation and Significant Accounting Policies to the accompanying financial statements for descriptions of these policies and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344" w:type="dxa"/>
        <w:jc w:val="center"/>
        <w:tblInd w:w="0" w:type="dxa"/>
        <w:tblCellMar>
          <w:top w:w="28" w:type="dxa"/>
          <w:left w:w="28" w:type="dxa"/>
          <w:bottom w:w="28" w:type="dxa"/>
          <w:right w:w="28" w:type="dxa"/>
        </w:tblCellMar>
      </w:tblPr>
      <w:tblGrid>
        <w:gridCol w:w="271"/>
        <w:gridCol w:w="238"/>
        <w:gridCol w:w="241"/>
        <w:gridCol w:w="1637"/>
        <w:gridCol w:w="1637"/>
        <w:gridCol w:w="2320"/>
      </w:tblGrid>
      <w:tr>
        <w:trPr/>
        <w:tc>
          <w:tcPr>
            <w:tcW w:w="2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5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spacing w:before="0" w:after="0"/>
        <w:rPr/>
      </w:pPr>
      <w:r>
        <w:rPr/>
      </w:r>
    </w:p>
    <w:p>
      <w:pPr>
        <w:pStyle w:val="TextBody"/>
        <w:spacing w:lineRule="auto" w:line="288" w:before="0" w:after="0"/>
        <w:rPr>
          <w:rFonts w:ascii="Arial;sans-serif" w:hAnsi="Arial;sans-serif"/>
          <w:b w:val="false"/>
          <w:color w:val="000000"/>
          <w:sz w:val="20"/>
          <w:highlight w:val="white"/>
        </w:rPr>
      </w:pPr>
      <w:r>
        <w:rPr>
          <w:rFonts w:ascii="Arial;sans-serif" w:hAnsi="Arial;sans-serif"/>
          <w:b w:val="false"/>
          <w:color w:val="000000"/>
          <w:sz w:val="20"/>
          <w:highlight w:val="white"/>
        </w:rPr>
        <w:t>We are a smaller reporting company as defined by Rule 12b-2 of the Securities Exchange Act of 1934, as amended, and are not required to provide the information under this item.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283" w:type="dxa"/>
        <w:jc w:val="center"/>
        <w:tblInd w:w="0" w:type="dxa"/>
        <w:tblCellMar>
          <w:top w:w="28" w:type="dxa"/>
          <w:left w:w="28" w:type="dxa"/>
          <w:bottom w:w="28" w:type="dxa"/>
          <w:right w:w="28" w:type="dxa"/>
        </w:tblCellMar>
      </w:tblPr>
      <w:tblGrid>
        <w:gridCol w:w="292"/>
        <w:gridCol w:w="257"/>
        <w:gridCol w:w="260"/>
        <w:gridCol w:w="724"/>
        <w:gridCol w:w="724"/>
        <w:gridCol w:w="1026"/>
      </w:tblGrid>
      <w:tr>
        <w:trPr/>
        <w:tc>
          <w:tcPr>
            <w:tcW w:w="29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before="0" w:after="0"/>
        <w:rPr/>
      </w:pPr>
      <w:r>
        <w:rPr/>
      </w:r>
    </w:p>
    <w:p>
      <w:pPr>
        <w:pStyle w:val="TextBody"/>
        <w:spacing w:lineRule="auto" w:line="276" w:before="0" w:after="0"/>
        <w:jc w:val="both"/>
        <w:rPr/>
      </w:pPr>
      <w:r>
        <w:rPr>
          <w:rFonts w:ascii="Arial;sans-serif" w:hAnsi="Arial;sans-serif"/>
          <w:b w:val="false"/>
          <w:color w:val="000000"/>
          <w:sz w:val="20"/>
        </w:rPr>
        <w:t>We maintain “disclosure controls and procedures,” as such term is defined in Rules 13a-15(e) and 15d-15(e)</w:t>
      </w:r>
      <w:r>
        <w:rPr>
          <w:color w:val="333333"/>
          <w:highlight w:val="white"/>
        </w:rPr>
        <w:t xml:space="preserve"> </w:t>
      </w:r>
      <w:r>
        <w:rPr>
          <w:rFonts w:ascii="Arial;sans-serif" w:hAnsi="Arial;sans-serif"/>
          <w:b w:val="false"/>
          <w:color w:val="000000"/>
          <w:sz w:val="20"/>
        </w:rPr>
        <w:t>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w:t>
      </w:r>
    </w:p>
    <w:p>
      <w:pPr>
        <w:pStyle w:val="TextBody"/>
        <w:spacing w:before="0" w:after="0"/>
        <w:jc w:val="both"/>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2022, there was no significant change in our internal control over financial reporting that has materially affected, or is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698" w:type="dxa"/>
        <w:jc w:val="center"/>
        <w:tblInd w:w="0" w:type="dxa"/>
        <w:tblCellMar>
          <w:top w:w="28" w:type="dxa"/>
          <w:left w:w="28" w:type="dxa"/>
          <w:bottom w:w="28" w:type="dxa"/>
          <w:right w:w="28" w:type="dxa"/>
        </w:tblCellMar>
      </w:tblPr>
      <w:tblGrid>
        <w:gridCol w:w="292"/>
        <w:gridCol w:w="257"/>
        <w:gridCol w:w="260"/>
        <w:gridCol w:w="553"/>
        <w:gridCol w:w="553"/>
        <w:gridCol w:w="783"/>
      </w:tblGrid>
      <w:tr>
        <w:trPr/>
        <w:tc>
          <w:tcPr>
            <w:tcW w:w="29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spacing w:before="0" w:after="0"/>
        <w:rPr/>
      </w:pPr>
      <w:r>
        <w:rPr/>
      </w:r>
    </w:p>
    <w:p>
      <w:pPr>
        <w:pStyle w:val="TextBody"/>
        <w:spacing w:lineRule="auto" w:line="276" w:before="0" w:after="0"/>
        <w:jc w:val="both"/>
        <w:rPr>
          <w:rFonts w:ascii="Arial;sans-serif" w:hAnsi="Arial;sans-serif"/>
          <w:b w:val="false"/>
          <w:color w:val="212529"/>
          <w:sz w:val="20"/>
          <w:highlight w:val="white"/>
        </w:rPr>
      </w:pPr>
      <w:r>
        <w:rPr>
          <w:rFonts w:ascii="Arial;sans-serif" w:hAnsi="Arial;sans-serif"/>
          <w:b w:val="false"/>
          <w:color w:val="212529"/>
          <w:sz w:val="20"/>
          <w:highlight w:val="white"/>
        </w:rPr>
        <w:t>We are not a party to any material legal proceedings on the date of this report. We may from time to time become involved in legal proceedings arising in the ordinary course of business, and the resolution of any such claims could be 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190" w:type="dxa"/>
        <w:jc w:val="center"/>
        <w:tblInd w:w="0" w:type="dxa"/>
        <w:tblCellMar>
          <w:top w:w="28" w:type="dxa"/>
          <w:left w:w="28" w:type="dxa"/>
          <w:bottom w:w="28" w:type="dxa"/>
          <w:right w:w="28" w:type="dxa"/>
        </w:tblCellMar>
      </w:tblPr>
      <w:tblGrid>
        <w:gridCol w:w="320"/>
        <w:gridCol w:w="281"/>
        <w:gridCol w:w="284"/>
        <w:gridCol w:w="382"/>
        <w:gridCol w:w="382"/>
        <w:gridCol w:w="541"/>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2021, filed with the SEC on March 25, 2022, as well as the risk factors set forth below. The risk factors below are in addition to and supplement (and with respect to certain matters, update) the risk factors discussed in our Annual Report on Form 10-K and in our Current Report on Form 8-K filed on July 29, 2020. Other than as set forth below, there have been no material changes to the risk factors included in our Annual Report on Form 10-K filed with the SEC on March 25, 2022 and in our Current Report on Form 8-K filed on July 29, 2020.</w:t>
      </w:r>
    </w:p>
    <w:p>
      <w:pPr>
        <w:pStyle w:val="TextBody"/>
        <w:spacing w:before="0" w:after="0"/>
        <w:rPr/>
      </w:pPr>
      <w:r>
        <w:rPr/>
      </w:r>
    </w:p>
    <w:p>
      <w:pPr>
        <w:pStyle w:val="TextBody"/>
        <w:spacing w:lineRule="auto" w:line="276" w:before="0" w:after="240"/>
        <w:jc w:val="both"/>
        <w:rPr>
          <w:rFonts w:ascii="Arial;sans-serif" w:hAnsi="Arial;sans-serif"/>
          <w:b/>
          <w:i/>
          <w:color w:val="000000"/>
          <w:sz w:val="20"/>
        </w:rPr>
      </w:pPr>
      <w:r>
        <w:rPr>
          <w:rFonts w:ascii="Arial;sans-serif" w:hAnsi="Arial;sans-serif"/>
          <w:b/>
          <w:i/>
          <w:color w:val="000000"/>
          <w:sz w:val="20"/>
        </w:rPr>
        <w:t>We have incurred losses since our inception, have a limited operating history on which to assess our business, and anticipate that we will continue to incur significant losses for the foreseeable future which together with our limited working capital, and lack of revenue from product sales, raises substantial doubt about our financial viability and as to whether we will be able to continue as a going concern.</w:t>
      </w:r>
    </w:p>
    <w:p>
      <w:pPr>
        <w:pStyle w:val="TextBody"/>
        <w:spacing w:lineRule="auto" w:line="276" w:before="0" w:after="240"/>
        <w:jc w:val="both"/>
        <w:rPr>
          <w:rFonts w:ascii="Arial;sans-serif" w:hAnsi="Arial;sans-serif"/>
          <w:b/>
          <w:i/>
          <w:color w:val="000000"/>
          <w:sz w:val="20"/>
        </w:rPr>
      </w:pPr>
      <w:r>
        <w:rPr>
          <w:rFonts w:ascii="Arial;sans-serif" w:hAnsi="Arial;sans-serif"/>
          <w:b/>
          <w:i/>
          <w:color w:val="000000"/>
          <w:sz w:val="20"/>
        </w:rPr>
        <w:t xml:space="preserve">We will continue to require substantial additional capital to fund our clinical activities and operations and the impact of the COVID-19 pandemic on the financial markets will likely negatively impact our ability to raise additional financing. </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$12.8 million for the year ended December 31, 2021, and we have incurred a net loss of $6.1 million and $1.9 million for the three months ended March 31, 2022 and three months ended March 31, 2021,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76" w:before="0" w:after="0"/>
        <w:jc w:val="both"/>
        <w:rPr/>
      </w:pPr>
      <w:r>
        <w:rPr>
          <w:rFonts w:ascii="Arial;sans-serif" w:hAnsi="Arial;sans-serif"/>
          <w:b w:val="false"/>
          <w:color w:val="000000"/>
          <w:sz w:val="20"/>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candidates and funding our operations have been funded through sales of equity and funds received from CPRIT. The amount and timing of our future funding requirements will depend on many factors, including but not limited to the pace and results of our clinical development efforts, as well as our ability to access the funding remaining available under the CPRIT grant. Further, the global economic downturn may impair our ability to obtain additional financing through other means, such as debt financing.</w:t>
      </w:r>
      <w:r>
        <w:rPr>
          <w:color w:val="000000"/>
        </w:rPr>
        <w:t xml:space="preserve"> </w:t>
      </w:r>
      <w:r>
        <w:rPr>
          <w:rFonts w:ascii="Arial;sans-serif" w:hAnsi="Arial;sans-serif"/>
          <w:b w:val="false"/>
          <w:color w:val="000000"/>
          <w:sz w:val="20"/>
        </w:rPr>
        <w:t>There can be no assurance we will be able to secure additional financing on favorable terms to us, or at all.</w:t>
      </w:r>
      <w:r>
        <w:rPr>
          <w:color w:val="000000"/>
        </w:rPr>
        <w:t xml:space="preserve"> </w:t>
      </w:r>
      <w:r>
        <w:rPr>
          <w:rFonts w:ascii="Arial;sans-serif" w:hAnsi="Arial;sans-serif"/>
          <w:b w:val="false"/>
          <w:color w:val="000000"/>
          <w:sz w:val="20"/>
        </w:rPr>
        <w:t>Further any 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w:t>
      </w:r>
    </w:p>
    <w:p>
      <w:pPr>
        <w:pStyle w:val="TextBody"/>
        <w:spacing w:before="0" w:after="0"/>
        <w:rPr/>
      </w:pPr>
      <w:r>
        <w:rPr/>
      </w:r>
    </w:p>
    <w:p>
      <w:pPr>
        <w:pStyle w:val="TextBody"/>
        <w:spacing w:lineRule="auto" w:line="237" w:before="0" w:after="0"/>
        <w:jc w:val="both"/>
        <w:rPr>
          <w:rFonts w:ascii="Arial;sans-serif" w:hAnsi="Arial;sans-serif"/>
          <w:b/>
          <w:i/>
          <w:color w:val="000000"/>
          <w:sz w:val="20"/>
        </w:rPr>
      </w:pPr>
      <w:r>
        <w:rPr>
          <w:rFonts w:ascii="Arial;sans-serif" w:hAnsi="Arial;sans-serif"/>
          <w:b/>
          <w:i/>
          <w:color w:val="000000"/>
          <w:sz w:val="20"/>
        </w:rPr>
        <w:t>We rely on funding from CPRIT and failure to receive additional funds may harm our business.</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During the course of the development of our product candidate, we have been funded through the sale of equity and the funding we received from the CPRIT grant. The CPRIT agreement was awarded in June 2016 and originally provided for a three-year grant award of up to $18.7 million, further modified to $16.1 million, to fund the development of the LSD-1 inhibitor. We have received $14 million since inception of the grant. The term of the CPRIT agreement was extended through November 30, 2022. We currently have a $1.6 million receivable due from CPRIT on our March 31, 2022 balance sheet. If CPRIT terminates our agreement prior to the expiration due to an event of default or if we terminate the agreement, CPRIT may require us to repay some or all of the disbursed grant. Although we may apply for government contracts and grants in the future, we may not be successful in obtaining additional grants for any product candidates or programs. </w:t>
      </w:r>
    </w:p>
    <w:p>
      <w:pPr>
        <w:pStyle w:val="TextBody"/>
        <w:spacing w:before="0" w:after="0"/>
        <w:jc w:val="both"/>
        <w:rPr/>
      </w:pPr>
      <w:r>
        <w:rPr/>
      </w:r>
    </w:p>
    <w:p>
      <w:pPr>
        <w:pStyle w:val="TextBody"/>
        <w:spacing w:lineRule="auto" w:line="276" w:before="0" w:after="240"/>
        <w:jc w:val="both"/>
        <w:rPr>
          <w:rFonts w:ascii="Arial;sans-serif" w:hAnsi="Arial;sans-serif"/>
          <w:b/>
          <w:color w:val="000000"/>
          <w:sz w:val="20"/>
        </w:rPr>
      </w:pPr>
      <w:r>
        <w:rPr>
          <w:rFonts w:ascii="Arial;sans-serif" w:hAnsi="Arial;sans-serif"/>
          <w:b/>
          <w:color w:val="000000"/>
          <w:sz w:val="20"/>
        </w:rPr>
        <w:t>Risks Related to Our Common Stock</w:t>
      </w:r>
    </w:p>
    <w:p>
      <w:pPr>
        <w:pStyle w:val="TextBody"/>
        <w:spacing w:lineRule="auto" w:line="276" w:before="0" w:after="240"/>
        <w:jc w:val="both"/>
        <w:rPr>
          <w:rFonts w:ascii="Arial;sans-serif" w:hAnsi="Arial;sans-serif"/>
          <w:b/>
          <w:i/>
          <w:color w:val="000000"/>
          <w:sz w:val="20"/>
        </w:rPr>
      </w:pPr>
      <w:r>
        <w:rPr>
          <w:rFonts w:ascii="Arial;sans-serif" w:hAnsi="Arial;sans-serif"/>
          <w:b/>
          <w:i/>
          <w:color w:val="000000"/>
          <w:sz w:val="20"/>
        </w:rPr>
        <w:t>If we fail to comply with the continued listing standards of Nasdaq, our common stock may be delisted from Nasdaq. This in turn could result in significantly reduced trading liquidity, reduced trading volumes, and loss of research analyst coverage, among other consequences. These in turn could result in a further decline in the market price of common stock and would have a material adverse effect on our company.</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November 16, 2021, we were notified (the “Notice”) by Nasdaq that on November 15, 2021 the average closing price of the Company’s common stock (the “Common Stock”) over the prior 30 consecutive trading days had fallen below $1.00 per share, which is the minimum average closing price required to maintain listing on Nasdaq under Nasdaq Listing Rule 5450(a)(1) (the “Minimum Bid Requirement”). To regain compliance, the closing bid price of the Company’s common stock must be at least $1.00 per share for a minimum of ten consecutive business days before May 16, 2022. On May 11, 2022, the closing price of our common stock was $0.19 per share.</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In the event that we do not regain compliance by May 16, 2022, we may be eligible for an additional 180 calendar day compliance period. To qualify, we would be required to meet the continued listing requirement for market value of publicly held shares and all other initial listing standards for The Nasdaq Capital Market with the exception of the Minimum Bid Requirement and provide Nasdaq with written notice of our intention to cure the deficiency during the second compliance period.</w:t>
      </w:r>
    </w:p>
    <w:p>
      <w:pPr>
        <w:pStyle w:val="TextBody"/>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intend to actively monitor the closing bid price of our common stock and will evaluate available options to regain compliance with the Minimum Bid Requirement, such as implementing a reverse stock split. We currently plan to seek at our 2022 Annual Meeting of Stockholders the approval of our stockholders to implement a reverse stock split. There is no assurance that we will be able to obtain stockholder approval of the reverse stock split. In the event a reverse stock split is implemented, there is no assurance that the reverse stock split will not cause an actual decline in the value of our outstanding common stock. The liquidity of the shares of our common stock may be affected adversely by the reverse stock split given the reduced number of shares that will be outstanding following the reverse stock split, especially if the market price of our common stock does not increase as a result of the reverse stock split. In addition, the reverse stock split may increase the number of stockholders who own odd lots (less than 100 shares) of our common stock, creating the potential for such stockholders to experience an increase in the cost of selling their shares and greater difficulty effecting such sales.</w:t>
      </w:r>
    </w:p>
    <w:p>
      <w:pPr>
        <w:pStyle w:val="TextBody"/>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To the extent that we are unable to resolve any listing deficiency, including if our shareholders do not approve implementing a reverse stock split or it is unsuccessful in sufficiently raising the market price of our common stock, there is a risk that our common stock may be delisted from Nasdaq, which would adversely impact liquidity of our common stock and potentially result in even lower bid prices for our common stock and potentially result in even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lineRule="auto" w:line="268" w:before="0" w:after="240"/>
        <w:jc w:val="both"/>
        <w:rPr/>
      </w:pPr>
      <w:r>
        <w:rPr>
          <w:rFonts w:ascii="Arial;sans-serif" w:hAnsi="Arial;sans-serif"/>
          <w:b w:val="false"/>
          <w:color w:val="000000"/>
          <w:sz w:val="20"/>
        </w:rPr>
        <w:t>lower bid prices for our common stock. If for any reasons, Nasdaq should delist our common stock, and if our common stock is not then eligible for quotation on another market or exchange, trading of shares of our common</w:t>
      </w:r>
      <w:r>
        <w:rPr>
          <w:color w:val="000000"/>
        </w:rPr>
        <w:t xml:space="preserve"> </w:t>
      </w:r>
      <w:r>
        <w:rPr>
          <w:rFonts w:ascii="Arial;sans-serif" w:hAnsi="Arial;sans-serif"/>
          <w:b w:val="false"/>
          <w:color w:val="000000"/>
          <w:sz w:val="20"/>
        </w:rPr>
        <w:t>stock could be conducted in the over-the-counter markets. In such event, a reduction in some or all of the following may occur, each of which could materially and adversely affect our stockholders:</w:t>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the liquidity of our common stock;</w:t>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the market price of our common stock;</w:t>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our ability to obtain financing for the continuation of our operations;</w:t>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the number of institutional and general investors that will consider investing in our common stock;</w:t>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the number of market makers in our common stock;</w:t>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the availability of information concerning the trading prices and volume of our common stock; and</w:t>
      </w:r>
    </w:p>
    <w:p>
      <w:pPr>
        <w:pStyle w:val="TextBody"/>
        <w:spacing w:lineRule="auto" w:line="268" w:before="0" w:after="240"/>
        <w:ind w:left="0" w:right="0" w:hanging="360"/>
        <w:jc w:val="both"/>
        <w:rPr/>
      </w:pPr>
      <w:r>
        <w:rPr>
          <w:color w:val="000000"/>
        </w:rPr>
        <w:t>•</w:t>
      </w:r>
      <w:r>
        <w:rPr>
          <w:rFonts w:ascii="Arial;sans-serif" w:hAnsi="Arial;sans-serif"/>
          <w:b w:val="false"/>
          <w:color w:val="000000"/>
          <w:sz w:val="20"/>
        </w:rPr>
        <w:t>the number of broker-dealers willing to execute trades in shares of our common stock.</w: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occurrence of any of these events could result in a further decline in the market price of common stock and could have a material adverse effect on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88" w:before="0" w:after="0"/>
        <w:rPr/>
      </w:pPr>
      <w:hyperlink w:anchor="ib938601e11464f6a9acfd74189928073_7">
        <w:r>
          <w:rPr>
            <w:rStyle w:val="InternetLink"/>
            <w:rFonts w:ascii="Arial;sans-serif" w:hAnsi="Arial;sans-serif"/>
            <w:b w:val="false"/>
            <w:color w:val="0000FF"/>
            <w:sz w:val="18"/>
            <w:u w:val="single"/>
          </w:rPr>
          <w:t>Table of Contents</w:t>
        </w:r>
      </w:hyperlink>
    </w:p>
    <w:tbl>
      <w:tblPr>
        <w:tblW w:w="1666" w:type="dxa"/>
        <w:jc w:val="left"/>
        <w:tblInd w:w="0" w:type="dxa"/>
        <w:tblCellMar>
          <w:top w:w="28" w:type="dxa"/>
          <w:left w:w="28" w:type="dxa"/>
          <w:bottom w:w="28" w:type="dxa"/>
          <w:right w:w="28" w:type="dxa"/>
        </w:tblCellMar>
      </w:tblPr>
      <w:tblGrid>
        <w:gridCol w:w="271"/>
        <w:gridCol w:w="238"/>
        <w:gridCol w:w="241"/>
        <w:gridCol w:w="268"/>
        <w:gridCol w:w="268"/>
        <w:gridCol w:w="380"/>
      </w:tblGrid>
      <w:tr>
        <w:trPr/>
        <w:tc>
          <w:tcPr>
            <w:tcW w:w="2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CellMar>
          <w:top w:w="28" w:type="dxa"/>
          <w:left w:w="28" w:type="dxa"/>
          <w:bottom w:w="28" w:type="dxa"/>
          <w:right w:w="28" w:type="dxa"/>
        </w:tblCellMar>
      </w:tblPr>
      <w:tblGrid>
        <w:gridCol w:w="351"/>
        <w:gridCol w:w="310"/>
        <w:gridCol w:w="269"/>
        <w:gridCol w:w="109"/>
        <w:gridCol w:w="109"/>
        <w:gridCol w:w="109"/>
        <w:gridCol w:w="2886"/>
        <w:gridCol w:w="2508"/>
        <w:gridCol w:w="3554"/>
      </w:tblGrid>
      <w:tr>
        <w:trPr/>
        <w:tc>
          <w:tcPr>
            <w:tcW w:w="35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508" w:type="dxa"/>
            <w:tcBorders/>
            <w:shd w:fill="auto" w:val="clear"/>
            <w:vAlign w:val="center"/>
          </w:tcPr>
          <w:p>
            <w:pPr>
              <w:pStyle w:val="TableContents"/>
              <w:spacing w:before="0" w:after="283"/>
              <w:rPr>
                <w:sz w:val="4"/>
                <w:szCs w:val="4"/>
              </w:rPr>
            </w:pPr>
            <w:r>
              <w:rPr>
                <w:sz w:val="4"/>
                <w:szCs w:val="4"/>
              </w:rPr>
            </w:r>
          </w:p>
        </w:tc>
        <w:tc>
          <w:tcPr>
            <w:tcW w:w="3554" w:type="dxa"/>
            <w:tcBorders/>
            <w:shd w:fill="auto" w:val="cle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9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Description of Document</w:t>
            </w:r>
          </w:p>
        </w:tc>
      </w:tr>
      <w:tr>
        <w:trPr/>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2">
              <w:r>
                <w:rPr>
                  <w:rStyle w:val="InternetLink"/>
                  <w:rFonts w:ascii="Arial;sans-serif" w:hAnsi="Arial;sans-serif"/>
                  <w:b w:val="false"/>
                  <w:color w:val="0000FF"/>
                  <w:sz w:val="20"/>
                  <w:u w:val="single"/>
                </w:rPr>
                <w:t>Acquisition and Strategic Collaboration Agreement, dated January 12, 2022 (incorporated by reference to Exhibit 10.1 of the Company’s current report on Form 8-K that was filed on January 13, 2022).</w:t>
              </w:r>
            </w:hyperlink>
          </w:p>
          <w:p>
            <w:pPr>
              <w:pStyle w:val="TableContents"/>
              <w:spacing w:before="0" w:after="0"/>
              <w:jc w:val="left"/>
              <w:rPr/>
            </w:pPr>
            <w:r>
              <w:rPr/>
            </w:r>
          </w:p>
          <w:p>
            <w:pPr>
              <w:pStyle w:val="TableContents"/>
              <w:spacing w:before="0" w:after="0"/>
              <w:rPr/>
            </w:pPr>
            <w:r>
              <w:rPr/>
            </w:r>
          </w:p>
        </w:tc>
      </w:tr>
      <w:tr>
        <w:trPr/>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lrx20220331ex-311.htm">
              <w:r>
                <w:rPr>
                  <w:rStyle w:val="InternetLink"/>
                  <w:rFonts w:ascii="Arial;sans-serif" w:hAnsi="Arial;sans-serif"/>
                  <w:b w:val="false"/>
                  <w:color w:val="0000FF"/>
                  <w:sz w:val="20"/>
                  <w:u w:val="single"/>
                </w:rPr>
                <w:t>Certification of the Principal Executive Officer pursuant to Rule 13a-14(a) or 15d-14(a) of the Securities Exchange Act of 1934.</w:t>
              </w:r>
            </w:hyperlink>
          </w:p>
        </w:tc>
      </w:tr>
      <w:tr>
        <w:trPr/>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lrx20220331ex-312.htm">
              <w:r>
                <w:rPr>
                  <w:rStyle w:val="InternetLink"/>
                  <w:rFonts w:ascii="Arial;sans-serif" w:hAnsi="Arial;sans-serif"/>
                  <w:b w:val="false"/>
                  <w:color w:val="0000FF"/>
                  <w:sz w:val="20"/>
                  <w:u w:val="single"/>
                </w:rPr>
                <w:t>Certification of the Principal Financial Officer pursuant to Rule 13a-14(a) or 15d-14(a) of the Securities Exchange Act of 1934.</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lrx20220331ex-321.htm">
              <w:r>
                <w:rPr>
                  <w:rStyle w:val="InternetLink"/>
                  <w:rFonts w:ascii="Arial;sans-serif" w:hAnsi="Arial;sans-serif"/>
                  <w:b w:val="false"/>
                  <w:color w:val="0000FF"/>
                  <w:sz w:val="20"/>
                  <w:u w:val="single"/>
                </w:rPr>
                <w:t>Certification of Principal Executive Officer and Principal Financial Officer pursuant to Rule 13a-14(b) or 15d-14(b) of the Exchange Act and 18 U.S.C. Section 1350.</w:t>
              </w:r>
            </w:hyperlink>
          </w:p>
        </w:tc>
      </w:tr>
      <w:tr>
        <w:trPr/>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Salarius Pharmaceuticals, Inc.'s Quarterly Report on Form 10-Q for the quarter ended March 31, 2022,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ind w:left="0" w:right="0" w:hanging="180"/>
        <w:rPr>
          <w:rFonts w:ascii="Arial;sans-serif" w:hAnsi="Arial;sans-serif"/>
          <w:b w:val="false"/>
          <w:color w:val="000000"/>
          <w:sz w:val="16"/>
        </w:rPr>
      </w:pPr>
      <w:r>
        <w:rPr>
          <w:rFonts w:ascii="Arial;sans-serif" w:hAnsi="Arial;sans-serif"/>
          <w:b w:val="false"/>
          <w:color w:val="000000"/>
          <w:sz w:val="16"/>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88" w:before="160" w:after="160"/>
        <w:rPr/>
      </w:pPr>
      <w:hyperlink w:anchor="ib938601e11464f6a9acfd74189928073_7">
        <w:r>
          <w:rPr>
            <w:rStyle w:val="InternetLink"/>
            <w:rFonts w:ascii="Arial;sans-serif" w:hAnsi="Arial;sans-serif"/>
            <w:b w:val="false"/>
            <w:color w:val="0000FF"/>
            <w:sz w:val="18"/>
            <w:u w:val="single"/>
          </w:rPr>
          <w:t>Table of Contents</w:t>
        </w:r>
      </w:hyperlink>
    </w:p>
    <w:p>
      <w:pPr>
        <w:pStyle w:val="TextBody"/>
        <w:spacing w:before="160" w:after="160"/>
        <w:jc w:val="center"/>
        <w:rPr/>
      </w:pPr>
      <w:r>
        <w:rPr/>
      </w:r>
    </w:p>
    <w:p>
      <w:pPr>
        <w:pStyle w:val="TextBody"/>
        <w:spacing w:lineRule="auto" w:line="288" w:before="160" w:after="16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60" w:after="160"/>
        <w:ind w:left="0" w:right="0" w:firstLine="720"/>
        <w:rPr>
          <w:rFonts w:ascii="Arial;sans-serif" w:hAnsi="Arial;sans-serif"/>
          <w:b w:val="false"/>
          <w:color w:val="000000"/>
          <w:sz w:val="20"/>
        </w:rPr>
      </w:pPr>
      <w:r>
        <w:rPr>
          <w:rFonts w:ascii="Arial;sans-serif" w:hAnsi="Arial;sans-serif"/>
          <w:b w:val="false"/>
          <w:color w:val="000000"/>
          <w:sz w:val="20"/>
        </w:rPr>
        <w:t>Pursuant to the requirements of the Securities and Exchange Act of 1934, the registrant has duly caused this report to be signed on its behalf by the undersigned, thereunto duly authorized.</w:t>
      </w:r>
    </w:p>
    <w:tbl>
      <w:tblPr>
        <w:tblW w:w="10205" w:type="dxa"/>
        <w:jc w:val="left"/>
        <w:tblInd w:w="0" w:type="dxa"/>
        <w:tblCellMar>
          <w:top w:w="28" w:type="dxa"/>
          <w:left w:w="28" w:type="dxa"/>
          <w:bottom w:w="28" w:type="dxa"/>
          <w:right w:w="28" w:type="dxa"/>
        </w:tblCellMar>
      </w:tblPr>
      <w:tblGrid>
        <w:gridCol w:w="212"/>
        <w:gridCol w:w="187"/>
        <w:gridCol w:w="189"/>
        <w:gridCol w:w="302"/>
        <w:gridCol w:w="302"/>
        <w:gridCol w:w="305"/>
        <w:gridCol w:w="109"/>
        <w:gridCol w:w="109"/>
        <w:gridCol w:w="109"/>
        <w:gridCol w:w="335"/>
        <w:gridCol w:w="335"/>
        <w:gridCol w:w="335"/>
        <w:gridCol w:w="335"/>
        <w:gridCol w:w="335"/>
        <w:gridCol w:w="335"/>
        <w:gridCol w:w="1915"/>
        <w:gridCol w:w="1832"/>
        <w:gridCol w:w="2624"/>
      </w:tblGrid>
      <w:tr>
        <w:trPr/>
        <w:tc>
          <w:tcPr>
            <w:tcW w:w="21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2624" w:type="dxa"/>
            <w:tcBorders/>
            <w:shd w:fill="auto" w:val="clear"/>
            <w:vAlign w:val="center"/>
          </w:tcPr>
          <w:p>
            <w:pPr>
              <w:pStyle w:val="TableContents"/>
              <w:spacing w:before="0" w:after="283"/>
              <w:rPr>
                <w:sz w:val="4"/>
                <w:szCs w:val="4"/>
              </w:rPr>
            </w:pPr>
            <w:r>
              <w:rPr>
                <w:sz w:val="4"/>
                <w:szCs w:val="4"/>
              </w:rPr>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81" w:type="dxa"/>
            <w:gridSpan w:val="9"/>
            <w:tcBorders/>
            <w:shd w:fill="auto" w:val="clear"/>
            <w:tcMar>
              <w:top w:w="0" w:type="dxa"/>
              <w:left w:w="0" w:type="dxa"/>
              <w:bottom w:w="0" w:type="dxa"/>
              <w:right w:w="0" w:type="dxa"/>
            </w:tcMar>
            <w:vAlign w:val="center"/>
          </w:tcPr>
          <w:p>
            <w:pPr>
              <w:pStyle w:val="TableContents"/>
              <w:spacing w:lineRule="auto" w:line="240" w:before="160" w:after="283"/>
              <w:jc w:val="center"/>
              <w:rPr>
                <w:rFonts w:ascii="Arial;sans-serif" w:hAnsi="Arial;sans-serif"/>
                <w:b/>
                <w:color w:val="000000"/>
                <w:sz w:val="20"/>
              </w:rPr>
            </w:pPr>
            <w:r>
              <w:rPr>
                <w:rFonts w:ascii="Arial;sans-serif" w:hAnsi="Arial;sans-serif"/>
                <w:b/>
                <w:color w:val="000000"/>
                <w:sz w:val="20"/>
              </w:rPr>
              <w:t>SALARIUS PHARMACEUTICALS, INC.</w:t>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J. Arthur</w:t>
            </w:r>
          </w:p>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 (Principal Executive Officer)</w:t>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J. Rosenblum</w:t>
            </w:r>
          </w:p>
          <w:p>
            <w:pPr>
              <w:pStyle w:val="TableContents"/>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Chief Financial Officer and Executive Vice President of Finance (Principal Financial Officer and Principal Accounting Officer)</w:t>
            </w:r>
          </w:p>
        </w:tc>
      </w:tr>
      <w:tr>
        <w:trPr/>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16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lineRule="auto" w:line="288" w:before="160" w:after="16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David J. Arthur, President and Chief Executive Officer, certify that:</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7572" w:type="dxa"/>
        <w:jc w:val="left"/>
        <w:tblInd w:w="0" w:type="dxa"/>
        <w:tblCellMar>
          <w:top w:w="28" w:type="dxa"/>
          <w:left w:w="28" w:type="dxa"/>
          <w:bottom w:w="28" w:type="dxa"/>
          <w:right w:w="28" w:type="dxa"/>
        </w:tblCellMar>
      </w:tblPr>
      <w:tblGrid>
        <w:gridCol w:w="471"/>
        <w:gridCol w:w="416"/>
        <w:gridCol w:w="418"/>
        <w:gridCol w:w="109"/>
        <w:gridCol w:w="109"/>
        <w:gridCol w:w="109"/>
        <w:gridCol w:w="1738"/>
        <w:gridCol w:w="1738"/>
        <w:gridCol w:w="2464"/>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246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60" w:after="16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Mark J. Rosenblum, Executive Vice President and Interim Chief Financial Officer, certify that:</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7016" w:type="dxa"/>
        <w:jc w:val="left"/>
        <w:tblInd w:w="0" w:type="dxa"/>
        <w:tblCellMar>
          <w:top w:w="28" w:type="dxa"/>
          <w:left w:w="28" w:type="dxa"/>
          <w:bottom w:w="28" w:type="dxa"/>
          <w:right w:w="28" w:type="dxa"/>
        </w:tblCellMar>
      </w:tblPr>
      <w:tblGrid>
        <w:gridCol w:w="471"/>
        <w:gridCol w:w="416"/>
        <w:gridCol w:w="418"/>
        <w:gridCol w:w="109"/>
        <w:gridCol w:w="109"/>
        <w:gridCol w:w="109"/>
        <w:gridCol w:w="1573"/>
        <w:gridCol w:w="1573"/>
        <w:gridCol w:w="2238"/>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Interim Chief Financial Officer</w:t>
              <w:b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60" w:after="160"/>
        <w:jc w:val="right"/>
        <w:rPr>
          <w:rFonts w:ascii="Arial;sans-serif" w:hAnsi="Arial;sans-serif"/>
          <w:b/>
          <w:color w:val="000000"/>
          <w:sz w:val="20"/>
        </w:rPr>
      </w:pPr>
      <w:r>
        <w:rPr>
          <w:rFonts w:ascii="Arial;sans-serif" w:hAnsi="Arial;sans-serif"/>
          <w:b/>
          <w:color w:val="000000"/>
          <w:sz w:val="20"/>
        </w:rPr>
        <w:t>Exhibit 32.1</w:t>
      </w:r>
    </w:p>
    <w:p>
      <w:pPr>
        <w:pStyle w:val="TextBody"/>
        <w:spacing w:before="0" w:after="0"/>
        <w:rPr/>
      </w:pPr>
      <w:r>
        <w:rPr/>
      </w:r>
    </w:p>
    <w:p>
      <w:pPr>
        <w:pStyle w:val="TextBody"/>
        <w:spacing w:lineRule="auto" w:line="288" w:before="160" w:after="160"/>
        <w:jc w:val="center"/>
        <w:rPr>
          <w:rFonts w:ascii="Arial;sans-serif" w:hAnsi="Arial;sans-serif"/>
          <w:b/>
          <w:color w:val="000000"/>
          <w:sz w:val="20"/>
        </w:rPr>
      </w:pPr>
      <w:r>
        <w:rPr>
          <w:rFonts w:ascii="Arial;sans-serif" w:hAnsi="Arial;sans-serif"/>
          <w:b/>
          <w:color w:val="000000"/>
          <w:sz w:val="20"/>
        </w:rPr>
        <w:t>Certification Pursuant to 18 U.S.C. Section 1350, as Adopted Pursuant to Section 906 of the Sarbanes-Oxley Act of 2002</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Salarius Pharmaceuticals, Inc. (the "Company") for the fiscal period ended March 31, 2022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spacing w:before="0" w:after="0"/>
        <w:rPr/>
      </w:pPr>
      <w:r>
        <w:rPr/>
      </w:r>
    </w:p>
    <w:tbl>
      <w:tblPr>
        <w:tblW w:w="7572" w:type="dxa"/>
        <w:jc w:val="left"/>
        <w:tblInd w:w="0" w:type="dxa"/>
        <w:tblCellMar>
          <w:top w:w="28" w:type="dxa"/>
          <w:left w:w="28" w:type="dxa"/>
          <w:bottom w:w="28" w:type="dxa"/>
          <w:right w:w="28" w:type="dxa"/>
        </w:tblCellMar>
      </w:tblPr>
      <w:tblGrid>
        <w:gridCol w:w="471"/>
        <w:gridCol w:w="416"/>
        <w:gridCol w:w="418"/>
        <w:gridCol w:w="109"/>
        <w:gridCol w:w="109"/>
        <w:gridCol w:w="109"/>
        <w:gridCol w:w="1738"/>
        <w:gridCol w:w="1738"/>
        <w:gridCol w:w="2464"/>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246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tbl>
      <w:tblPr>
        <w:tblW w:w="7016" w:type="dxa"/>
        <w:jc w:val="left"/>
        <w:tblInd w:w="0" w:type="dxa"/>
        <w:tblCellMar>
          <w:top w:w="28" w:type="dxa"/>
          <w:left w:w="28" w:type="dxa"/>
          <w:bottom w:w="28" w:type="dxa"/>
          <w:right w:w="28" w:type="dxa"/>
        </w:tblCellMar>
      </w:tblPr>
      <w:tblGrid>
        <w:gridCol w:w="471"/>
        <w:gridCol w:w="416"/>
        <w:gridCol w:w="418"/>
        <w:gridCol w:w="109"/>
        <w:gridCol w:w="109"/>
        <w:gridCol w:w="109"/>
        <w:gridCol w:w="1573"/>
        <w:gridCol w:w="1573"/>
        <w:gridCol w:w="2238"/>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Interim Chief Financial Officer</w:t>
              <w:br/>
              <w:t>(Principal Financial Officer and Principal Accounting Officer)</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61521922000003/salarius-deuterxacquisitio.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12954</Words>
  <CharactersWithSpaces>85090</CharactersWithSpaces>
  <Paragraphs>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