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ind w:left="360" w:hanging="321"/>
        <w:spacing w:after="0"/>
        <w:tabs>
          <w:tab w:leader="none" w:pos="36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28" w:lineRule="exact"/>
        <w:rPr>
          <w:rFonts w:ascii="MS PGothic" w:cs="MS PGothic" w:eastAsia="MS PGothic" w:hAnsi="MS PGothic"/>
          <w:sz w:val="28"/>
          <w:szCs w:val="28"/>
          <w:color w:val="auto"/>
          <w:vertAlign w:val="superscript"/>
        </w:rPr>
      </w:pPr>
    </w:p>
    <w:p>
      <w:pPr>
        <w:ind w:left="3920"/>
        <w:spacing w:after="0"/>
        <w:rPr>
          <w:rFonts w:ascii="MS PGothic" w:cs="MS PGothic" w:eastAsia="MS PGothic" w:hAnsi="MS PGothic"/>
          <w:sz w:val="28"/>
          <w:szCs w:val="28"/>
          <w:color w:val="auto"/>
          <w:vertAlign w:val="superscript"/>
        </w:rPr>
      </w:pPr>
      <w:r>
        <w:rPr>
          <w:rFonts w:ascii="Arial" w:cs="Arial" w:eastAsia="Arial" w:hAnsi="Arial"/>
          <w:sz w:val="16"/>
          <w:szCs w:val="16"/>
          <w:b w:val="1"/>
          <w:bCs w:val="1"/>
          <w:color w:val="auto"/>
        </w:rPr>
        <w:t>For the fiscal year ended December 31, 2021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290" w:right="359" w:bottom="1440" w:gutter="0" w:footer="0" w:header="0"/>
        </w:sectPr>
      </w:pPr>
    </w:p>
    <w:p>
      <w:pPr>
        <w:spacing w:after="0" w:line="23"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760" w:space="720"/>
            <w:col w:w="3740"/>
          </w:cols>
          <w:pgMar w:left="320" w:top="290" w:right="359" w:bottom="1440" w:gutter="0" w:footer="0" w:header="0"/>
          <w:type w:val="continuous"/>
        </w:sectPr>
      </w:pP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20"/>
          </w:cols>
          <w:pgMar w:left="320" w:top="290" w:right="3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(previously known as Flex Pharmaceuticals,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9" w:lineRule="exact"/>
        <w:rPr>
          <w:sz w:val="24"/>
          <w:szCs w:val="24"/>
          <w:color w:val="auto"/>
        </w:rPr>
      </w:pPr>
    </w:p>
    <w:tbl>
      <w:tblPr>
        <w:tblLayout w:type="fixed"/>
        <w:tblInd w:w="2580" w:type="dxa"/>
        <w:tblCellMar>
          <w:top w:w="0" w:type="dxa"/>
          <w:left w:w="0" w:type="dxa"/>
          <w:bottom w:w="0" w:type="dxa"/>
          <w:right w:w="0" w:type="dxa"/>
        </w:tblCellMar>
      </w:tblPr>
      <w:tr>
        <w:trPr>
          <w:trHeight w:val="215"/>
        </w:trPr>
        <w:tc>
          <w:tcPr>
            <w:tcW w:w="3220" w:type="dxa"/>
            <w:vAlign w:val="bottom"/>
          </w:tcPr>
          <w:p>
            <w:pPr>
              <w:jc w:val="center"/>
              <w:ind w:right="1225"/>
              <w:spacing w:after="0"/>
              <w:rPr>
                <w:sz w:val="20"/>
                <w:szCs w:val="20"/>
                <w:color w:val="auto"/>
              </w:rPr>
            </w:pPr>
            <w:r>
              <w:rPr>
                <w:rFonts w:ascii="Arial" w:cs="Arial" w:eastAsia="Arial" w:hAnsi="Arial"/>
                <w:sz w:val="16"/>
                <w:szCs w:val="16"/>
                <w:b w:val="1"/>
                <w:bCs w:val="1"/>
                <w:color w:val="auto"/>
              </w:rPr>
              <w:t>Delaware</w:t>
            </w:r>
          </w:p>
        </w:tc>
        <w:tc>
          <w:tcPr>
            <w:tcW w:w="2440" w:type="dxa"/>
            <w:vAlign w:val="bottom"/>
          </w:tcPr>
          <w:p>
            <w:pPr>
              <w:jc w:val="center"/>
              <w:ind w:left="1248"/>
              <w:spacing w:after="0"/>
              <w:rPr>
                <w:sz w:val="20"/>
                <w:szCs w:val="20"/>
                <w:color w:val="auto"/>
              </w:rPr>
            </w:pPr>
            <w:r>
              <w:rPr>
                <w:rFonts w:ascii="Arial" w:cs="Arial" w:eastAsia="Arial" w:hAnsi="Arial"/>
                <w:sz w:val="14"/>
                <w:szCs w:val="14"/>
                <w:b w:val="1"/>
                <w:bCs w:val="1"/>
                <w:color w:val="auto"/>
              </w:rPr>
              <w:t>46-5087339</w:t>
            </w:r>
          </w:p>
        </w:tc>
      </w:tr>
      <w:tr>
        <w:trPr>
          <w:trHeight w:val="159"/>
        </w:trPr>
        <w:tc>
          <w:tcPr>
            <w:tcW w:w="3220" w:type="dxa"/>
            <w:vAlign w:val="bottom"/>
          </w:tcPr>
          <w:p>
            <w:pPr>
              <w:jc w:val="center"/>
              <w:ind w:right="1225"/>
              <w:spacing w:after="0" w:line="159" w:lineRule="exact"/>
              <w:rPr>
                <w:sz w:val="20"/>
                <w:szCs w:val="20"/>
                <w:color w:val="auto"/>
              </w:rPr>
            </w:pPr>
            <w:r>
              <w:rPr>
                <w:rFonts w:ascii="Arial" w:cs="Arial" w:eastAsia="Arial" w:hAnsi="Arial"/>
                <w:sz w:val="14"/>
                <w:szCs w:val="14"/>
                <w:color w:val="auto"/>
              </w:rPr>
              <w:t>(State or Other Jurisdiction of</w:t>
            </w:r>
          </w:p>
        </w:tc>
        <w:tc>
          <w:tcPr>
            <w:tcW w:w="2440" w:type="dxa"/>
            <w:vAlign w:val="bottom"/>
          </w:tcPr>
          <w:p>
            <w:pPr>
              <w:jc w:val="center"/>
              <w:ind w:left="1268"/>
              <w:spacing w:after="0" w:line="159" w:lineRule="exact"/>
              <w:rPr>
                <w:sz w:val="20"/>
                <w:szCs w:val="20"/>
                <w:color w:val="auto"/>
              </w:rPr>
            </w:pPr>
            <w:r>
              <w:rPr>
                <w:rFonts w:ascii="Arial" w:cs="Arial" w:eastAsia="Arial" w:hAnsi="Arial"/>
                <w:sz w:val="14"/>
                <w:szCs w:val="14"/>
                <w:color w:val="auto"/>
              </w:rPr>
              <w:t>(I.R.S. Employer</w:t>
            </w:r>
          </w:p>
        </w:tc>
      </w:tr>
      <w:tr>
        <w:trPr>
          <w:trHeight w:val="172"/>
        </w:trPr>
        <w:tc>
          <w:tcPr>
            <w:tcW w:w="3220" w:type="dxa"/>
            <w:vAlign w:val="bottom"/>
          </w:tcPr>
          <w:p>
            <w:pPr>
              <w:jc w:val="center"/>
              <w:ind w:right="1225"/>
              <w:spacing w:after="0"/>
              <w:rPr>
                <w:sz w:val="20"/>
                <w:szCs w:val="20"/>
                <w:color w:val="auto"/>
              </w:rPr>
            </w:pPr>
            <w:r>
              <w:rPr>
                <w:rFonts w:ascii="Arial" w:cs="Arial" w:eastAsia="Arial" w:hAnsi="Arial"/>
                <w:sz w:val="14"/>
                <w:szCs w:val="14"/>
                <w:color w:val="auto"/>
              </w:rPr>
              <w:t>Incorporation or Organization)</w:t>
            </w:r>
          </w:p>
        </w:tc>
        <w:tc>
          <w:tcPr>
            <w:tcW w:w="2440" w:type="dxa"/>
            <w:vAlign w:val="bottom"/>
          </w:tcPr>
          <w:p>
            <w:pPr>
              <w:jc w:val="center"/>
              <w:ind w:left="1248"/>
              <w:spacing w:after="0"/>
              <w:rPr>
                <w:sz w:val="20"/>
                <w:szCs w:val="20"/>
                <w:color w:val="auto"/>
              </w:rPr>
            </w:pPr>
            <w:r>
              <w:rPr>
                <w:rFonts w:ascii="Arial" w:cs="Arial" w:eastAsia="Arial" w:hAnsi="Arial"/>
                <w:sz w:val="14"/>
                <w:szCs w:val="14"/>
                <w:color w:val="auto"/>
              </w:rPr>
              <w:t>Identification No.)</w:t>
            </w:r>
          </w:p>
        </w:tc>
      </w:tr>
    </w:tbl>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2450 Holcombe Blvd., Suite X, Houston, TX 77021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w:t>
      </w:r>
      <w:r>
        <w:rPr>
          <w:rFonts w:ascii="Arial" w:cs="Arial" w:eastAsia="Arial" w:hAnsi="Arial"/>
          <w:sz w:val="16"/>
          <w:szCs w:val="16"/>
          <w:b w:val="1"/>
          <w:bCs w:val="1"/>
          <w:color w:val="auto"/>
        </w:rPr>
        <w:t>e: (832) 834-6992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2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240" w:type="dxa"/>
            <w:vAlign w:val="bottom"/>
          </w:tcPr>
          <w:p>
            <w:pPr>
              <w:jc w:val="center"/>
              <w:ind w:left="308"/>
              <w:spacing w:after="0"/>
              <w:rPr>
                <w:sz w:val="20"/>
                <w:szCs w:val="20"/>
                <w:color w:val="auto"/>
              </w:rPr>
            </w:pPr>
            <w:r>
              <w:rPr>
                <w:rFonts w:ascii="Arial" w:cs="Arial" w:eastAsia="Arial" w:hAnsi="Arial"/>
                <w:sz w:val="14"/>
                <w:szCs w:val="14"/>
                <w:color w:val="auto"/>
              </w:rPr>
              <w:t>Common Stock, par value $ 0.0001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SLRX</w:t>
            </w:r>
          </w:p>
        </w:tc>
        <w:tc>
          <w:tcPr>
            <w:tcW w:w="3520" w:type="dxa"/>
            <w:vAlign w:val="bottom"/>
          </w:tcPr>
          <w:p>
            <w:pPr>
              <w:jc w:val="center"/>
              <w:ind w:right="408"/>
              <w:spacing w:after="0"/>
              <w:rPr>
                <w:sz w:val="20"/>
                <w:szCs w:val="20"/>
                <w:color w:val="auto"/>
              </w:rPr>
            </w:pPr>
            <w:r>
              <w:rPr>
                <w:rFonts w:ascii="Arial" w:cs="Arial" w:eastAsia="Arial" w:hAnsi="Arial"/>
                <w:sz w:val="14"/>
                <w:szCs w:val="14"/>
                <w:b w:val="1"/>
                <w:bCs w:val="1"/>
                <w:color w:val="auto"/>
              </w:rPr>
              <w:t>The Nasdaq Stock Market LLC</w:t>
            </w:r>
          </w:p>
        </w:tc>
      </w:tr>
      <w:tr>
        <w:trPr>
          <w:trHeight w:val="264"/>
        </w:trPr>
        <w:tc>
          <w:tcPr>
            <w:tcW w:w="3240" w:type="dxa"/>
            <w:vAlign w:val="bottom"/>
          </w:tcPr>
          <w:p>
            <w:pPr>
              <w:spacing w:after="0"/>
              <w:rPr>
                <w:sz w:val="22"/>
                <w:szCs w:val="22"/>
                <w:color w:val="auto"/>
              </w:rPr>
            </w:pPr>
          </w:p>
        </w:tc>
        <w:tc>
          <w:tcPr>
            <w:tcW w:w="4440" w:type="dxa"/>
            <w:vAlign w:val="bottom"/>
            <w:gridSpan w:val="5"/>
          </w:tcPr>
          <w:p>
            <w:pPr>
              <w:jc w:val="center"/>
              <w:ind w:left="199"/>
              <w:spacing w:after="0"/>
              <w:rPr>
                <w:sz w:val="20"/>
                <w:szCs w:val="20"/>
                <w:color w:val="auto"/>
              </w:rPr>
            </w:pPr>
            <w:r>
              <w:rPr>
                <w:rFonts w:ascii="Arial" w:cs="Arial" w:eastAsia="Arial" w:hAnsi="Arial"/>
                <w:sz w:val="16"/>
                <w:szCs w:val="16"/>
                <w:color w:val="auto"/>
              </w:rPr>
              <w:t>Securities registered pursuant to Section 12(g) of the Act:</w:t>
            </w:r>
          </w:p>
        </w:tc>
        <w:tc>
          <w:tcPr>
            <w:tcW w:w="3520" w:type="dxa"/>
            <w:vAlign w:val="bottom"/>
          </w:tcPr>
          <w:p>
            <w:pPr>
              <w:spacing w:after="0"/>
              <w:rPr>
                <w:sz w:val="22"/>
                <w:szCs w:val="22"/>
                <w:color w:val="auto"/>
              </w:rPr>
            </w:pPr>
          </w:p>
        </w:tc>
      </w:tr>
      <w:tr>
        <w:trPr>
          <w:trHeight w:val="215"/>
        </w:trPr>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None.</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both"/>
        <w:ind w:right="2980"/>
        <w:spacing w:after="0" w:line="18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82" w:lineRule="exact"/>
        <w:rPr>
          <w:sz w:val="24"/>
          <w:szCs w:val="24"/>
          <w:color w:val="auto"/>
        </w:rPr>
      </w:pPr>
    </w:p>
    <w:p>
      <w:pPr>
        <w:ind w:right="280"/>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0"/>
        <w:spacing w:after="0" w:line="171"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is $47,291,038 based on a share price of $1.06 which is the closing price per share on June 30, 2021.</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As of March 18, 2022, there were 46,697,194 shares of common stock outstanding.</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780"/>
        <w:spacing w:after="0" w:line="258"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which will be filed with the United States Securities and Exchange Commission within 120 days of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479"/>
        </w:trPr>
        <w:tc>
          <w:tcPr>
            <w:tcW w:w="4260" w:type="dxa"/>
            <w:vAlign w:val="bottom"/>
            <w:gridSpan w:val="18"/>
          </w:tcPr>
          <w:p>
            <w:pP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Special Note Regarding Forward Looking Statements</w:t>
              </w:r>
            </w:hyperlink>
          </w:p>
        </w:tc>
        <w:tc>
          <w:tcPr>
            <w:tcW w:w="6240" w:type="dxa"/>
            <w:vAlign w:val="bottom"/>
            <w:gridSpan w:val="17"/>
          </w:tcPr>
          <w:p>
            <w:pPr>
              <w:spacing w:after="0"/>
              <w:rPr>
                <w:sz w:val="24"/>
                <w:szCs w:val="24"/>
                <w:color w:val="auto"/>
              </w:rPr>
            </w:pPr>
          </w:p>
        </w:tc>
        <w:tc>
          <w:tcPr>
            <w:tcW w:w="600" w:type="dxa"/>
            <w:vAlign w:val="bottom"/>
            <w:gridSpan w:val="2"/>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Summary of Selected Risks associated with our business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20" w:type="dxa"/>
            <w:vAlign w:val="bottom"/>
            <w:gridSpan w:val="3"/>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PART I.</w:t>
              </w:r>
            </w:hyperlink>
          </w:p>
        </w:tc>
        <w:tc>
          <w:tcPr>
            <w:tcW w:w="5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Business</w:t>
              </w:r>
            </w:hyperlink>
          </w:p>
        </w:tc>
        <w:tc>
          <w:tcPr>
            <w:tcW w:w="8180" w:type="dxa"/>
            <w:vAlign w:val="bottom"/>
            <w:gridSpan w:val="27"/>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1A.</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Item 1B.</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0"/>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Unresolved Staff Comments</w:t>
              </w:r>
            </w:hyperlink>
          </w:p>
        </w:tc>
        <w:tc>
          <w:tcPr>
            <w:tcW w:w="666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2.</w:t>
              </w:r>
            </w:hyperlink>
          </w:p>
        </w:tc>
        <w:tc>
          <w:tcPr>
            <w:tcW w:w="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Properties</w:t>
              </w:r>
            </w:hyperlink>
          </w:p>
        </w:tc>
        <w:tc>
          <w:tcPr>
            <w:tcW w:w="666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3.</w:t>
              </w:r>
            </w:hyperlink>
          </w:p>
        </w:tc>
        <w:tc>
          <w:tcPr>
            <w:tcW w:w="62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6"/>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Legal Proceedings</w:t>
              </w:r>
            </w:hyperlink>
          </w:p>
        </w:tc>
        <w:tc>
          <w:tcPr>
            <w:tcW w:w="7420" w:type="dxa"/>
            <w:vAlign w:val="bottom"/>
            <w:gridSpan w:val="2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4.</w:t>
              </w:r>
            </w:hyperlink>
          </w:p>
        </w:tc>
        <w:tc>
          <w:tcPr>
            <w:tcW w:w="62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8"/>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Mine Safety Disclosures</w:t>
              </w:r>
            </w:hyperlink>
          </w:p>
        </w:tc>
        <w:tc>
          <w:tcPr>
            <w:tcW w:w="6980" w:type="dxa"/>
            <w:vAlign w:val="bottom"/>
            <w:gridSpan w:val="21"/>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0" w:type="dxa"/>
            <w:vAlign w:val="bottom"/>
            <w:gridSpan w:val="2"/>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Part II</w:t>
              </w:r>
            </w:hyperlink>
          </w:p>
        </w:tc>
        <w:tc>
          <w:tcPr>
            <w:tcW w:w="62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5.</w:t>
              </w:r>
            </w:hyperlink>
          </w:p>
        </w:tc>
        <w:tc>
          <w:tcPr>
            <w:tcW w:w="62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8880" w:type="dxa"/>
            <w:vAlign w:val="bottom"/>
            <w:gridSpan w:val="28"/>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Market for Registrant’s Common Equity, Related Stockholder Matters and Issuer Purchases of Equity Securities</w:t>
              </w:r>
            </w:hyperlink>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6.</w:t>
              </w:r>
            </w:hyperlink>
          </w:p>
        </w:tc>
        <w:tc>
          <w:tcPr>
            <w:tcW w:w="62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Reserved</w:t>
              </w:r>
            </w:hyperlink>
          </w:p>
        </w:tc>
        <w:tc>
          <w:tcPr>
            <w:tcW w:w="8100" w:type="dxa"/>
            <w:vAlign w:val="bottom"/>
            <w:gridSpan w:val="25"/>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7.</w:t>
              </w:r>
            </w:hyperlink>
          </w:p>
        </w:tc>
        <w:tc>
          <w:tcPr>
            <w:tcW w:w="62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Management’s Discussion and Analysis of Financial Condition and Results of Operations Overview</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7A.</w:t>
              </w:r>
            </w:hyperlink>
          </w:p>
        </w:tc>
        <w:tc>
          <w:tcPr>
            <w:tcW w:w="420" w:type="dxa"/>
            <w:vAlign w:val="bottom"/>
          </w:tcPr>
          <w:p>
            <w:pPr>
              <w:spacing w:after="0"/>
              <w:rPr>
                <w:sz w:val="18"/>
                <w:szCs w:val="18"/>
                <w:color w:val="auto"/>
              </w:rPr>
            </w:pPr>
          </w:p>
        </w:tc>
        <w:tc>
          <w:tcPr>
            <w:tcW w:w="8920" w:type="dxa"/>
            <w:vAlign w:val="bottom"/>
            <w:gridSpan w:val="2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Quantitative and Qualitative Disclosure About Market Risk</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9"/>
        </w:trPr>
        <w:tc>
          <w:tcPr>
            <w:tcW w:w="540" w:type="dxa"/>
            <w:vAlign w:val="bottom"/>
            <w:tcBorders>
              <w:top w:val="single" w:sz="8" w:color="0000FF"/>
            </w:tcBorders>
            <w:gridSpan w:val="2"/>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8.</w:t>
              </w:r>
            </w:hyperlink>
          </w:p>
        </w:tc>
        <w:tc>
          <w:tcPr>
            <w:tcW w:w="620" w:type="dxa"/>
            <w:vAlign w:val="bottom"/>
            <w:tcBorders>
              <w:top w:val="single" w:sz="8" w:color="0000FF"/>
            </w:tcBorders>
            <w:gridSpan w:val="3"/>
          </w:tcPr>
          <w:p>
            <w:pPr>
              <w:spacing w:after="0"/>
              <w:rPr>
                <w:sz w:val="18"/>
                <w:szCs w:val="18"/>
                <w:color w:val="auto"/>
              </w:rPr>
            </w:pPr>
          </w:p>
        </w:tc>
        <w:tc>
          <w:tcPr>
            <w:tcW w:w="420" w:type="dxa"/>
            <w:vAlign w:val="bottom"/>
          </w:tcPr>
          <w:p>
            <w:pPr>
              <w:spacing w:after="0"/>
              <w:rPr>
                <w:sz w:val="18"/>
                <w:szCs w:val="18"/>
                <w:color w:val="auto"/>
              </w:rPr>
            </w:pPr>
          </w:p>
        </w:tc>
        <w:tc>
          <w:tcPr>
            <w:tcW w:w="4620" w:type="dxa"/>
            <w:vAlign w:val="bottom"/>
            <w:tcBorders>
              <w:top w:val="single" w:sz="8" w:color="0000FF"/>
            </w:tcBorders>
            <w:gridSpan w:val="21"/>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Financial Statements and Supplementary Data</w:t>
              </w:r>
            </w:hyperlink>
          </w:p>
        </w:tc>
        <w:tc>
          <w:tcPr>
            <w:tcW w:w="4300" w:type="dxa"/>
            <w:vAlign w:val="bottom"/>
            <w:gridSpan w:val="8"/>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209"/>
        </w:trPr>
        <w:tc>
          <w:tcPr>
            <w:tcW w:w="4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360" w:type="dxa"/>
            <w:vAlign w:val="bottom"/>
            <w:tcBorders>
              <w:top w:val="single" w:sz="8" w:color="0000FF"/>
            </w:tcBorders>
            <w:gridSpan w:val="10"/>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Index to Financial Statements</w:t>
              </w:r>
            </w:hyperlink>
          </w:p>
        </w:tc>
        <w:tc>
          <w:tcPr>
            <w:tcW w:w="1160" w:type="dxa"/>
            <w:vAlign w:val="bottom"/>
            <w:tcBorders>
              <w:top w:val="single" w:sz="8" w:color="0000FF"/>
            </w:tcBorders>
            <w:gridSpan w:val="8"/>
          </w:tcPr>
          <w:p>
            <w:pPr>
              <w:spacing w:after="0"/>
              <w:rPr>
                <w:sz w:val="18"/>
                <w:szCs w:val="18"/>
                <w:color w:val="auto"/>
              </w:rPr>
            </w:pPr>
          </w:p>
        </w:tc>
        <w:tc>
          <w:tcPr>
            <w:tcW w:w="520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Report of Independent Registered Public Accounting Firm</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22"/>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Balance Sheets</w:t>
              </w:r>
            </w:hyperlink>
          </w:p>
        </w:tc>
        <w:tc>
          <w:tcPr>
            <w:tcW w:w="41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Operations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Cash Flows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21"/>
          </w:tcPr>
          <w:p>
            <w:pPr>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 xml:space="preserve">Consolidated Statement of Stockholders' Equity </w:t>
              </w:r>
            </w:hyperlink>
            <w:r>
              <w:rPr>
                <w:rFonts w:ascii="Arial" w:cs="Arial" w:eastAsia="Arial" w:hAnsi="Arial"/>
                <w:sz w:val="18"/>
                <w:szCs w:val="18"/>
                <w:color w:val="0000FF"/>
                <w:w w:val="99"/>
              </w:rPr>
              <w:t>(Deficit)</w:t>
            </w:r>
          </w:p>
        </w:tc>
        <w:tc>
          <w:tcPr>
            <w:tcW w:w="42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66</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21"/>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Notes to Consolidated Financial Statements</w:t>
              </w:r>
            </w:hyperlink>
          </w:p>
        </w:tc>
        <w:tc>
          <w:tcPr>
            <w:tcW w:w="42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67</w:t>
              </w:r>
            </w:hyperlink>
          </w:p>
        </w:tc>
      </w:tr>
      <w:tr>
        <w:trPr>
          <w:trHeight w:val="20"/>
        </w:trPr>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4"/>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Item 9.</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Borders>
              <w:bottom w:val="single" w:sz="8" w:color="0000FF"/>
            </w:tcBorders>
            <w:gridSpan w:val="25"/>
          </w:tcPr>
          <w:p>
            <w:pPr>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Changes in and Disagreements with Accountants on Accounting and Financial Disclosure</w:t>
              </w:r>
            </w:hyperlink>
          </w:p>
        </w:tc>
        <w:tc>
          <w:tcPr>
            <w:tcW w:w="178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Item 9A.</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Controls and Procedures</w:t>
              </w:r>
            </w:hyperlink>
          </w:p>
        </w:tc>
        <w:tc>
          <w:tcPr>
            <w:tcW w:w="692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Item 9B.</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Other Information</w:t>
              </w:r>
            </w:hyperlink>
          </w:p>
        </w:tc>
        <w:tc>
          <w:tcPr>
            <w:tcW w:w="692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4"/>
              </w:rPr>
            </w:pPr>
            <w:hyperlink w:anchor="page79">
              <w:r>
                <w:rPr>
                  <w:rFonts w:ascii="Arial" w:cs="Arial" w:eastAsia="Arial" w:hAnsi="Arial"/>
                  <w:sz w:val="18"/>
                  <w:szCs w:val="18"/>
                  <w:color w:val="0000FF"/>
                  <w:w w:val="94"/>
                </w:rPr>
                <w:t>Part III</w:t>
              </w:r>
            </w:hyperlink>
          </w:p>
        </w:tc>
        <w:tc>
          <w:tcPr>
            <w:tcW w:w="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10.</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Directors, Executive Officers and Corporate Governance</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11.</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Executive Compensation</w:t>
              </w:r>
            </w:hyperlink>
          </w:p>
        </w:tc>
        <w:tc>
          <w:tcPr>
            <w:tcW w:w="2500" w:type="dxa"/>
            <w:vAlign w:val="bottom"/>
            <w:gridSpan w:val="11"/>
          </w:tcPr>
          <w:p>
            <w:pPr>
              <w:spacing w:after="0"/>
              <w:rPr>
                <w:sz w:val="18"/>
                <w:szCs w:val="18"/>
                <w:color w:val="auto"/>
              </w:rPr>
            </w:pPr>
          </w:p>
        </w:tc>
        <w:tc>
          <w:tcPr>
            <w:tcW w:w="44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12.</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20" w:type="dxa"/>
            <w:vAlign w:val="bottom"/>
            <w:gridSpan w:val="27"/>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Security Ownership of Certain Beneficial Owners and Management and Related Stockholder Matters</w:t>
              </w:r>
            </w:hyperlink>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13.</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24"/>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Certain Relationships and Related Transactions, and Director Independence</w:t>
              </w:r>
            </w:hyperlink>
          </w:p>
        </w:tc>
        <w:tc>
          <w:tcPr>
            <w:tcW w:w="194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Item 14.</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14"/>
          </w:tcPr>
          <w:p>
            <w:pPr>
              <w:spacing w:after="0"/>
              <w:rPr>
                <w:rFonts w:ascii="Arial" w:cs="Arial" w:eastAsia="Arial" w:hAnsi="Arial"/>
                <w:sz w:val="18"/>
                <w:szCs w:val="18"/>
                <w:color w:val="0000FF"/>
                <w:w w:val="99"/>
              </w:rPr>
            </w:pPr>
            <w:hyperlink w:anchor="page80">
              <w:r>
                <w:rPr>
                  <w:rFonts w:ascii="Arial" w:cs="Arial" w:eastAsia="Arial" w:hAnsi="Arial"/>
                  <w:sz w:val="18"/>
                  <w:szCs w:val="18"/>
                  <w:color w:val="0000FF"/>
                  <w:w w:val="99"/>
                </w:rPr>
                <w:t>Principle Accounting Fees and Services</w:t>
              </w:r>
            </w:hyperlink>
          </w:p>
        </w:tc>
        <w:tc>
          <w:tcPr>
            <w:tcW w:w="2900" w:type="dxa"/>
            <w:vAlign w:val="bottom"/>
            <w:gridSpan w:val="10"/>
          </w:tcPr>
          <w:p>
            <w:pPr>
              <w:spacing w:after="0"/>
              <w:rPr>
                <w:sz w:val="18"/>
                <w:szCs w:val="18"/>
                <w:color w:val="auto"/>
              </w:rPr>
            </w:pPr>
          </w:p>
        </w:tc>
        <w:tc>
          <w:tcPr>
            <w:tcW w:w="28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9"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Part IV</w:t>
              </w:r>
            </w:hyperlink>
          </w:p>
        </w:tc>
        <w:tc>
          <w:tcPr>
            <w:tcW w:w="12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Item 15.</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15"/>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Exhibits, Financial Statement Schedules</w:t>
              </w:r>
            </w:hyperlink>
          </w:p>
        </w:tc>
        <w:tc>
          <w:tcPr>
            <w:tcW w:w="57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82">
              <w:r>
                <w:rPr>
                  <w:rFonts w:ascii="Arial" w:cs="Arial" w:eastAsia="Arial" w:hAnsi="Arial"/>
                  <w:sz w:val="18"/>
                  <w:szCs w:val="18"/>
                  <w:color w:val="0000FF"/>
                  <w:w w:val="95"/>
                </w:rPr>
                <w:t>Item 16.</w:t>
              </w:r>
            </w:hyperlink>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Form 10-k Summary</w:t>
              </w:r>
            </w:hyperlink>
          </w:p>
        </w:tc>
        <w:tc>
          <w:tcPr>
            <w:tcW w:w="57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rFonts w:ascii="Arial" w:cs="Arial" w:eastAsia="Arial" w:hAnsi="Arial"/>
                <w:sz w:val="18"/>
                <w:szCs w:val="18"/>
                <w:color w:val="0000FF"/>
                <w:w w:val="97"/>
              </w:rPr>
            </w:pPr>
            <w:hyperlink w:anchor="page82">
              <w:r>
                <w:rPr>
                  <w:rFonts w:ascii="Arial" w:cs="Arial" w:eastAsia="Arial" w:hAnsi="Arial"/>
                  <w:sz w:val="18"/>
                  <w:szCs w:val="18"/>
                  <w:color w:val="0000FF"/>
                  <w:w w:val="97"/>
                </w:rPr>
                <w:t>SIGNATURES</w:t>
              </w:r>
            </w:hyperlink>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Annual Report on Form 10-K, including in the sections entitled “Business,” and “Management’s Discussion and Analysis of Financial Condition and Results of Operations Overview,” and the information incorporated herein by reference, include forward-looking statements within the meaning of Section 27A of the Securities Act of 1933, as amended, and Section 21E of the Securities Exchange Act of 1934, as amended. These are statements that include, but are not limited to, statements about future periods; the Company's strategy and ongoing development programs; the Company's clinical trials, including status, costs and expectations related thereto;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nature, strategy and focus of the company; the development and commercial potential of any product candidates; the Company's liquidity position and need for additional financing; the ability of the Company to access additional financing under the Grant Contract with Cancer Prevention and Research Institute of Texas; and the Company's ability to continue as a going concern. These forward-looking statements are based on current expectations and beliefs and involve numerous risks and uncertainties, including those discussed under “Risk Factors,”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34" w:lineRule="exact"/>
        <w:rPr>
          <w:sz w:val="20"/>
          <w:szCs w:val="20"/>
          <w:color w:val="auto"/>
        </w:rPr>
      </w:pPr>
    </w:p>
    <w:p>
      <w:pPr>
        <w:ind w:right="260" w:firstLine="577"/>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74" w:lineRule="exact"/>
        <w:rPr>
          <w:sz w:val="20"/>
          <w:szCs w:val="20"/>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approach to discovering and developing novel oncology therapeutics makes it difficult to predict timing and costs and obtaining regulatory approval may never lead to marketable products.</w:t>
      </w:r>
    </w:p>
    <w:p>
      <w:pPr>
        <w:spacing w:after="0" w:line="41"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Product development involves a lengthy and expensive process with an uncertain outcome, and results of earlier pre-clinical and clinical trials may not be predictive of future clinical trial results.</w:t>
      </w:r>
    </w:p>
    <w:p>
      <w:pPr>
        <w:spacing w:after="0" w:line="41"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 or our product candidates may cause undesirable side effects or have other properties that could limit the commercial viability or result in significant negative consequences.</w:t>
      </w:r>
    </w:p>
    <w:p>
      <w:pPr>
        <w:spacing w:after="0" w:line="4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cannot give any assurance that our clinical trials will generate positive data for any of our product candidates or indications which we are pursuing.</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may fail to capitalize on programs or product candidates that may be more profitable.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may find it difficult to enroll patients in our clinical trials.</w:t>
      </w:r>
    </w:p>
    <w:p>
      <w:pPr>
        <w:spacing w:after="0" w:line="40"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may face potential product liability and incur substantial liability and costs and our regulatory approvals, if any, could be revoked or otherwise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88" w:lineRule="exact"/>
        <w:rPr>
          <w:sz w:val="20"/>
          <w:szCs w:val="20"/>
          <w:color w:val="auto"/>
        </w:rPr>
      </w:pPr>
    </w:p>
    <w:p>
      <w:pPr>
        <w:jc w:val="both"/>
        <w:ind w:left="660" w:hanging="328"/>
        <w:spacing w:after="0" w:line="23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incurred significant losses since our inception and anticipate that we will continue to incur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Raising additional capital may cause dilution to our stockholders restrict our operations or other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88" w:lineRule="exact"/>
        <w:rPr>
          <w:sz w:val="20"/>
          <w:szCs w:val="20"/>
          <w:color w:val="auto"/>
        </w:rPr>
      </w:pPr>
    </w:p>
    <w:p>
      <w:pPr>
        <w:ind w:left="660" w:right="38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Fast Track designation may not actually lead to a faster development or regulatory review or approval process. Additionally, FDA may rescind the designation if it determines the product candidate no longer meets the qualifying criteria for Fast Track.</w:t>
      </w:r>
    </w:p>
    <w:p>
      <w:pPr>
        <w:spacing w:after="0" w:line="41"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fail to obtain the necessary regulatory approvals to market our product candidates and may not be able to commercialize our product candidates.</w:t>
      </w:r>
    </w:p>
    <w:p>
      <w:pPr>
        <w:spacing w:after="0" w:line="41"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Even if we obtain regulatory approval for a product, we will remain subject to ongoing regulatory requirements, we may be subject to penalties if we fail to comply with regulatory requirements.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Healthcare reform measures may have a material adverse effect on our business, financial condition or results of operations.</w:t>
      </w:r>
    </w:p>
    <w:p>
      <w:pPr>
        <w:spacing w:after="0" w:line="39" w:lineRule="exact"/>
        <w:rPr>
          <w:rFonts w:ascii="Arial" w:cs="Arial" w:eastAsia="Arial" w:hAnsi="Arial"/>
          <w:sz w:val="22"/>
          <w:szCs w:val="22"/>
          <w:color w:val="auto"/>
        </w:rPr>
      </w:pPr>
    </w:p>
    <w:p>
      <w:pPr>
        <w:ind w:left="660" w:right="4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subject to fraud and abuse laws, false claims laws, and health information privacy and security laws under which we could become subject to substantial penalties.</w:t>
      </w:r>
    </w:p>
    <w:p>
      <w:pPr>
        <w:spacing w:after="0" w:line="41" w:lineRule="exact"/>
        <w:rPr>
          <w:rFonts w:ascii="Arial" w:cs="Arial" w:eastAsia="Arial" w:hAnsi="Arial"/>
          <w:sz w:val="22"/>
          <w:szCs w:val="22"/>
          <w:color w:val="auto"/>
        </w:rPr>
      </w:pPr>
    </w:p>
    <w:p>
      <w:pPr>
        <w:ind w:left="660" w:right="5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Reliance on government funding for our programs may add uncertainty to our research and commercialization efforts and may impose requirements that limit our ability to take specified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8" w:lineRule="exact"/>
        <w:rPr>
          <w:sz w:val="20"/>
          <w:szCs w:val="20"/>
          <w:color w:val="auto"/>
        </w:rPr>
      </w:pPr>
    </w:p>
    <w:p>
      <w:pPr>
        <w:ind w:left="660" w:right="38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not be successful in obtaining or maintaining exclusive or other necessary rights to our targets, product compounds and processes for our development pipeline.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not have sufficient patent term protections for our product candidates to protect our business.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Changes in U.S. patent law could diminish the value of patents in general and could increase the uncertainties and costs surrounding prosecution and enforcement.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patent protection and patent prosecution for some of our product candidates is dependent on third parties.</w:t>
      </w:r>
    </w:p>
    <w:p>
      <w:pPr>
        <w:spacing w:after="0" w:line="40" w:lineRule="exact"/>
        <w:rPr>
          <w:rFonts w:ascii="Arial" w:cs="Arial" w:eastAsia="Arial" w:hAnsi="Arial"/>
          <w:sz w:val="22"/>
          <w:szCs w:val="22"/>
          <w:color w:val="auto"/>
        </w:rPr>
      </w:pPr>
    </w:p>
    <w:p>
      <w:pPr>
        <w:jc w:val="both"/>
        <w:ind w:left="660" w:right="2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fail to comply with obligations in the agreements under which we licenses intellectual property and other rights from third parties or otherwise experience disruptions to our business relationships with our licensors, we could lose license rights that are important to our business.</w:t>
      </w:r>
    </w:p>
    <w:p>
      <w:pPr>
        <w:spacing w:after="0" w:line="41" w:lineRule="exact"/>
        <w:rPr>
          <w:rFonts w:ascii="Arial" w:cs="Arial" w:eastAsia="Arial" w:hAnsi="Arial"/>
          <w:sz w:val="22"/>
          <w:szCs w:val="22"/>
          <w:color w:val="auto"/>
        </w:rPr>
      </w:pPr>
    </w:p>
    <w:p>
      <w:pPr>
        <w:ind w:left="660" w:right="48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8" w:lineRule="exact"/>
        <w:rPr>
          <w:sz w:val="20"/>
          <w:szCs w:val="20"/>
          <w:color w:val="auto"/>
        </w:rPr>
      </w:pPr>
    </w:p>
    <w:p>
      <w:pPr>
        <w:ind w:left="660" w:hanging="328"/>
        <w:spacing w:after="0" w:line="237"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third parties on which we rely fail to obtain or maintain approval of government regulators, fail to comply with applicable regulations, fail to provide us with sufficient quantities of drug product, or fail to do so at acceptable quality levels or prices, we may not be able to successfully complete clinical development, obtain regulatory approval or commercialize our product candidates and our business could be substantially harmed.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be unable to realize the potential benefits of any current or future collaboration.</w:t>
      </w:r>
    </w:p>
    <w:p>
      <w:pPr>
        <w:spacing w:after="0" w:line="39" w:lineRule="exact"/>
        <w:rPr>
          <w:rFonts w:ascii="Arial" w:cs="Arial" w:eastAsia="Arial" w:hAnsi="Arial"/>
          <w:sz w:val="22"/>
          <w:szCs w:val="22"/>
          <w:color w:val="auto"/>
        </w:rPr>
      </w:pPr>
    </w:p>
    <w:p>
      <w:pPr>
        <w:ind w:left="660" w:right="40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we are required to indemnify third parties pursuant to the terms of any third party agreements, it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88" w:lineRule="exact"/>
        <w:rPr>
          <w:sz w:val="20"/>
          <w:szCs w:val="20"/>
          <w:color w:val="auto"/>
        </w:rPr>
      </w:pPr>
    </w:p>
    <w:p>
      <w:pPr>
        <w:ind w:left="660" w:right="740" w:hanging="328"/>
        <w:spacing w:after="0" w:line="225"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currently have very limited marketing and sales experience. Without the assistance of third parties, we may be unable to generate any revenue.</w:t>
      </w:r>
    </w:p>
    <w:p>
      <w:pPr>
        <w:spacing w:after="0" w:line="41"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may be unable to form future collaborations with respect to our product candidates, which may cause us to alter our development and commercialization plans.</w:t>
      </w:r>
    </w:p>
    <w:p>
      <w:pPr>
        <w:spacing w:after="0" w:line="41" w:lineRule="exact"/>
        <w:rPr>
          <w:rFonts w:ascii="Arial" w:cs="Arial" w:eastAsia="Arial" w:hAnsi="Arial"/>
          <w:sz w:val="22"/>
          <w:szCs w:val="22"/>
          <w:color w:val="auto"/>
        </w:rPr>
      </w:pPr>
    </w:p>
    <w:p>
      <w:pPr>
        <w:ind w:left="660" w:right="440" w:hanging="328"/>
        <w:spacing w:after="0" w:line="225"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If the market opportunities for our product candidates are smaller than we believe they are, we may not meet our future revenue expectations and our business may suffer.</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competitors may discover, develop or commercialize products faster or more successfully than us.</w:t>
      </w:r>
    </w:p>
    <w:p>
      <w:pPr>
        <w:spacing w:after="0" w:line="39" w:lineRule="exact"/>
        <w:rPr>
          <w:rFonts w:ascii="Arial" w:cs="Arial" w:eastAsia="Arial" w:hAnsi="Arial"/>
          <w:sz w:val="22"/>
          <w:szCs w:val="22"/>
          <w:color w:val="auto"/>
        </w:rPr>
      </w:pPr>
    </w:p>
    <w:p>
      <w:pPr>
        <w:ind w:left="660" w:right="340" w:hanging="328"/>
        <w:spacing w:after="0" w:line="225"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commercial success of any of our current or future product candidates will depend upon the degree of market acceptance by physicians, patients, third-party payors, and others in the medical community.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may not be successful in any efforts to identify, license, discover, develop, or commercialize additional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future success depends in part on our ability to retain key personnel and attract, retain, and motivate other qualified personnel.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will need to expand our organization and difficulties in managing growth could disrupt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terms of the warrants could impede our ability to enter into transactions or obtain additional financing.</w:t>
      </w:r>
    </w:p>
    <w:p>
      <w:pPr>
        <w:spacing w:after="0" w:line="39" w:lineRule="exact"/>
        <w:rPr>
          <w:rFonts w:ascii="Arial" w:cs="Arial" w:eastAsia="Arial" w:hAnsi="Arial"/>
          <w:sz w:val="22"/>
          <w:szCs w:val="22"/>
          <w:color w:val="auto"/>
        </w:rPr>
      </w:pPr>
    </w:p>
    <w:p>
      <w:pPr>
        <w:ind w:left="660" w:right="34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Future sales of a significant number of our shares of common stock in the public markets, or the perception that such sales could occur, could depress the market price of our shares of our common stock.</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do not currently intend to pay dividends on our common stock.</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Failure to meet the continued listing requirements of the Nasdaq Stock Market, LLC could result in the delisting of our common stock.</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References to “Salarius,” the “Company,” “we,” “us” and “our” refer to Salarius Pharmaceuticals, Inc. and its consolidated subsidiaries following the completion of the Merger and Salarius Pharmaceuticals, LLC prior to the completion of the Merger. References to “Notes” refer to the Notes to Consolidated Financial Statements included herein (refer to Item 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Salarius Pharmaceuticals, Inc. is a clinical-stage biopharmaceutical company focused on developing effective treatments for cancers with high, unmet medical need</w:t>
      </w:r>
      <w:r>
        <w:rPr>
          <w:rFonts w:ascii="Arial" w:cs="Arial" w:eastAsia="Arial" w:hAnsi="Arial"/>
          <w:sz w:val="21"/>
          <w:szCs w:val="21"/>
          <w:color w:val="auto"/>
        </w:rPr>
        <w:t>.</w:t>
      </w:r>
      <w:r>
        <w:rPr>
          <w:rFonts w:ascii="Arial" w:cs="Arial" w:eastAsia="Arial" w:hAnsi="Arial"/>
          <w:sz w:val="18"/>
          <w:szCs w:val="18"/>
          <w:color w:val="auto"/>
        </w:rPr>
        <w:t xml:space="preserve"> Specifically, we are developing treatments for cancers caused by dysregulated gene expression, i.e., genes which are incorrectly turned on or off. We are developing two classes of drugs that address gene dysregulation: epigenetic drugs and targeted protein degraders. Our technologies have the potential to work in both liquid and solid tumors. Our current pipeline consists of two compounds: 1) seclidemstat (SP-2577), a small molecular inhibitor and 2) SP-3164, a small molecular protein degrader.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On January 12, 2022, we entered into an Acquisition and Strategic Collaboration Agreement (the “ASCA”), effective January 12, 2022, with DeuteRx, LLC, a Delaware limited liability company (the “DeuteRx”), pursuant to which DeuteRx agreed to sell, and we agreed to purchase and assume from DeuteRx, all of DeuteRx’s rights, title, and interest in and to certain assets of DeuteRx, including the development product previously referred to as DRX-164, DeuteRx’s intellectual property, information and data related to the Product, tangible materials or reagents related to the Product, goodwill, rights and claims, other than certain excluded assets (collectively, the “Purchased Assets”), all as more specifically set forth in the ASCA (the “DeuteRx Transaction”). Contemporaneous with the execution of the ASCA, the Seller and us entered into an R&amp;D Services Agreement(the “R&amp;D Services Agreement”), which sets forth the terms and conditions upon which Seller will provide services to us, including the implementation and performance of a Non-Clinical and Clinical Development Scope of Work. Subsequent to the purchase, we changed the name from DRX-164 to SP-3164.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SP-2577 is a small-molecule LSD1 inhibitor with a novel scaffold. The molecule was discovered using structure-based computational screening coupled with chemical screening and further optimization with structure-activity relationship studies.</w:t>
      </w:r>
    </w:p>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believe that SP-2577 is different from the three other LSD1 inhibitors that have active clinical development programs because in addition to inhibiting LSD1’s enzymatic activity, we also believe it more comprehensively inhibits LSD1’s scaffolding properties. To the best of our knowledge, SP-2577 is one of two reversible LSD1 inhibitors in clinical development. The two other LSD1 inhibitors in clinical development are irreversible inhibitors. SP-2577 has differentiated properties that may allow it to be developed in a broader range of cancer indications and in different combination regimens compared to the other LSD1 inhibitors in clinical development. Thus far, dose escalation data has demonstrated that SP-2577 has a manageable safety profile. Pharmacokinetic data indicates that SP-2577 can be given at dose levels that achieve drug exposure levels in patients above where activity was demonstrated in preclinical studies. We believe that SP-2577’s manageable safety profile will allow for more flexible dosing strategies by potentially having a wide therapeutic window. This is being studied and developed in our ongoing clinical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LSD1 Background</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LSD1 is an enzyme that is, in part, responsible for epigenetic regulation of genes that support cancer growth. According to B. Majello, et al. in “Expanding the Role of the Histone Lysine-Specific Demethylase LSD1 in Cancer”, LSD1 dysregulation is a key driver in multiple malignancies. LSD1 induces a cancer phenotype through its enzymatic activity and through its role as a scaffolding protein in epigenetic complexes. LSD1 is over-expressed 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various cancers, and higher levels of LSD1 are often associated with poor prognosis in several types of cancer, making LSD1 inhibition an area of interest in cancer research.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SP-3164 is a next-generation cereblon (CRBN) 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IKZF1 and</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IKZF3, along with other proteins, resulting in both direct anti-cancer activity and immune-modulating properties. SP-3164 has activity in both hematologic and solid tumors and is currently in IND-enabling studies.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Targeted Protein Degradation</w:t>
      </w:r>
    </w:p>
    <w:p>
      <w:pPr>
        <w:spacing w:after="0" w:line="2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field of Targeted Protein Degradation (TPD) is rapidly growing and attracting a lot of interest from the biggest pharmaceutical companies. The two most common types of protein degraders are molecular glues (MGs) and proteolysis-targeting chimeras (PROTACs). SP-3164 is a next-generation CRBN-binding MG. There are currently seven MGs in clinical development (see table below) and a few additional MGs in IND-enabling studies. Due to structural similarities (aminoglutarimide moiety), most MGs cause degradation of hematopoietic lineage factors, Ikaros and Aiolos, making them attractive agents for the treatment of hematological malignancies. However, based on a compound’s overall structure, differences in depth and efficiency of Ikaros and Aiolos degradation, as well as degradation of other proteins, e.g., GSPT1 or</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PDE6E, give individual MGs different therapeutic activities. Antitumor activity, immunomodulation capabilities, possible combinations strategies as well as the safety profile are all dependent on the select proteins degraded and extent of degradation.</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60" w:type="dxa"/>
            <w:vAlign w:val="bottom"/>
            <w:tcBorders>
              <w:top w:val="single" w:sz="8" w:color="auto"/>
              <w:left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b w:val="1"/>
                <w:bCs w:val="1"/>
                <w:color w:val="auto"/>
              </w:rPr>
              <w:t>Compound Name</w:t>
            </w:r>
          </w:p>
        </w:tc>
        <w:tc>
          <w:tcPr>
            <w:tcW w:w="2380" w:type="dxa"/>
            <w:vAlign w:val="bottom"/>
            <w:tcBorders>
              <w:top w:val="single" w:sz="8" w:color="auto"/>
              <w:right w:val="single" w:sz="8" w:color="auto"/>
            </w:tcBorders>
          </w:tcPr>
          <w:p>
            <w:pPr>
              <w:ind w:left="760"/>
              <w:spacing w:after="0" w:line="193" w:lineRule="exact"/>
              <w:rPr>
                <w:sz w:val="20"/>
                <w:szCs w:val="20"/>
                <w:color w:val="auto"/>
              </w:rPr>
            </w:pPr>
            <w:r>
              <w:rPr>
                <w:rFonts w:ascii="Arial" w:cs="Arial" w:eastAsia="Arial" w:hAnsi="Arial"/>
                <w:sz w:val="18"/>
                <w:szCs w:val="18"/>
                <w:b w:val="1"/>
                <w:bCs w:val="1"/>
                <w:color w:val="auto"/>
              </w:rPr>
              <w:t>Company</w:t>
            </w:r>
          </w:p>
        </w:tc>
        <w:tc>
          <w:tcPr>
            <w:tcW w:w="2360" w:type="dxa"/>
            <w:vAlign w:val="bottom"/>
            <w:tcBorders>
              <w:top w:val="single" w:sz="8" w:color="auto"/>
              <w:right w:val="single" w:sz="8" w:color="auto"/>
            </w:tcBorders>
          </w:tcPr>
          <w:p>
            <w:pPr>
              <w:ind w:left="280"/>
              <w:spacing w:after="0" w:line="193" w:lineRule="exact"/>
              <w:rPr>
                <w:sz w:val="20"/>
                <w:szCs w:val="20"/>
                <w:color w:val="auto"/>
              </w:rPr>
            </w:pPr>
            <w:r>
              <w:rPr>
                <w:rFonts w:ascii="Arial" w:cs="Arial" w:eastAsia="Arial" w:hAnsi="Arial"/>
                <w:sz w:val="18"/>
                <w:szCs w:val="18"/>
                <w:b w:val="1"/>
                <w:bCs w:val="1"/>
                <w:color w:val="auto"/>
              </w:rPr>
              <w:t>Main Protein Targets</w:t>
            </w:r>
          </w:p>
        </w:tc>
        <w:tc>
          <w:tcPr>
            <w:tcW w:w="3480" w:type="dxa"/>
            <w:vAlign w:val="bottom"/>
            <w:tcBorders>
              <w:top w:val="single" w:sz="8" w:color="auto"/>
              <w:right w:val="single" w:sz="8" w:color="auto"/>
            </w:tcBorders>
          </w:tcPr>
          <w:p>
            <w:pPr>
              <w:ind w:left="1260"/>
              <w:spacing w:after="0" w:line="193" w:lineRule="exact"/>
              <w:rPr>
                <w:sz w:val="20"/>
                <w:szCs w:val="20"/>
                <w:color w:val="auto"/>
              </w:rPr>
            </w:pPr>
            <w:r>
              <w:rPr>
                <w:rFonts w:ascii="Arial" w:cs="Arial" w:eastAsia="Arial" w:hAnsi="Arial"/>
                <w:sz w:val="18"/>
                <w:szCs w:val="18"/>
                <w:b w:val="1"/>
                <w:bCs w:val="1"/>
                <w:color w:val="auto"/>
              </w:rPr>
              <w:t>Indications</w:t>
            </w:r>
          </w:p>
        </w:tc>
      </w:tr>
      <w:tr>
        <w:trPr>
          <w:trHeight w:val="246"/>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(Phase of development)</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Iberdomide (CC-220)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Bristol Myers Squibb (BMS)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Ikaros/Aiolos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MM (Phase 2), NHL (Phase 1/2)</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CC-90009</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GSPT1,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MDS and AML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Mezigdomide (CC-92480)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R/R MM and ND MM (Phase 1/2)</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CC-99282</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(Phase 1/1b), CLL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CFT7455</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C4 Therapeutics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and MM (Phase 1)</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DKY709</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Novartis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Helios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AST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BTX-1188</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BioTheryX</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GSPT1,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AST, NHL and AML (Phase 1)</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Development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goal is to develop SP-2577 and SP-3164 for treatment of cancers while attempting to maximize return for investors. To achieve this goal, our strategy consists of a two-pronged approach: 1) speed-to-market by developing SP-2577 and SP-3164 in high unmet need indications and 2) expand the market by developing SP-2577 and SP-3164 in larger market indications.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 Sarcoma Patients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Ewing sarcoma is a rare pediatric cancer with a lack of treatment options. The U.S. Food and Drug Administration ("FDA") has put in place several different types of incentives for companies pursuing therapeutic treatments for such conditions. We have benefited from several of these incentives, including SP-2577’s orphan status designation and designation as a potential treatment for a “rare pediatric disease.” This means that if proven efficacious with a benefit-risk profile that the FDA judges to be positive and supportive of approval, SP-2577 could qualify for priority review and to receive a priority review voucher ("PRV"), although there can be no assurance that we will be able to do so. If received, we would have the ability to sell the PRV to other qualifying pharmaceutical companies. Additionally, in December 2019 we announced that SP-2577 had been granted Fast Track Designation by the FDA for the treatment of relapsed/refractory Ewing sarcoma patients. Fast Track is a process designed by the FDA to expedite the development and review of new drugs with the potential to treat serious or life-threatening conditions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and fill unmet medical needs. The aim is to streamline the drug development and review process by allowing for more frequent communications with the agency to assure that questions and issues are resolved quickly, which often leads to earlier drug approval and access by patients. We initiated a Phase 1/2 clinical trial in the third quarter of 2018 and in the first quarter of 2021 we announced that the recommended Phase 2 dose (RP2D) had been established and the dose expansion phase of the trial would begin. We also announced that we will be combining SP-2577 with a commonly administered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and 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line regimen, topotecan and cyclophosphamide. We hope that this modification will allow us to treat patients earlier in the continuum of care, increase the potential addressable patient population, and facilitate patient access to SP-2577. Additional clinical trials of SP-2577 will be necessary to receive FDA approval.</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Disease background</w:t>
      </w:r>
      <w:r>
        <w:rPr>
          <w:rFonts w:ascii="Arial" w:cs="Arial" w:eastAsia="Arial" w:hAnsi="Arial"/>
          <w:sz w:val="18"/>
          <w:szCs w:val="18"/>
          <w:color w:val="auto"/>
        </w:rPr>
        <w:t>: Ewing sarcoma is a devastating pediatric and young adult cancer for which there are no approved targeted therapies.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that we aim to help.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Ewing-related Sarcoma (FET-translocated Sarcoma) Patients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SP-2577’s proposed mechanism of action, preclinical data, and clinical data from our Advanced Solid Tumor trial (see below), we announced that we expanded the Ewing sarcoma dose expansion trial to include a cohort of Ewing-related sarcomas (also referred to as FET-translocated sarcomas). These sarcomas, like Ewing sarcoma, are caused by a chromosomal translocation that involves the FET-family of genes (EWSR1, FUS, or TAF15) which are also found to co-localize with LSD1. Sarcomas of this type include myxoid liposarcoma, desmoplastic small round cell tumors, clear cell sarcoma and several other sarcoma subtypes. We believe that there are approximately 1,500 patients with FET-translocated sarcomas diagnosed each year in the United States. Of these, 20-40% are advanced stage patients with a 30-50% 5-year survival. Current treatments are rarely curative and only delay disease progression on average for ~5 months.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Development of SP-2577 in FET-translocated sarcomas provides us with additional paths to SP-2577's approval. In addition, because FET-translocated sarcomas are orphan diseases, many of the regulatory incentives for pursuing Ewing sarcoma may also apply to FET-translocated sarcomas. In our ongoing Phase 1/2 trial, we will enroll up to 30 patients with FET-translocated sarcomas. Fifteen of the 30 patients will be of the myxoid liposarcoma subtype, which is the most common of the FET-translocated sarcoma according to current data. Hence, we will be treating three patient groups across Ewing and Ewing-related sarcomas, each with a potential path to regulatory approval and commercial opportunity. Additional clinical trials will be necessary to receive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SP-2577 Market by Pursuing Large Market Indications</w:t>
      </w:r>
    </w:p>
    <w:p>
      <w:pPr>
        <w:spacing w:after="0" w:line="23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LSD1 can interact with over 60 regulatory proteins other than FET-fusion oncoproteins, we believe that LSD1 may also play a critical role in progression of various other cancer types. Preliminary efficacy data from our previous Phase 1/2 Advanced Solid Tumor trial supported this notion and work is ongoing to identify large market solid tumor indications with the highest potential for SP-2577 success. Continued progress in this area will support the market expansion portion of our strategy.</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to solid tumors, SP-2577 has shown promising preclinical activity in hematologic cancers. In 2021 we announced the initiation of an Investigator Initiated Trial studying SP-2577 in combination with azacitidine for the treatment of patients with myelodysplastic syndromes (MDS) or chronic myelomonocytic leukemia (CMML). Myelodysplastic syndromes can progress into Acute Myeloid Leukemia (AML) and data from our ongoing trial intent to inform development of SP-2577 in hematologic cancers (also referred to as “liquid tumors" or "blood cancer”),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including AML. The American Cancer Society estimates there were almost 20,000 new cases of AML in the US alone in 2020.</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works have sparked interest in combining LSD1 inhibitors with checkpoint inhibitors. We are conducting preclinical work with SP-2577 in this area.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lists our programs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714875" cy="2734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48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Development</w:t>
      </w:r>
    </w:p>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plan is to develop SP-3164 in high unmet need hematological and solid tumor indications. SP-3164's development in hematological indications leverages clinical safety and efficacy data demonstrated by avadomide in hematological malignancies (e.g., Diffuse Large B cell Lymphoma, Follicular Lymphoma) across several clinical trials. SP-3164 is the stabilized, active S-enantiomer of avadomide, which exists as a 1:1 ratio of the S and R enantiomers. However, only the S-enantiomer is the active, anti-cancer species. Therefore, because SP-3164 is the stabilized S-enantiomer, it has the potential to show improved therapy and safety over avadomide. This was demonstrated in early preclinical mouse models of multiple myeloma. In addition to having a clear development path in hematological cancers, we believe SP-3164 also has potential in solid tumors. We are conducting preclinical work to identify the most promising indications and combinations for SP-3164's development in solid tumors.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SP-3164 Competitive Differentiation</w:t>
      </w:r>
    </w:p>
    <w:p>
      <w:pPr>
        <w:spacing w:after="0" w:line="27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Although SP-3164 is currently in IND-enabling studies, we believe it has a higher chance of approval than other similar stage assets due to the extensive preclinical and clinical studies with the first-generation compound, avadomide. Furthermore, compared to MGs currently on the market including Revlimid® and Pomalyst®, SP-3164 has potential to show a more robust degradation of Ikaros and Aiolos, improved immunomodulatory effects, and differential profile of proteins degraded, based on avadomide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Ewing Sarcoma and Ewing-Related Sarcoma</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conducting a multi-site, open-label Phase 1/2 trial of SP-2577 for treatment of patients with relapsed/refractory Ewing sarcoma or Ewing-related sarcoma (also referred to as FET-translocated sarcoma). Patients must have histologic confirmation of Ewing sarcoma or Ewing-related sarcoma that is refractory or recurrent and must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have received one prior course of therapy for the disease. Among other inclusion criteria, patients must be 12 years or older and have a life expectancy of greater than 4 months.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objectives of this clinical trial are to study the safety and tolerability of SP-2577. Secondary objectives include pharmacokinetic assessment, food effects on drug pharmacokinetics, determination of the maximum tolerated dose (“MTD”) and assessment of preliminary signs of anti-tumor activity. Additionally, the trial will explore the use of circulating tumor cells (“CTCs”), cell-free DNA (“cfDNA”), Hemoglobin F and changes in molecular signatures of the tumor as pharmacodynamic markers of disease burden, drug effect and tumor response.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2021, we announced that we reached the recommended phase 2 dose and would initiate the dose expansion portion of the trial. Ewing sarcoma patients will be treated in combination with topotecan/cyclophosphamide. FET-translocated sarcoma patients will be treated with single-agent SP-2577.</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thirteen active sites enrolling patients across the United States in our Phase 1/2 trial of SP-2577 for treatment of Ewing sarcoma and FET-translocated sarcoma.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Hematological Cancers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2021 we announced the initiation of an Investigator Initiated Trial studying SP-2577 in combination with azacitidine for the treatment of patients with myelodysplastic syndromes (MDS) or chronic myelomonocytic leukemia (CMML). The Phase 1/2 trial will be led by Dr. Guillermo Montalban-Bravo from the Department of Leukemia at The University of Texas MD Anderson Cancer Center. The dose-escalation stage of the Phase 1/2 trial will enroll patients aged 18 and older with MDS or CMML. Patients will receive 75 mg/m2 of azacitidine, administered intravenously (IV) or subcutaneously (SC), on days one through seven of each 28-day cycle in combination with an escalating, twice-daily dose of seclidemstat administered as an oral tablet. Once the MTD of the combination is determined by the Safety Review Committee, the dose-expansion stage is planned that will include additional patients to confirm the safety and tolerability profile for seclidemstat in combination with azacitidine and capture efficacy data regarding overall response rate, duration of response, leukemia-free survival, relapse-free survival, and overall survival.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Development Programs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aforementioned clinical trials, we are exploring other opportunities with SP-2577, in combination with immunotherapy agents (checkpoint inhibitors), which include patients with select tumor mutations and, in combination with anti-cancer treatment in hematological malignancies.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Recent preclinical studies demonstrated that LSD1 inhibition has the potential to sensitize refractory patients to checkpoint inhibitors. While checkpoint inhibitors have been successful in a subset of patients, they remain ineffective in a large portion of cancer patients. Considering that the checkpoint inhibitor market is already a multibillion-dollar market, drugs that can be used to increase the clinical benefit of checkpoint inhibitors are attractive. Importantly, recent data shows that certain mutations in chromatin modifying complexes (e.g. mutations in the SWI/SNF complex) could increase tumor sensitivity to LSD1’s immunomodulatory effects. We are currently assessing the potential of SP-2577 to be combined with checkpoint inhibitors through ongoing and planned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strategic agreements that may have an impact on our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Utah Research Foundation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2011, we entered into an Exclusive License Agreement with the University of Utah Research Foundation (the “University of Utah”), for the exclusive license with respect to patent rights protecting SP-2577 and related compounds. The patent rights were for a provisional patent. The term of agreement is until the last-to-expire of the patent rights licensed under the agreement, which is expected to be as late as 2037, unless otherwise terminated by law or by the parties pursuant to the agreement.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further consideration of the rights granted by the University of Utah, we agreed to pay all past patent expenses incurred in filing and prosecuting the patent application, and pay all future patent expenses incurred including filing, prosecuting, enforcing and maintaining the patent right.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agreement, we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U.S., the European Union and Japan not exceeding $150,000 in the aggregate and (iv) a milestone payment in an agreed dollar amount upon the two year anniversary of the first commercial sale of a licensed product not exceeding $1.0 million.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Either party has a right to terminate the agreement for a breach of or default under the agreement following a 60-day cure period. If we ceases to carry on our business with respect to the patent right granted under the agreement, the University of Utah has a right to terminate the agreement upon 60 days’ notice. In addition, we may terminate the agreement at any time upon ninety days’ notice to the University of Utah.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Prevention and Research Institute of Texas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we entered into a Cancer Research Grant Contract with Cancer Prevention and Research Institute of Texas (“CPRIT”). The grant contract was for an amount up to $18.7 million to fund the development of LSD-1 inhibitor. The grant was subsequently amended to remove $2.6 million related to a discontinued prostate cancer program. This is a 3-year grant award which originally expired on May 31, 2019. The grant now expires on May 31, 2022.</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agreement, we must provide matching funds equal to 50% of the funds provided by CPRIT. We must make a good faith effort to spend at least 50% of the CPRIT and matching funds within the State of Texas with Texas-based employees or contractors.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commercialization of SP-2577, and if our revenue is above a specified dollar threshold, we will be required to pay 1.0% of such revenue during the revenue term until CPRIT receives an amount equal to a single digit multiple of the total grant award. The revenue term is determined on a country by country basis as revenue during the period beginning on the date of the first commercial sale of a product or service until there no longer exists any exclusivity for a commercial product or service in such country, which may be as late as 2037. In the event CPRIT receives such specified percentage of the total grant award from us during the revenue term, we will continue to pay CPRIT a reduced revenue sharing percentage during the remainder of the revenue term. Additionally, if we are required to obtain a license under the intellectual property rights of one or more third parties in order to sell commercial products in any given country, then the revenue sharing percentages may be reduced.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agreement may be terminated by the mutual consent of the parties or by us at our discretion. CPRIT may also terminate the agreement upon an event of default, which includes our failure to conduct the project within the scope agreed by the parties, our material breach of the agreement, our failure to comply with applicable law, or bankruptcy or discontinuation of our business operations, among others. In addition, the agreement may be terminated by CPRIT if the allocated funds become legally unavailable during the term and CPRIT is unable to obtain additional funds for such purposes. If CPRIT terminates the agreement prior to the expiration due to an event of default or if we terminate the agreement, CPRIT may require us to repay some or all of the disbursed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DeuteRX, LLC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January 12, 2022, we entered into the ASCA with DeuteRx, LLC, pursuant to which we acquired the Purchased Assets.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Purchased Assets were purchased for an aggregate purchase price of $1,500,000 and the delivery of one million (1,000,000) shares of our common stock. We also agreed to pay to Seller (i) milestone payments upon the occurrence of certain events and (ii) royalty payments. All cost related to the transaction will be immediately expensed in 2022 as acquired in-process research and development expenses since SP-3164 has not yet achieved regulatory approval and, absent obtaining such approval, has no alternative future use. A member of the Company’s Board of Directors also serves as a consultant to the Seller and is employed by an affiliate of the Seller.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Simultaneously with our entry into the ASCA, we and DeuteRX entered into the R&amp;D Services Agreement, which sets forth the terms and conditions upon which DeuteRx will provide services to us, including the implementation and performance of a Non-Clinical and Clinical Development Scope of 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own or operate manufacturing facilities for the production of SP-2577 or our other product candidates, nor do we have plans to develop our own manufacturing operations in the foreseeable future. We currently depend on third-party contract manufacturers for all our required raw materials, active pharmaceutical ingredients, and finished product candidates for our clinical trials. We currently employs internal resources and third-party consultants to manage our manufacturing contractors.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not yet defined our sales, marketing or product distribution strategy for SP-2577 or any of our other product candidates because our product candidates are still in pre-clinical or early-stage clinical development. Our commercial strategy may include the use of strategic partners, distributors, a contract sale force, or the establishment of our own commercial and specialty sales force. We plan to further evaluate these alternatives when and if we approach FDA approval for one of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we had a worldwide portfolio of 71 patents and patent applications of which 64 were issued or allowed and 7 are pending applications. This portfolio includes (i) composition of matter and methods of use patents on our lead candidate, SP-2577 and (ii) the patent portfolio of 5 patent families with 13 granted patents and 4 pending applications acquired in the DeutRx Transaction. Seven of the issued patents acquired in the DeutRx Transaction have claims that cover the composition of matter of SP-3164 with a patent term expiration of January 14, 2034. Thepatents and patent applications related to SP-2577 are owned by the University of Utah Research Foundation and are exclusively licensed to us.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United States, our anticipated first target market, we have two composition of matter patents (US#8,987,335 and US#9,266,838) and two methods of use patents (US#9,642,857, US#9,555,024) protecting SP-2577 and related compounds which will expire in 2032.</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patent protection, we seek to rely on trade secret protection, trademark protection and know-how to expand our proprietary position around our chemistry, technology and other discoveries and inventions that we consider important to our business. We also seek to protect our intellectual property in part by entering into confidentiality agreements with our employees, consultants, scientific advisors, clinical investigators and other contractors and by requiring our employees, commercial contractors, and certain consultants and investigators, to enter into invention assignment agreements that grant us ownership of any discoveries or inventions made by them. Further, we seek trademark protection in the United States and internationally where available and when we deem appropriate.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 LSD1 Inhibition and Competitive Differentiation</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 According to clinicaltrials.gov, there are four targeted LSD1 inhibitors and one dual LSD1/HDAC6 inhibitor (JBI-295) in Phase 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clinical</w:t>
            </w:r>
          </w:p>
        </w:tc>
        <w:tc>
          <w:tcPr>
            <w:tcW w:w="1520" w:type="dxa"/>
            <w:vAlign w:val="bottom"/>
          </w:tcPr>
          <w:p>
            <w:pPr>
              <w:ind w:left="240"/>
              <w:spacing w:after="0"/>
              <w:rPr>
                <w:sz w:val="20"/>
                <w:szCs w:val="20"/>
                <w:color w:val="auto"/>
              </w:rPr>
            </w:pPr>
            <w:r>
              <w:rPr>
                <w:rFonts w:ascii="Arial" w:cs="Arial" w:eastAsia="Arial" w:hAnsi="Arial"/>
                <w:sz w:val="18"/>
                <w:szCs w:val="18"/>
                <w:color w:val="auto"/>
              </w:rPr>
              <w:t>development</w:t>
            </w:r>
          </w:p>
        </w:tc>
        <w:tc>
          <w:tcPr>
            <w:tcW w:w="680" w:type="dxa"/>
            <w:vAlign w:val="bottom"/>
          </w:tcPr>
          <w:p>
            <w:pPr>
              <w:ind w:left="240"/>
              <w:spacing w:after="0"/>
              <w:rPr>
                <w:sz w:val="20"/>
                <w:szCs w:val="20"/>
                <w:color w:val="auto"/>
              </w:rPr>
            </w:pPr>
            <w:r>
              <w:rPr>
                <w:rFonts w:ascii="Arial" w:cs="Arial" w:eastAsia="Arial" w:hAnsi="Arial"/>
                <w:sz w:val="18"/>
                <w:szCs w:val="18"/>
                <w:color w:val="auto"/>
              </w:rPr>
              <w:t>for</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a</w:t>
            </w:r>
          </w:p>
        </w:tc>
        <w:tc>
          <w:tcPr>
            <w:tcW w:w="1400" w:type="dxa"/>
            <w:vAlign w:val="bottom"/>
          </w:tcPr>
          <w:p>
            <w:pPr>
              <w:ind w:left="460"/>
              <w:spacing w:after="0"/>
              <w:rPr>
                <w:sz w:val="20"/>
                <w:szCs w:val="20"/>
                <w:color w:val="auto"/>
              </w:rPr>
            </w:pPr>
            <w:r>
              <w:rPr>
                <w:rFonts w:ascii="Arial" w:cs="Arial" w:eastAsia="Arial" w:hAnsi="Arial"/>
                <w:sz w:val="18"/>
                <w:szCs w:val="18"/>
                <w:color w:val="auto"/>
              </w:rPr>
              <w:t>variety</w:t>
            </w:r>
          </w:p>
        </w:tc>
        <w:tc>
          <w:tcPr>
            <w:tcW w:w="520" w:type="dxa"/>
            <w:vAlign w:val="bottom"/>
          </w:tcPr>
          <w:p>
            <w:pPr>
              <w:ind w:left="80"/>
              <w:spacing w:after="0"/>
              <w:rPr>
                <w:sz w:val="20"/>
                <w:szCs w:val="20"/>
                <w:color w:val="auto"/>
              </w:rPr>
            </w:pPr>
            <w:r>
              <w:rPr>
                <w:rFonts w:ascii="Arial" w:cs="Arial" w:eastAsia="Arial" w:hAnsi="Arial"/>
                <w:sz w:val="18"/>
                <w:szCs w:val="18"/>
                <w:color w:val="auto"/>
              </w:rPr>
              <w:t>of</w:t>
            </w:r>
          </w:p>
        </w:tc>
        <w:tc>
          <w:tcPr>
            <w:tcW w:w="960" w:type="dxa"/>
            <w:vAlign w:val="bottom"/>
          </w:tcPr>
          <w:p>
            <w:pPr>
              <w:ind w:left="180"/>
              <w:spacing w:after="0"/>
              <w:rPr>
                <w:sz w:val="20"/>
                <w:szCs w:val="20"/>
                <w:color w:val="auto"/>
              </w:rPr>
            </w:pPr>
            <w:r>
              <w:rPr>
                <w:rFonts w:ascii="Arial" w:cs="Arial" w:eastAsia="Arial" w:hAnsi="Arial"/>
                <w:sz w:val="18"/>
                <w:szCs w:val="18"/>
                <w:color w:val="auto"/>
              </w:rPr>
              <w:t>cancer</w:t>
            </w:r>
          </w:p>
        </w:tc>
        <w:tc>
          <w:tcPr>
            <w:tcW w:w="1160" w:type="dxa"/>
            <w:vAlign w:val="bottom"/>
          </w:tcPr>
          <w:p>
            <w:pPr>
              <w:ind w:left="240"/>
              <w:spacing w:after="0"/>
              <w:rPr>
                <w:sz w:val="20"/>
                <w:szCs w:val="20"/>
                <w:color w:val="auto"/>
              </w:rPr>
            </w:pPr>
            <w:r>
              <w:rPr>
                <w:rFonts w:ascii="Arial" w:cs="Arial" w:eastAsia="Arial" w:hAnsi="Arial"/>
                <w:sz w:val="18"/>
                <w:szCs w:val="18"/>
                <w:color w:val="auto"/>
              </w:rPr>
              <w:t>types</w:t>
            </w:r>
          </w:p>
        </w:tc>
        <w:tc>
          <w:tcPr>
            <w:tcW w:w="820" w:type="dxa"/>
            <w:vAlign w:val="bottom"/>
          </w:tcPr>
          <w:p>
            <w:pPr>
              <w:spacing w:after="0"/>
              <w:rPr>
                <w:sz w:val="20"/>
                <w:szCs w:val="20"/>
                <w:color w:val="auto"/>
              </w:rPr>
            </w:pPr>
            <w:r>
              <w:rPr>
                <w:rFonts w:ascii="Arial" w:cs="Arial" w:eastAsia="Arial" w:hAnsi="Arial"/>
                <w:sz w:val="18"/>
                <w:szCs w:val="18"/>
                <w:color w:val="auto"/>
              </w:rPr>
              <w:t>(shown</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540" w:type="dxa"/>
            <w:vAlign w:val="bottom"/>
          </w:tcPr>
          <w:p>
            <w:pPr>
              <w:ind w:left="240"/>
              <w:spacing w:after="0"/>
              <w:rPr>
                <w:sz w:val="20"/>
                <w:szCs w:val="20"/>
                <w:color w:val="auto"/>
              </w:rPr>
            </w:pPr>
            <w:r>
              <w:rPr>
                <w:rFonts w:ascii="Arial" w:cs="Arial" w:eastAsia="Arial" w:hAnsi="Arial"/>
                <w:sz w:val="18"/>
                <w:szCs w:val="18"/>
                <w:color w:val="auto"/>
              </w:rPr>
              <w:t>the</w:t>
            </w:r>
          </w:p>
        </w:tc>
        <w:tc>
          <w:tcPr>
            <w:tcW w:w="1160" w:type="dxa"/>
            <w:vAlign w:val="bottom"/>
          </w:tcPr>
          <w:p>
            <w:pPr>
              <w:ind w:left="420"/>
              <w:spacing w:after="0"/>
              <w:rPr>
                <w:sz w:val="20"/>
                <w:szCs w:val="20"/>
                <w:color w:val="auto"/>
              </w:rPr>
            </w:pPr>
            <w:r>
              <w:rPr>
                <w:rFonts w:ascii="Arial" w:cs="Arial" w:eastAsia="Arial" w:hAnsi="Arial"/>
                <w:sz w:val="18"/>
                <w:szCs w:val="18"/>
                <w:color w:val="auto"/>
              </w:rPr>
              <w:t>table</w:t>
            </w:r>
          </w:p>
        </w:tc>
        <w:tc>
          <w:tcPr>
            <w:tcW w:w="720" w:type="dxa"/>
            <w:vAlign w:val="bottom"/>
          </w:tcPr>
          <w:p>
            <w:pPr>
              <w:ind w:left="140"/>
              <w:spacing w:after="0"/>
              <w:rPr>
                <w:sz w:val="20"/>
                <w:szCs w:val="20"/>
                <w:color w:val="auto"/>
              </w:rPr>
            </w:pPr>
            <w:r>
              <w:rPr>
                <w:rFonts w:ascii="Arial" w:cs="Arial" w:eastAsia="Arial" w:hAnsi="Arial"/>
                <w:sz w:val="18"/>
                <w:szCs w:val="18"/>
                <w:color w:val="auto"/>
                <w:w w:val="96"/>
              </w:rPr>
              <w:t>below).</w:t>
            </w:r>
          </w:p>
        </w:tc>
      </w:tr>
      <w:tr>
        <w:trPr>
          <w:trHeight w:val="270"/>
        </w:trPr>
        <w:tc>
          <w:tcPr>
            <w:tcW w:w="780" w:type="dxa"/>
            <w:vAlign w:val="bottom"/>
          </w:tcPr>
          <w:p>
            <w:pPr>
              <w:spacing w:after="0"/>
              <w:rPr>
                <w:sz w:val="23"/>
                <w:szCs w:val="23"/>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Company</w:t>
            </w: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8"/>
              </w:rPr>
              <w:t>Binding Mechanism</w:t>
            </w:r>
          </w:p>
        </w:tc>
        <w:tc>
          <w:tcPr>
            <w:tcW w:w="960" w:type="dxa"/>
            <w:vAlign w:val="bottom"/>
          </w:tcPr>
          <w:p>
            <w:pPr>
              <w:spacing w:after="0"/>
              <w:rPr>
                <w:sz w:val="23"/>
                <w:szCs w:val="23"/>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9"/>
              </w:rPr>
              <w:t>Drug Name</w:t>
            </w:r>
          </w:p>
        </w:tc>
        <w:tc>
          <w:tcPr>
            <w:tcW w:w="620" w:type="dxa"/>
            <w:vAlign w:val="bottom"/>
          </w:tcPr>
          <w:p>
            <w:pPr>
              <w:spacing w:after="0"/>
              <w:rPr>
                <w:sz w:val="23"/>
                <w:szCs w:val="23"/>
                <w:color w:val="auto"/>
              </w:rPr>
            </w:pPr>
          </w:p>
        </w:tc>
        <w:tc>
          <w:tcPr>
            <w:tcW w:w="1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Latest Phase</w:t>
            </w:r>
          </w:p>
        </w:tc>
        <w:tc>
          <w:tcPr>
            <w:tcW w:w="720" w:type="dxa"/>
            <w:vAlign w:val="bottom"/>
          </w:tcPr>
          <w:p>
            <w:pPr>
              <w:spacing w:after="0"/>
              <w:rPr>
                <w:sz w:val="23"/>
                <w:szCs w:val="23"/>
                <w:color w:val="auto"/>
              </w:rPr>
            </w:pPr>
          </w:p>
        </w:tc>
      </w:tr>
      <w:tr>
        <w:trPr>
          <w:trHeight w:val="256"/>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rPr>
              <w:t>Salarius</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SP-2577</w:t>
            </w: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8"/>
              </w:rPr>
              <w:t>Phase 1/2</w:t>
            </w:r>
          </w:p>
        </w:tc>
        <w:tc>
          <w:tcPr>
            <w:tcW w:w="7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Oryzon</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color w:val="auto"/>
                <w:w w:val="96"/>
              </w:rPr>
              <w:t>ORY-1001</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7"/>
        </w:trPr>
        <w:tc>
          <w:tcPr>
            <w:tcW w:w="2980" w:type="dxa"/>
            <w:vAlign w:val="bottom"/>
            <w:gridSpan w:val="3"/>
          </w:tcPr>
          <w:p>
            <w:pPr>
              <w:jc w:val="center"/>
              <w:ind w:right="70"/>
              <w:spacing w:after="0"/>
              <w:rPr>
                <w:sz w:val="20"/>
                <w:szCs w:val="20"/>
                <w:color w:val="auto"/>
              </w:rPr>
            </w:pPr>
            <w:r>
              <w:rPr>
                <w:rFonts w:ascii="Arial" w:cs="Arial" w:eastAsia="Arial" w:hAnsi="Arial"/>
                <w:sz w:val="18"/>
                <w:szCs w:val="18"/>
                <w:color w:val="auto"/>
              </w:rPr>
              <w:t>Celgene/Bristol Myers Squibb</w:t>
            </w: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CC-90011</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Imago</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color w:val="auto"/>
                <w:w w:val="99"/>
              </w:rPr>
              <w:t>IMG-7289</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6"/>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Jubilant</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JBI-295</w:t>
            </w: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1</w:t>
            </w:r>
          </w:p>
        </w:tc>
        <w:tc>
          <w:tcPr>
            <w:tcW w:w="720" w:type="dxa"/>
            <w:vAlign w:val="bottom"/>
          </w:tcPr>
          <w:p>
            <w:pPr>
              <w:spacing w:after="0"/>
              <w:rPr>
                <w:sz w:val="22"/>
                <w:szCs w:val="22"/>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SP-2577 is differentiated in its ability to effectively inhibit LSD1’s scaffolding properties in addition to LSD1’s demethylation activity. Compared to irreversible LSD1 inhibitors, our molecule has a novel binding mechanism (reversible as opposed to irreversible) and binding location (closer to substrate binding site as opposed to the FAD cofactor of LSD1). This was demonstrated in a study conducted by A. Sehrawat, et al. in “LSD1 activates a Lethal Prostate Cancer Gene Network Independently of its Demethylase Function” with SP-2509, an analogue of SP-2577. Compared to LSD1 inhibitors in clinical development, SP-2577 binds to LSD1 in a different manner, which we hypothesizes may grant it therapeutic advantages over the competition. To further justify this hypothesis, we compared the ability of SP-2577 and an irreversible LSD1 inhibitor, specifically GSK-LSD1 (analogue to GSK’s former clinical candidate), to affect cancer cell growth in vitro. SP-2577 was able to better inhibit cell growth across 32 cancer cell types compared to GSK-LSD1.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Protein Degradation and Competitive Differentiation</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field of Targeted Protein Degradation (TPD) is rapidly growing and attracting a lot of interest from the biggest pharmaceutical companies. The two most common types of protein degraders are molecular glues (MGs) and proteolysis-targeting chimeras (PROTACs). SP-3164 is a next-generation CRBN-binding MG. There are currently seven MGs in clinical development (see table below) and a few companies in IND-enabling studies. Due to structural similarities (aminoglutarimide moiety), most MGs cause degradation of hematopoietic lineage factors, Ikaros and Aiolos, making them attractive agents for the treatment of hematological malignancies. However, based on a compound’s overall structure, differences in depth and efficiency of Ikaros and Aiolos degradation, as well as degradation of other proteins, e.g., GSPT1 or</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PDE6E, give individual MGs different therapeutic activities. Antitumor activity, immunomodulation, safety profile, and possible combinations strategies are all dependent on the select proteins degraded and extent of degradation.</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60" w:type="dxa"/>
            <w:vAlign w:val="bottom"/>
            <w:tcBorders>
              <w:top w:val="single" w:sz="8" w:color="auto"/>
              <w:left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b w:val="1"/>
                <w:bCs w:val="1"/>
                <w:color w:val="auto"/>
              </w:rPr>
              <w:t>Compound Name</w:t>
            </w:r>
          </w:p>
        </w:tc>
        <w:tc>
          <w:tcPr>
            <w:tcW w:w="2380" w:type="dxa"/>
            <w:vAlign w:val="bottom"/>
            <w:tcBorders>
              <w:top w:val="single" w:sz="8" w:color="auto"/>
              <w:right w:val="single" w:sz="8" w:color="auto"/>
            </w:tcBorders>
          </w:tcPr>
          <w:p>
            <w:pPr>
              <w:ind w:left="760"/>
              <w:spacing w:after="0" w:line="193" w:lineRule="exact"/>
              <w:rPr>
                <w:sz w:val="20"/>
                <w:szCs w:val="20"/>
                <w:color w:val="auto"/>
              </w:rPr>
            </w:pPr>
            <w:r>
              <w:rPr>
                <w:rFonts w:ascii="Arial" w:cs="Arial" w:eastAsia="Arial" w:hAnsi="Arial"/>
                <w:sz w:val="18"/>
                <w:szCs w:val="18"/>
                <w:b w:val="1"/>
                <w:bCs w:val="1"/>
                <w:color w:val="auto"/>
              </w:rPr>
              <w:t>Company</w:t>
            </w:r>
          </w:p>
        </w:tc>
        <w:tc>
          <w:tcPr>
            <w:tcW w:w="2360" w:type="dxa"/>
            <w:vAlign w:val="bottom"/>
            <w:tcBorders>
              <w:top w:val="single" w:sz="8" w:color="auto"/>
              <w:right w:val="single" w:sz="8" w:color="auto"/>
            </w:tcBorders>
          </w:tcPr>
          <w:p>
            <w:pPr>
              <w:ind w:left="280"/>
              <w:spacing w:after="0" w:line="193" w:lineRule="exact"/>
              <w:rPr>
                <w:sz w:val="20"/>
                <w:szCs w:val="20"/>
                <w:color w:val="auto"/>
              </w:rPr>
            </w:pPr>
            <w:r>
              <w:rPr>
                <w:rFonts w:ascii="Arial" w:cs="Arial" w:eastAsia="Arial" w:hAnsi="Arial"/>
                <w:sz w:val="18"/>
                <w:szCs w:val="18"/>
                <w:b w:val="1"/>
                <w:bCs w:val="1"/>
                <w:color w:val="auto"/>
              </w:rPr>
              <w:t>Main Protein Targets</w:t>
            </w:r>
          </w:p>
        </w:tc>
        <w:tc>
          <w:tcPr>
            <w:tcW w:w="3480" w:type="dxa"/>
            <w:vAlign w:val="bottom"/>
            <w:tcBorders>
              <w:top w:val="single" w:sz="8" w:color="auto"/>
              <w:right w:val="single" w:sz="8" w:color="auto"/>
            </w:tcBorders>
          </w:tcPr>
          <w:p>
            <w:pPr>
              <w:ind w:left="1260"/>
              <w:spacing w:after="0" w:line="193" w:lineRule="exact"/>
              <w:rPr>
                <w:sz w:val="20"/>
                <w:szCs w:val="20"/>
                <w:color w:val="auto"/>
              </w:rPr>
            </w:pPr>
            <w:r>
              <w:rPr>
                <w:rFonts w:ascii="Arial" w:cs="Arial" w:eastAsia="Arial" w:hAnsi="Arial"/>
                <w:sz w:val="18"/>
                <w:szCs w:val="18"/>
                <w:b w:val="1"/>
                <w:bCs w:val="1"/>
                <w:color w:val="auto"/>
              </w:rPr>
              <w:t>Indications</w:t>
            </w:r>
          </w:p>
        </w:tc>
      </w:tr>
      <w:tr>
        <w:trPr>
          <w:trHeight w:val="246"/>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Indications</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Iberdomide (CC-220)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Bristol Myers Squibb (BMS)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Ikaros/Aiolos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MM (Phase 2), NHL (Phase 1/2)</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CC-90009</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GSPT1,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MDS and AML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Mezigdomide (CC-92480)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R/R MM and ND MM (Phase 1/2)</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CC-99282</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(Phase 1/1b), CLL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CFT7455</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C4 Therapeutics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and MM (Phase 1)</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DKY709</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Novartis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Helios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AST (Phase 1)</w:t>
            </w:r>
          </w:p>
        </w:tc>
      </w:tr>
      <w:tr>
        <w:trPr>
          <w:trHeight w:val="236"/>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BTX-1188</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BioTheryX</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GSPT1,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AST, NHL and AML (Phase 1)</w:t>
            </w:r>
          </w:p>
        </w:tc>
      </w:tr>
    </w:tbl>
    <w:p>
      <w:pPr>
        <w:spacing w:after="0" w:line="3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Although SP-3164 is in IND-enabling studies, we believe it has a higher chance of approval compared to compounds currently in Phase 1 trials or earlier due to the extensive preclinical and clinical studies with the first-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generation compound, avadomide. Furthermore, compared to MGs currently on the market including Revlimid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Pomalyst</w:t>
      </w:r>
      <w:r>
        <w:rPr>
          <w:rFonts w:ascii="Arial" w:cs="Arial" w:eastAsia="Arial" w:hAnsi="Arial"/>
          <w:sz w:val="23"/>
          <w:szCs w:val="23"/>
          <w:color w:val="auto"/>
          <w:vertAlign w:val="superscript"/>
        </w:rPr>
        <w:t>®</w:t>
      </w:r>
      <w:r>
        <w:rPr>
          <w:rFonts w:ascii="Arial" w:cs="Arial" w:eastAsia="Arial" w:hAnsi="Arial"/>
          <w:sz w:val="18"/>
          <w:szCs w:val="18"/>
          <w:color w:val="auto"/>
        </w:rPr>
        <w:t>, SP-3164 has potential to show a more robust degradation of Ikaros and Aiolos, improved immunomodulatory effects, and differential profile of proteins degraded, based on avadomide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and other federal and state statutes and regulations, govern, among other things, the research, development, testing, manufacture, quality control, safety, effectiveness, storage, recordkeeping, approval, labeling, promotion and marketing, distribution, post-approval monitoring and reporting, sampling and import and export of pharmaceutical products. We cannot market a drug product candidate in the United States until the drug has received FDA approval.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drug may be marketed in the United States generally include the following:</w:t>
      </w:r>
    </w:p>
    <w:p>
      <w:pPr>
        <w:spacing w:after="0" w:line="212" w:lineRule="exact"/>
        <w:rPr>
          <w:sz w:val="20"/>
          <w:szCs w:val="20"/>
          <w:color w:val="auto"/>
        </w:rPr>
      </w:pPr>
    </w:p>
    <w:p>
      <w:pPr>
        <w:jc w:val="both"/>
        <w:ind w:left="66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animal studies in accordance with the FDA’s Good Laboratory Practices ("GLP") regulations, applicable requirements for the humane use of laboratory animals, such as the Animal Welfare Act or other applicable regulations;</w:t>
      </w:r>
    </w:p>
    <w:p>
      <w:pPr>
        <w:spacing w:after="0" w:line="20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for human clinical testing, which must be deemed effective before human clinical trials may begin;</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overseeing each clinical site before each trial may be initiated at that site;</w:t>
      </w:r>
    </w:p>
    <w:p>
      <w:pPr>
        <w:spacing w:after="0" w:line="130"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 requirements , and any additional requirements for the protection of human research subjects and their health information,to establish the safety and efficacy of the drug for each proposed indication;</w:t>
      </w:r>
    </w:p>
    <w:p>
      <w:pPr>
        <w:spacing w:after="0" w:line="190"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 New Drug Approval (“NDA”) for marketing approval that includes substantial evidence of safety and effectiveness from results of clinical trials, as well as the results of preclinical testing, detailed information about the chemistry, manufacturing and controls, and proposed labeling and packaging for the product candidate;</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consideration by an FDA Advisory Committee, if applicable;</w:t>
      </w:r>
    </w:p>
    <w:p>
      <w:pPr>
        <w:spacing w:after="0" w:line="252" w:lineRule="exact"/>
        <w:rPr>
          <w:rFonts w:ascii="Arial" w:cs="Arial" w:eastAsia="Arial" w:hAnsi="Arial"/>
          <w:sz w:val="18"/>
          <w:szCs w:val="18"/>
          <w:color w:val="auto"/>
        </w:rPr>
      </w:pPr>
    </w:p>
    <w:p>
      <w:pPr>
        <w:ind w:left="660" w:right="20" w:hanging="328"/>
        <w:spacing w:after="0" w:line="22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satisfactory completion of potential FDA audits of the preclinical study and clinical trial sites that generated the data in support of the NDA;</w:t>
      </w:r>
    </w:p>
    <w:p>
      <w:pPr>
        <w:spacing w:after="0" w:line="216"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spacing w:after="0" w:line="134"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 including agreement on post-marketing commitments, if applicable.</w:t>
      </w:r>
    </w:p>
    <w:p>
      <w:pPr>
        <w:spacing w:after="0" w:line="189"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and the Animal Welfare Act.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 Even after the IND has gone into effect and clinical testing has begun, the FDA may also impose clinical holds on clinical trials due to safety concerns or non-compliance. If the FDA imposes a clinical hold, studies may not recommence without FDA authorization and then only under terms authorized by the FDA.</w:t>
      </w:r>
    </w:p>
    <w:p>
      <w:pPr>
        <w:spacing w:after="0" w:line="19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dosing procedures, subject selection and exclusion criteria, and the parameters to be used in monitoring safety and the effectiveness criteria to be evaluated, including stopping rules that assure a clinical trial will be stopped if certain adverse events (“AEs”) should occur. Each protocol and subsequent protocol amendments must be submitted to the FDA as part of the IND.</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spacing w:after="0" w:line="194"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larger but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w:t>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has express statutory authority to require post-market clinical studies to address safety issues.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limited circumstances, the FDA also permits the administration of investigational drug products to patients under its expanded access regulatory authorities. Under the FDA’s expanded access authority, patients who are not 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participate in a clinical trial may be eligible for accessing investigational products, including through individual compassionate or emergency use in concert with their requesting physician.</w:t>
      </w:r>
    </w:p>
    <w:p>
      <w:pPr>
        <w:spacing w:after="0" w:line="18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Concurrent with clinical trials, companies usually complete additional animal studies, develop additional information about the physical characteristics of the biological product candidate and finalize a process for manufacturing the product in commercial quantities in accordance with cGMP requirements. Additionally, appropriate packaging must be selected and tested, and stability studies must be conducted to demonstrate that the biological product candidate does not undergo unacceptable deterioration over its shelf life.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After completion of the required clinical testing, a sponsor may prepare and submit an NDA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In addition, under the Pediatric Research Equity Act, as amended, an NDA or supplement to an NDA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Fee waivers or reductions are</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available in certain circumstances, including a waiver of the application fee for the first application filed by a small business. Under the Prescription Drug User Fee Act (“PDUFA”) performance goals that are currently in effect, the FDA has a goal of ten months from the date of “filing” of a standard NDA for a new molecular entity to review and act on the submission. This review typically takes twelve months from the</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date the NDA is submitted to FDA, because the FDA has approximately two months to make a “filing” decision. That deadline can be extended under certain circumstances, including by the FDA’s requests for additional information. The targeted action date can also be shortened to 6 months of the “filing” date for products that are granted priority review designation because they are intended to treat serious or life-threatening conditions and demonstrate the potential to address unmet medical needs.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Within 60 days following submission of the application, the FDA reviews all NDAs submitted to ensure that they are sufficiently complete for substantive review before it accepts them for filing. The FDA may issue a refuse-to-file letter and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 determine, among other things, whether the drug is safe and effective and whether the facility(ies) in which it is manufactured, processed, packaged or held meets standards designed to assure the product’s continued safety, quality and purity. The FDA may also refer applications for novel drug products, or drug products that present difficult questions of safety or efficacy, to an advisory committee-typically a panel that includes clinicians and other experts-for consideration, discussion and a vote on specific questions</w:t>
      </w:r>
    </w:p>
    <w:p>
      <w:pPr>
        <w:spacing w:after="0" w:line="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relevant to the approval decision. The FDA is not bound by the recommendation of an advisory committee, but it considers such recommendations carefully when making decisions.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 requirements is satisfactory and the NDA contains data that provide substantial evidence that the drug is safe and effective in the indication studied.</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NDA review process, the FDA also will determine whether a Risk Evaluation and Mitigation Strategy (“REMS”) is necessary to assure the safe use of the product. If the FDA concludes a REMS is needed, the sponsor must submit a proposed REMS; the FDA will not</w:t>
      </w:r>
    </w:p>
    <w:p>
      <w:pPr>
        <w:spacing w:after="0" w:line="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approve the NDA without a REMS, if required. A REMS could include a medication guide, communication plan or elements to assure safe use, such as required healthcare provider or pharmacy certification, a patient registry and other safe use conditions.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generally outlines the deficiencies in the submission and may require substantial additional clinical data , or information, in</w:t>
      </w:r>
    </w:p>
    <w:p>
      <w:pPr>
        <w:jc w:val="both"/>
        <w:spacing w:after="0" w:line="261" w:lineRule="auto"/>
        <w:rPr>
          <w:sz w:val="20"/>
          <w:szCs w:val="20"/>
          <w:color w:val="auto"/>
        </w:rPr>
      </w:pPr>
      <w:r>
        <w:rPr>
          <w:rFonts w:ascii="Arial" w:cs="Arial" w:eastAsia="Arial" w:hAnsi="Arial"/>
          <w:sz w:val="18"/>
          <w:szCs w:val="18"/>
          <w:color w:val="auto"/>
        </w:rPr>
        <w:t>order to resubmit the application for another cycle of FDA review. If a complete response letter is issued, the applicant may either resubmit the NDA, addressing all of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deficiencies identified in the complete response letter, or withdraw the application. If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drug outweigh the potential risks..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FDA determines the risk outweighs the benefits of the product or other problems are identified following initial marketing.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 or 6 months of receipt for priority efficacy supplements.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Status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FDA has a Fast Track program that is intended to expedite or facilitate the process for development and review of new drug products that meet certain criteria. Specifically, new drug products are eligible for Fast Track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Tack designation may be rescinded if FDA determines the program no longer meets the qualifying criteria for Fast Track.</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 product is eligible for priority review if it is intended to treat a serious condition and, if approved, would provide a significant improvement in safety or effectiveness. The FDA will attempt to direct additional resources to the evaluation of an application for a new drug product designated for priority review in an effort to facilitate the review on a 6 month, rather than the standard 10 month, timeline. We have received FDA designation as a potential treatment for a rare pediatric disease for the use of SP-2577 in Ewing’s Sarcoma. Should SP-2577 prove to be efficacious in this disease with a positive benefit/risk ratio, we expect to receive a Priority Review Voucher. The Priority Review Voucher is transferable and may be sold.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a product may be eligible for accelerated approval if it treats a serious or life-threatening disease or condition, provides meaningful advantage over existing treatments, and demonstrates an effect on a surrogate endpoint that is reasonably likely to predict 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clinical benefit or on an intermediate clinical endpoint. If a product qualifies for accelerated approval, the product may be approved based 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effect on a surrogate endpoint or intermediate clinical endpoint that is reasonably likely to predict the drug’s clinical benefit. As a condition of accelerated approval, the FDA will require that a sponsor of a drug product subject to accelerated approval perform an adequate and well-controlled post-marketing clinical trial to confirm clinical benefit. In addition, the FDA currently requires as a condition for accelerated approval that promotional materials be submitted in advance of initial dissemination, which could adversely impact the timing of the commercial launch of the product.</w:t>
      </w:r>
    </w:p>
    <w:p>
      <w:pPr>
        <w:spacing w:after="0" w:line="19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addition, under the provisions of the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distinct from both accelerated approval and priority review, but these can also be granted to the same product candidate if the relevant criteria are met. The FDA may take certain actions, such as holding timely meetings and providing advice, intended to expedite the development and review of an application for approval of a breakthrough therapy. Requests for breakthrough therapy designation will be reviewed within 60 days of receipt, and the FDA will either grant or deny the request. Breakthrough Therapy designation may be rescinded if the FDA determines the program no longer meets the qualifying criteria for breakthrough therapy.</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we receive Fast Track or Breakthrough designations for its product candidates, the FDA may later decide that its product candidates no longer meet the conditions for qualification. In addition, these designations may not provide us with a material commercial advantage.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Once an NDA is approved, a product is subject to extensive continuing post-approval requirements. For example, as a condition of approval of the NDA , the FDA may require post-marketing testing and surveillance to monitor the product’s safety or efficacy.</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or other surveillance to monitor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effects of an approved product, or restrictions on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untitled letters, warning letters or clinical holds on post-approval clinical trials;</w:t>
      </w: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 injunctions or the imposition of civil or criminal penalties.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Some countries outside of the United States have a similar process that requires the submission of a clinical trial application (“CTA”), much like the IND prior to the commencement of human clinical trials. In Europe, for example, a CTA must be submitted to each country’s national health authority and an independent ethics committee, much like the FDA and an IRB, respectively. Once the CTA is approved in accordance with a country’s requirements, a clinical trial may proceed in that country. To obtain regulatory approval to commercialize a new drug under European Union regulatory systems, we must submit a marketing authorization application (“MAA”). The MAA is similar to the NDA, with the exception of, among other things, country-specific document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currently do not have any products on the market, our current and future business operations may be subject to additional healthcare regulation and enforcement by the federal government and by authorities in the states and foreign jurisdictions in which we conducts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Violations of this law are punishable by up to five years in prison, and can also result in criminal fines, civil money penalties and exclusion from participation in federal healthcare programs.</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Moreover, a claim including items or services resulting from a violation of the federal Anti-Kickback Statute constitutes a false or fraudulent claim for purposes of the federal civil False Claims Act.</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Health Insurance Portability and Accountability Act (“HIPAA”) created new federal criminal statutes that prohibit among other actions,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any of our products are sold in a foreign country, we may be subject to similar foreign laws.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HIPAA, as amended by the Health Information Technology for Economic and Clinical Health Act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ACA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Certain states also mandate implementation of compliance programs, impose restrictions on drug manufacturer marketing practices and/or require the tracking and reporting of gifts, compensation and other remuneration to physicians.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There have been and continue to be a number of initiatives at the United States federal and state levels that seek to reduce healthcare costs.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particular, the Patient Protection and Affordable Care Act, as amended, (the “ACA”) has had, and is expected to continue to have, a significant impact on the healthcare industry. The ACA was designed to expand coverage for the uninsured while at the same time containing overall healthcare costs, among other objectives. With regard to pharmaceutical products, among other things, the ACA revised the definition of “average manufacturer price” for calculating and reporting Medicaid drug rebates on outpatient prescription drug prices and imposed a significant annual fee on companies that manufacture or import certain branded prescription drug products. It is unclear how efforts to modify or challenge the ACA or its implementing regulations, or portions thereof, will affect our business. Additional legislative and regulatory changes, and further judicial challenges, related to the ACA remain possible. Any such changes or challenges could have a material adverse effect on our industry generally and on our ability to successfully commercialize our product candidates.</w:t>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on average, 2% per fiscal year, which went into effect on April 1, 2013 and, due to subsequent legislative amendments to the statute, will stay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the Drug Supply Chain Security Act,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00" w:lineRule="exact"/>
        <w:rPr>
          <w:sz w:val="20"/>
          <w:szCs w:val="20"/>
          <w:color w:val="auto"/>
        </w:rPr>
      </w:pPr>
    </w:p>
    <w:p>
      <w:pPr>
        <w:spacing w:after="0" w:line="24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expect that the ACA, as well as other healthcare reform measures that have been adopted and may be adopted in the future, may result in more rigorous coverage criteria and in additional downward pressure on the price that we may receive for our products, if commercialized,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revenues, attain profitability, or successfully commercialize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of our product candidates, once approved, will depend, in part, on the extent to which the costs of our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 -party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once approved as a benefit under their plans or, if they do, the level of reimbursement may not be sufficient to allow us to sell our products on a profitable basis. Decreases in third-party reimbursement for our products once approved or a decision by a third-party payor to not cover our products could reduce or eliminate utilization of our products and have an adverse effect on our sales, results of operations and financial condition. In addition, state and federal healthcare reform measures have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been and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principal executive offices are in the Texas Medical Center in Houston, Texas, under a month-to-month lease. This facility consists of approximately 1,000 square feet and accommodates our general and administrative activities. Additionally, we lease laboratory space from Johnson &amp; Johnson, JLABS facility located adjacent to our corporate office. We do not own any real property. We believe that our leased facility is adequate to meet our current needs and that additional facilities will be available on commercially reasonable terms to meet our future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12, 2022, we had 16 full-time employees. We have never had a work stoppage, and none of our employees are represented by a labor organization or under any collective bargaining arrangements. We consider our employee relations to be good.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Web Site Access to SEC Filings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was initially incorporated as Flex Pharma, Inc. in Delaware in February 2014. In July 2019, we changed our named to Salarius Pharmaceuticals, Inc. Our principal executive offices are located at 2450 Holcombe Blvd., Suite X, Houston, TX 77021, and our telephone number is (832) 834-6992. Our website address is www.salariuspharma.com. The public can obtain any documents that we file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risk factors described below, as well as statements described elsewhere in this Annual Report on Form 10-K, including our audited Consolidated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b w:val="1"/>
          <w:bCs w:val="1"/>
          <w:i w:val="1"/>
          <w:iCs w:val="1"/>
          <w:color w:val="auto"/>
        </w:rPr>
        <w:t>The approach we are taking to discover and develop novel oncology therapeutics using epigenetic enzymes to moderate transcription factors and thereby control abnormal protein expression is unproven and may never lead to marketable products.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scientific discoveries that form the basis for our efforts to discover and develop our current product candidates are relatively recent. To date, neither we nor any other company has received regulatory approval to market therapeutics using epigenetic enzymes. The scientific evidence to support the feasibility of developing drugs based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these discoveries is both preliminary and limited. The Successful development of therapeutic products will require solving a number of issues. In addition, any product candidates that we develop may not demonstrate in patients the chemical and pharmacological properties ascribed to them in laboratory and pre-clinical trials, and they may interact with human biological systems in unforeseen, ineffective or even harmful ways. For instance, our clinical and pre-clinical data to date is not validated and we have no way of knowing if after validation our clinical trial data will be complete and consistent. If we do not successfully develop and commercialize product candidates based upon this technological approach, we may not become profitable and the value of our capital stock may decline.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our focus on epigenetic enzyme technology for developing product candidates as opposed to multiple, more proven technologies for drug development increases the risk associated with our business. If we are not successful in developing an approved product using our technology, we may not be able to identify and successfully implement an alternative product development strategy. In addition, work by other companies pursuing similar technologies may encounter setbacks and difficulties that regulators and investors may attribute to our product candidates, whether appropriate or not.</w:t>
      </w:r>
    </w:p>
    <w:p>
      <w:pPr>
        <w:spacing w:after="0" w:line="183"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Clinical development is expensive, time consuming and involves significant risk. We cannot guarantee that any clinical trials will be conducted as planned or completed on schedule, if at all. A failure of one or more of our clinical trials can occur at any stage of development. Events that may prevent successful or timely completion of clinical development include but are not limited to:</w:t>
      </w:r>
    </w:p>
    <w:p>
      <w:pPr>
        <w:spacing w:after="0" w:line="202" w:lineRule="exact"/>
        <w:rPr>
          <w:sz w:val="20"/>
          <w:szCs w:val="20"/>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generate satisfactory pre-clinical, toxicology, or other in vivo or in vitro data or diagnostics to support the initiation or continuation of our clinical trials;</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clinical research organizations, (“CROs”), and clinical trial sites, the terms of which can be subject to extensive negotiation and may vary significantly among different CROs and clinical trial sites;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4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inability in recruiting qualified patients in our clinical trials;</w:t>
      </w:r>
    </w:p>
    <w:p>
      <w:pPr>
        <w:spacing w:after="0" w:line="144" w:lineRule="exact"/>
        <w:rPr>
          <w:rFonts w:ascii="Arial" w:cs="Arial" w:eastAsia="Arial" w:hAnsi="Arial"/>
          <w:sz w:val="18"/>
          <w:szCs w:val="18"/>
          <w:color w:val="auto"/>
        </w:rPr>
      </w:pPr>
    </w:p>
    <w:p>
      <w:pPr>
        <w:ind w:left="660" w:right="60" w:hanging="328"/>
        <w:spacing w:after="0" w:line="22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safety concerns raised by other clinical trials of similar product candidates that may reflect an unacceptable risk with the patient population, technology platform, product stability or after an inspection of clinical operations or trial sites;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our clinical sites, CROs or other third parties to perform in accordance with contractual obligations or the regulatory requirements of the FDA, or applicable foreign regulatory guidelines;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dropping out of our clinical trials;</w:t>
      </w:r>
    </w:p>
    <w:p>
      <w:pPr>
        <w:spacing w:after="0" w:line="198" w:lineRule="exact"/>
        <w:rPr>
          <w:rFonts w:ascii="Arial" w:cs="Arial" w:eastAsia="Arial" w:hAnsi="Arial"/>
          <w:sz w:val="18"/>
          <w:szCs w:val="18"/>
          <w:color w:val="auto"/>
        </w:rPr>
      </w:pPr>
    </w:p>
    <w:p>
      <w:pPr>
        <w:jc w:val="both"/>
        <w:ind w:left="660" w:hanging="328"/>
        <w:spacing w:after="0" w:line="237"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number of patients required for our clinical trials may be larger than we anticipate, enrollment in our clinical trials may be slower than we anticipate or participants may, including as a result of the COVID 19 pandemic, withdraw from our clinical trials, fail to complete dosing or fail to return for post-treatment follow-up at higher rates than we anticipate, any of which could result in significant delay;</w:t>
      </w:r>
    </w:p>
    <w:p>
      <w:pPr>
        <w:spacing w:after="0" w:line="257"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withdrawal of clinical trial sites from our clinical trials, including as a result of changing standards of care or the ineligibility of a site to participate;</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delays or failure in the testing, validation, manufacturing and delivery of the product candidates to the clinical sites;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events or tolerability or animal toxicology issues significant enough for the FDA or other regulatory agencies to put any or all clinical trials on hold;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associated with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the clinical trials of our product candidates;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which may result in us deciding, or regulators requiring us, to conduct additional clinical trials or abandon development programs in other ongoing or planned indications for a product candidate;</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regulatory requirements for product approval may not be explicit, may evolve over time and may diverge by jurisdiction;</w:t>
      </w:r>
    </w:p>
    <w:p>
      <w:pPr>
        <w:spacing w:after="0" w:line="255"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evolution in the standard of care that require amendments to ongoing clinical trials and/or the conduct of additional preclinical studies or clinical trials;</w:t>
      </w:r>
    </w:p>
    <w:p>
      <w:pPr>
        <w:spacing w:after="0" w:line="203"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and</w:t>
      </w:r>
    </w:p>
    <w:p>
      <w:pPr>
        <w:spacing w:after="0" w:line="21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and the time for manufacture of sufficient quantities of our product candidates for use in clinical trials.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or impair our ability to generate revenue. In addition, if we make manufacturing or formulation changes to our product candidates, we may need to conduct additional pre-clinical trials or the results obtained from such new formulation may not be consistent with previous results obtained. Clinical trial delays could also shorten any periods during which our products have patent protection and may allow competitors to develop and bring products to market before we do, which could impair our ability to successfully commercialize our product candidates and may harm our business and results of operations.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Delays, including delays caused by the above factors, can be costly and could negatively affect our ability to complete a clinical trial.</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give any assurance that we will be able to resolve any future clinical holds imposed by the FDA or other regulatory authorities outside of the United States, or any delay caused by manufacturing failures or other factors described above or any other factors, on a timely basis or at all. If we are not able to successfully initiate and complete clinical trials, we will not be able to obtain regulatory approval and will not be able to commercialize our product candidates.</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therapeutic product candidates are based on a relatively novel technology, which makes it difficult to predict the timing and cost of development and of subsequently obtaining regulatory approval, if at all.</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epigenetic enzyme therapeutic platform and identifying our initial targeted disease indications. Our future success depends on our successful development of viable product candidates. Currently, only one of our product candidates (seclidemstat) is in Phase 1 clinical development, and the remainder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are in pre-clinical development. There can be no assurance that we will not experience problems or delays in developing our product candidates and that such problems or delays will not cause unanticipated costs, or that any such development problems can be solved.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epigenetic enzyme therapeutics can be more expensive and take longer than for other, better known or more extensively studied product candidates.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Commission may not be indicative of what the FDA, and vice versa, may require for approval and different or additional pre-clinical trials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Undesirable side effects caused by our product candidates could cause us, an IRB or ethics committee, or regulatory authorities to interrupt, delay, or terminate clinical trials or even if approved, result in a restrictive label or delay regulatory approval by the FDA or comparable foreign authorities and potential product liability claims.</w:t>
      </w:r>
    </w:p>
    <w:p>
      <w:pPr>
        <w:spacing w:after="0" w:line="18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addition, to date our product candidates have been studied in only a very limited number of patients. Our understanding of the relationship between our product candidates and these events, as well as our understanding of adverse events reported in future clinical trials of other product candidates, may change as we gather more information, and additional unexpected adverse events may be observed. We may experience a high rates or severity of adverse events and comparable or high rates of discontinuation in testing in our future clinical trials. There is no guarantee that severe side effects will not be identified through ongoing clinical trials of our product candidates for current and other indications. Undesirable side effects and negative results for other indications may negatively impact the development and potential for approval of our product candidates for their proposed indications. In addition, the side effect profile of pharmaceutical drugs cannot be fully established based on preapproval clinical trials involving a limited number of patients. Routine review and analysis of post-marketing safety surveillance and clinical trials will provide additional information, for example, potential evidence of rare, population-specific or long-term adverse reactions, and may adversely affect the commercialization of the product, and even lead to the suspension or revocation of product marketing authorization. Specifically, as a result of concerns regarding the potential teratogenic and abortifacient effects of SP-2577, pregnant women were excluded from the conducted studies.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 but not limited to:</w:t>
      </w:r>
    </w:p>
    <w:p>
      <w:pPr>
        <w:spacing w:after="0" w:line="20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clinical trials may be put on hold;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be unable to obtain regulatory approval for our product candidates;</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its reputation may suffer.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or cause the complete failure of our business, results of operations, and prospects.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Some of our product candidates may produce results in pre-clinical or clinical settings for indications other than those for which we contemplate conducting development activities or seeking FDA approval, and we cannot give any assurance that our clinical trials will generate data for any of our product candidates sufficient to receive regulatory approval in our planned indications, which will be required before they can be commercialized.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one product candidate in Phase 1/2 clinical trials for advanced solid tumors - seclidemstat. This is only one of the multiple indications for which we plan to develop this product candidate. There can be no assurance that the data that we develop for our product candidates in our planned indications will be sufficient to obtain regulatory approval.</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none of our product candidates have advanced into a pivotal clinical trial for our proposed indications and it may be years before any such clinical trial is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Clinical testing is expensive and generally takes many years to complete, and the outcome is inherently uncertain. Failure can occur at any time during the clinical trial process. The results of pre-clinical trials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limited numbers of clinical sites for a limited number of indications. We will have to conduct larger, well-controlled trials in our proposed indications to verify the results obtained to date and to support any regulatory submissions for further clinical development.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cannot assure whether any Phase 1, Phase 2, Phase 3, or other clinical trials we may conduct will demonstrate consistent or adequate efficacy and safety with respect to the proposed indication for use sufficient to receive regulatory approval or market our drug candidates.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and/or development program or product candidate and fail to capitalize on programs or product candidates that may be more profitable or for which there is a greater likelihood of success.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we have limited financial and human resources, we may forego or delay pursuit of opportunities with some programs or product candidates or for other indications that later prove to have greater commercial potential. Our resource allocation decisions may cause us to fail to capitalize on viable commercial products or more profitable market opportunities. Our spending on current and future research and development programs and future product candidates for specific indications may not yield any commercially viable products. We may also enter into additional strategic collaboration agreements to develop and commercialize some of our programs and potential product candidates in indications with potentially large commercial markets. If we do not accurately evaluate the commercial potential or target market for a particular product candidate, we may relinquish valuable rights to that product candidate through strategic collaborations,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given the limited number of patients who have the diseases for which our product candidates are being studied. Difficulty in enrolling patients is a common hurdle faced by early stage biotechnology companies and could, and often does, delay or prevent clinical trials of product candidates.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several factors, including:</w:t>
      </w:r>
    </w:p>
    <w:p>
      <w:pPr>
        <w:spacing w:after="0" w:line="1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severity of the disease under investigation;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design of the trial protocol;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size of the patient population;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perceived risks and benefits of the product candidate being tested;</w:t>
      </w:r>
    </w:p>
    <w:p>
      <w:pPr>
        <w:spacing w:after="0" w:line="219" w:lineRule="exact"/>
        <w:rPr>
          <w:rFonts w:ascii="Arial" w:cs="Arial" w:eastAsia="Arial" w:hAnsi="Arial"/>
          <w:sz w:val="22"/>
          <w:szCs w:val="22"/>
          <w:color w:val="auto"/>
        </w:rPr>
      </w:pPr>
    </w:p>
    <w:p>
      <w:pPr>
        <w:ind w:left="660" w:hanging="328"/>
        <w:spacing w:after="0" w:line="253" w:lineRule="exact"/>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willingness or availability of patients to participate in our clinical trials (including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proximity and availability of clinical trial sites for prospective patients;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recruit clinical trial investigators with appropriate competencies and experience;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availability of competing vaccines and/or therapies and related clinical trials;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efforts to facilitate timely enrollment in clinical trials;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obtain and maintain patient consents;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patient referral practices of physicians;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ability to monitor patients adequately during and after treatment.</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eligibility criteria of our planned clinical trials may further limit the available eligible trial participants as we expect to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risks and benefits of the product candidate under study, the availability and efficacy of competing therapies and clinical trials, and the willingness of physicians to participate in our planned clinical trials. If patients are unwilling to participate in our clinical trials for any reason, the timeline for conducting trials and obtaining regulatory approval of our product candidates may be delayed.</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enroll a sufficient number of eligible patients to initiate our clinical trials, we may be unable to maintain participation of these patients throughout the course of the clinical trial as required by the clinical trial protocol, in which event we may be unable to use the research results from those patients. If we have difficulty enrolling and maintaining the enrollment of a sufficient number of patients to conduct our clinical trials as planned, we may need to delay, limit or terminate ongoing or planned clinical trials, any of which would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experience delays in the completion of, or termination of, any clinical trials of our product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harm our business, financial condition, and prospects significantly.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may face potential product liability, and, if successful claims are brought against us, we may incur substantial liability and costs which could be greater than our insurance coverage or overall resources.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a material liability claim could adversely affect our financial condition.</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we have product liability insurance, which covers our clinical trials in the United States, for up to $2.0 million per occurrence, up to an aggregate limit of $5.0 million, our insurance may be insufficient to reimburse us for any expenses or losses we may suffer. We will also likely be required to increase our product liability insurance coverage for the advanced clinical trials that we plans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if we requires it,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there is also a risk that these third parties could incur liability and bring a claim under such indemnities. An individual may bring a product liability claim against us alleging that one of our product candidates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21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commercialized, product recalls, withdrawals of labeling, marketing or promotional restrictions or the need for product modification;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ourself;</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our product liability insurance rates or the inability to maintain insurance coverage in the future on acceptable terms, if at all;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auditor’s report on our financial statements for the year ended December 31, 2021, includes an explanatory paragraph related to the existence of substantial doubt about our ability to continue as a going concern. We are a clinical development-stage biopharmaceutical company with a limited operating history. We have no products approved for commercial sale and have not generated any revenue from product sales. To date, we have primarily financed our operations through equity financings and a grant from CPRIT. We have never been profitable and have incurred operating losses in each year since inception. Our net losses were $12.8 million and $7.7 million for each of the years ended December 31, 2021 and December 31, 2020.</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We cannot be certain that additional funding will be available on acceptable terms, or at all, for a number of reasons, including market conditions, and the pace and results of our clinical development efforts. Failure to raise capital as and when needed, on favorable terms or at all, would have a negative impact on our financial condition and our ability to develop our product candidates. The aforementioned factors, which are largely outside of our control, raise substantial doubt about our ability to continue as a going concern within one year from the date of filing of this annual report.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devoted substantially all our financial resources to identify, acquire, and develop our product candidates, including conducting clinical trials and providing general and administrative support for our operations. To date, we have financed our operations primarily through the sale of equity securities. The amount of our future net losses will depend, in part, on the rate of our future expenditures and ability to obtain funding through equity or debt financings, strategic collaborations, or grants. Biopharmaceutical product development is a highly speculative and competitive undertaking and involves a substantial degree of risk. We expect losses to increase as we complete Phase 1 development and advance into Phase 2 development of our lead product candidates. It may be several years, if ever, before we complete pivotal clinical trials and have a product candidate approved for commercialization. We expect to invest significant funds into the research and development of our current product candidates to determine the potential to advance these product candidates to regulatory approval. We expect to be required to expend a significant amount of funds before we know if we have a clinically successful product candidate.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obtain regulatory approval to market a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Even if we obtain adequate market share for our product candidates, because the potential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markets in which our product candidates may ultimately receive regulatory approval could be very small, we may never become profitable despite obtaining such market share and acceptance of our products.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our expenses will increase substantially if and as we:</w:t>
      </w:r>
    </w:p>
    <w:p>
      <w:pPr>
        <w:spacing w:after="0" w:line="19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efforts to discover new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undertake the manufacturing of our product candidates or increase volumes manufactured by third parties;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our programs into larger, more expensive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or studies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and reimbursement for our product candidates;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 market for ourselves;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assess, acquire, and/or develop other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milestone, royalty or other payments under third-party license agreements;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attract and retain skilled personnel;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encounters issues with the development and potential for regulatory approval of our clinical candidates such as safety issues, clinical trial accrual delays, longer follow-up for planned studies, additional major studies, or supportive studies necessary to support marketing approval.</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generate revenue or be profitable.</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 products approved for commercialization and have never generated any revenue.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spacing w:after="0" w:line="20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and development of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and marketing approvals for our product candidates;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launching and commercializing product candidates for which we obtain regulatory and marketing approval, either directly or with a collaborator or distributor;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gaining market acceptance of our product candidates as treatment options;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 including patents, trade secrets, and know-how;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reimbursement or pricing for our product candidates that supports profitability; and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Portions of our current pipeline of product candidates have been in-licensed from third parties, which make the commercial sale of such in-licensed products potentially subject to additional royalty and milestone payments to such third parties. We will also have to develop, contract for or acquire manufacturing capabilities to continue development and potential commercialization of our product candidates. We will need to develop or procure our drug product in a commercially feasible manner in order to successfully commercialize any future approved product; if any. Additionally, if we are not able to generate revenue from the sale of any approved products, we may never become profitable.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received substantial funding during the year ended December 31, 2021 including reimbursement from CPRIT. Other than the CPRIT funding, these raises caused significant dilution to stockholders who owned our shares of Common Stock prior to these capital raises. To the extent that we raise additional capital through the sale of equity, convertible debt or other securities convertible into equity the ownership interest of our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also historically received funds from state and federal government grants for research and development including CPRIT. The grants have been, and any future government grants and contracts we may receive may be, subject to the risks and contingencies set forth below under the risk factor titled “Reliance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 Although we might apply for government contracts and grants in the future, we cannot assure you that we will be successful in obtaining additional grants for any product candidates or programs. Failure to receive additional government grants in the future may substantially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seek breakthrough therapy designation by the FDA for one or more of our product candidates, but it might not receive such designation. Even if FDA grants breakthrough therapy designation for one or more of our product candidates, the designation may not lead to a faster development or regulatory review or approval process, and it does not increase the likelihood that our product candidates will receive marketing approval, and FDA may rescind the designation if it determines the product candidate no longer meets the qualifying criteria for breakthrough therapy.</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seek a breakthrough therapy designation from the FDA for some of our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received Fast Track designation for one of our product candidates, but such designation may not actually lead to a faster development or regulatory review or approval process. Additionally, FDA may rescind the designation if it determines the product candidate no longer meets the qualifying criteria for Fast Track.</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We recently received Fast Track designation for a product candidate. However,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 If we are not able to obtain required regulatory approvals, we will not be able to commercialize our product candidates and our ability to generate revenue will be materially impaired.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foreign jurisdictions. Failure to obtain marketing approval for our product candidates will prevent us from commercializing them in those markets.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not received approval from regulatory authorities to market any product candidate in any jurisdiction, and it is possible that neither our current product candidates nor any product candidates that we may seek to develop in the future will ever obtain the appropriate regulatory approvals necessary for us to commence product sales.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Securing marketing approval requires the submission of extensive preclinical and clinical data and supporting information to regulatory authorities for each therapeutic indication of each of our product candidates to establish the product candidates’ safety and efficacy for such indications. Securing marketing approval also requires the submission of information about the product manufacturing process to, and inspection of manufacturing facilities by, regulatory authorities.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pathway to regulatory approvals is time consuming and unpredictable, involves substantial costs and consumes management time and attention. It is not possible to predict the timing or success of obtaining regulatory approvals with any degree of certainty, and as a result, it is difficult to forecast our future financial results or prospects. Any unexpected development in the regulatory approval process, including delays or denials of regulatory approvals or significant modifications to our product candidates required by our regulators, could materially and adversely affect our business, results of operations and financial condition, and could substantially harm our stock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obtain marketing approval, United States laws require:</w:t>
      </w:r>
    </w:p>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controlled research and human clinical testing;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establishment of the safety and efficacy of the product for each use sought;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government review and approval of a submission containing, among other things, manufacturing, pre-clinical and clinical data;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compliance with cGMP regulations.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reviewing and approving a drug is time-consuming, unpredictable, and dependent on a variety of factors outside of our control. The FDA and corresponding regulatory authorities in other jurisdictions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20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disagreement with the design or implementation of our clinical trials;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failure to demonstrate that our candidate is safe and effective for the proposed indication;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failure of clinical trial results to meet the level of statistical significance required for approval;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failure to demonstrate that the product candidate’s benefits outweigh its risks;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disagreement with our interpretation of pre-clinical or clinical data;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inadequacies in the manufacturing facilities or processes of third-party manufacturers.</w:t>
      </w:r>
    </w:p>
    <w:p>
      <w:pPr>
        <w:spacing w:after="0" w:line="40"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FDA or a comparable regulatory authority outside the United States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 our operations will be adversely effected.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a product, we will remain subject to ongoing regulatory requirements, which may result in significant additional expense and other restrictions, and we may be subject to penalties if we fail to comply with regulatory requirements or experience unanticipated problems with our product candidates.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of our product candidates are approved, we will be subject to ongoing regulatory requirements with respect to manufacturing, labeling, packaging, storage, marketing,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Manufacturers and manufacturers’ facilities are required to continuously comply with FDA and comparable foreign regulatory authority requirements, including ensuring that quality control and manufacturing procedures conform to cGMP, regulations and corresponding foreign regulatory manufacturing requirements. As such, we and our contract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manufacturers will be subject to continual review and inspections to assess compliance with cGMP and adherence to commitments made in any NDA or marketing authorization application.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20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fines, untitled letters or warning letters;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product seizure or detention or refusal to permit the import or export of products;</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84" w:lineRule="exact"/>
        <w:rPr>
          <w:rFonts w:ascii="Arial" w:cs="Arial" w:eastAsia="Arial" w:hAnsi="Arial"/>
          <w:sz w:val="18"/>
          <w:szCs w:val="18"/>
          <w:color w:val="auto"/>
        </w:rPr>
      </w:pPr>
    </w:p>
    <w:p>
      <w:pPr>
        <w:ind w:left="660" w:right="20" w:hanging="328"/>
        <w:spacing w:after="0" w:line="225"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impose restrictions on the marketing or manufacturing of the product, withdrawal of the product from the market or voluntary or mandatory product recalls.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our operating results would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may have a material adverse effect on our business, financial condition or results of operations.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United States, there have been and continue to be a number of initiatives to contain healthcare costs or otherwise change or reform the provision of healthcare products and services to the patient population. For example, in March 2010, the ACA was enacted, which substantially changed the way health care is financed by both governmental and private insurers, and significantly impacts the U.S. pharmaceutical industry. The ACA, among other things, addresses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specified branded prescription drugs, and established a new Medicare Part D coverage gap discount program. Certain provisions of the ACA have been subject to judicial challenges, as well as efforts to modify them or alter their interpretation or implementation. It is unclear how efforts to challenge or modify the ACA or its implementing regulations, or portions thereof, will affect our business.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and we expect that additional state and federal healthcare reform measures will be adopted in the future,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of which could result in more rigorous coverage criteria and in additional downward pressure on the price that we receive for our product candidates, if commercialized,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revenues, attain profitability, or successfully commercialize our product candidates.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obtain FDA approval for any of our product candidates and begins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5" w:lineRule="exact"/>
        <w:rPr>
          <w:sz w:val="20"/>
          <w:szCs w:val="20"/>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3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executing a scheme to defraud any healthcare benefit program and making false statements relating to healthcare matters;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30"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Health Care Reform Laws requires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13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course of our development of our product candidates, we have been funded in part through federal and state grants, including but not limited to the funding we received from CPRIT. If CPRIT terminates the agreement prior to the expiration due to an event of default or if we terminate the agreement, CPRIT may require us to repay some or all of the disbursed grant.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funding we have received to date, we intend to continue to apply for federal and state grants to receive additional funding in the future. 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204" w:lineRule="exact"/>
        <w:rPr>
          <w:sz w:val="20"/>
          <w:szCs w:val="20"/>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repayment of all or a portion of the grant proceeds, in specified cases with interest, in the event we violate specified covenants pertaining to various matters that include a failure to achieve specified milestones or to comply with terms relating to use of grant proceeds, or failure to comply with specified laws;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terminate agreements, in whole or in part, for any reason or no reason;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or modify the government’s obligations under such agreements without the consent of the other party;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products and data developed under such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contract related costs and fees, including allocated indirect costs;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the contractor or grantee from receiving new contracts pending resolution of alleged violations of procurement laws or regulations;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U.S. manufacturing requirements for products that embody inventions conceived or first reduced to practice under such agreements;</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qualifications for the engagement of manufacturers, suppliers and other contractors as well as other criteria for reimbursements;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debar the contractor or grantee from doing future business with the government;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and potentially prohibit the export of products;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specific to government agreements; and</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government’s financial liability to amounts appropriated by the U.S. Congress on a fiscal year basis, thereby leaving some uncertainty about the future availability of funding for a program even after it has been funded for an initial period.</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those powers set forth above, the government funding we may receive could also impose requirements to make payments based upon sales of our products, if any, in the future.</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may not have the right to prohibit the U.S. government from using specified technologies developed by us, and we may not be able to prohibit third-party companies, including our competitors, from using those technologies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providing products and services to the U.S. government. The U.S. government generally takes the position that it has the right to royalty-free use of technologies that are developed under U.S. government contracts. These and other provisions of government grants may also apply to intellectual property we license now or in the future.</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1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specialized accounting systems unique to government contracts and grants;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mandatory financial audits and potential liability for price adjustments or recoupment of government funds after such funds have been spent;</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disclosures of some contract and grant information, which may enable competitors to gain insights into our research program; and</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standards, non-discrimination and affirmative action programs and environmental compliance requirements.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we fail to maintain compliance with any such requirements that may apply to us now or in the future, we may be subject to potential liability and to termination of our contracts.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and liabilities that could have a material adverse effect on our business, financial condition or results of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targets, product compounds and processes for our development pipeline through acquisitions and in-licenses.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Presently, we have rights to the intellectual property, through licenses from third parties and under patents and patent applications that we own, to modulate only a subset of the known epigenetic enzyme targets. Because our programs may involve a range of targets, including targets that require the use of proprietary rights held by third parties, the growth of our business may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example, we have previously and may continue to collaborate with academic institutions worldwide to accelerate our pre-clinical and 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intend to rely on patent rights for our product candidates and any future product candidates. If we are unable to obtain or maintain exclusivity from the combination of these approaches, we may not be able to compete effectively in our markets.</w:t>
      </w:r>
    </w:p>
    <w:p>
      <w:pPr>
        <w:spacing w:after="0" w:line="161"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in-licenses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cannot obtain and maintain effective protection of exclusivity from our regulatory efforts and intellectual property rights, including patent protection or data exclusivity, for our product candidates, we may not be able to compete effectively and our business and results of operations would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from generic medications. In addition, upon issuance in the United States any patent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term can be adjusted based on specified delays caused by the applicant(s) or the U.S. Patent and Trademark Office (“USPTO”).</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rely on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is the case with other biotechnology companies, our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Some of our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16, 2014, the USPTO issued guidance to patent examiners titled 2014 Interim Guidance on Patent Subject Matter Eligibility (Fed. Reg. 79 (241): 74618-33. These guidelines instruct USPTO examiners on the ramifications of the Prometheus and Myriad rulings and apply the Myriad ruling to natural products and principles including all naturally occurring nucleic acids. In addition, the USPTO continues to provide updates to its guidance and this is a developing area. The recent USPTO guidance could make it impossible for us to pursue similar patent claims in patent applications we may prosecute in the future.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patent portfolio contains claims of various types and scope, including chemically modified mimics, as well as methods of medical treatment. The presence of varying claims in our patent portfolio significantly reduces, but may not eliminate, our exposure to potential validity challenges under Myriad or future judicial decisions. However, it is not yet clear what, if any, impact this recent Supreme Court decision or future decisions will have on the operation of our business.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Accordingly,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Under such change, a third party that files a patent application in the USPTO after that date, but before we could, may be awarded a patent covering an invention of our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over the past two years to invalidate patents. The IPR process is not limited to patents filed after the Leahy-Smith Act was enacted, and would therefore be available to a third party seeking to invalidate any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seeks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 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technology without infringing the patent rights of third parties.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Numerous third-party U.S. and non-U.S. issued patents and pending applications exist in the area of epigenetic enzyme inhibitors and related technologies. We are aware of U.S. and foreign patents and pending patent applications owned by third parties that cover therapeutic uses of epigenetic inhibitors. We are currently monitoring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Parties making claims against we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not be successful in meeting our obligations under our existing license agreements necessary to maintain our product candidate licenses in effect. In addition, if required in order to commercialize our product candidates, we may be unsuccessful in obtaining or maintaining necessary rights to our product candidates through acquisitions and in-licenses.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do not own, to develop and commercialize our product candidates. Because our programs may require the use of proprietary rights held by third parties, the growth of our business will likely depend in part on our ability to maintain in effect these proprietary rights. Any termination of license agreements with third parties with respect to our product candidates would be expected to negatively impact our business prospects.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be unable to acquire or in-license any compositions, methods of use, processes, or other third-party intellectual property rights from third parties that we identify as necessary for our product candidates.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Even if we are able to license or acquire third-party intellectual property rights that are necessary for our product candidates, there can be no assurance that they will be available on favorable terms.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collaborate with academic institutions worldwide to identify product candidates, accelerate our research and conduct development. Typically, these institutions have provided us with an option to negotiate an exclusive license to any of the institution’s rights in the patents or other intellectual property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a program that we wish to pursue.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are unable to successfully obtain and maintain rights to required third-party intellectual property, we may have to abandon development of that product candidate or pay additional amounts to the third-party, and our business and financial condition could suffer.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normally seek and gains the right to fully prosecute the patents relating to our product candidates, there may be times when patents relating to our product candidates are controlled by our licensors. If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assuming control over patent prosecution.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obligations in the agreements under which we licenses intellectual property and other rights from third parties or otherwise experience disruptions to our business relationships with our licensors, we could lose license rights that are important to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party to intellectual property licenses and supply agreements that are important to our business and may enter into additional license agreements in the future. Our existing agreements impose, and we expect that future license agreements will impose on us, various diligence, milestone payment, royalty, purchasing, and other obligations. If we fail to comply with our obligations under these agreements, or we are subject to a bankruptcy, our agreements may be subject to termination by the licensor, in which event we would not be able to develop, manufacture, or market products covered by the license or subject to supply commitments.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Competitors may infringe our patents or the patents of our licensors.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employ individuals who were previously employed at universities or other biotechnology or pharmaceutical companies, including our competitors or potential competitors. Although we have written agreements and makes every effort to ensure that our employees, consultants, and independent contractors do not use the proprietary information or intellectual property rights of others in their work for us, we may in the future be subject to any claims that our employees, consultants, or independent contractors have wrongfully used or disclosed confidential information of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our technologies in jurisdictions where we have not obtained patent protection to develop our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rely on or will rely on third parties to conduct our clinical trials, manufacture our product candidates and perform other services. If these third parties do not successfully perform and comply with regulatory requirements, we may not be able to successfully complete clinical development, obtain regulatory approval or commercialize our product candidates and our business could be substantially harmed.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relied upon and plans to continue to rely upon third-parties such as CROs, hospitals, etc. to conduct, monitor and manage our ongoing clinical programs. We rely on these parties for execution of clinical trials and manages and controls only some aspects of their activities. We remain responsible for ensuring that each of our trials is conducted in accordance with the applicable protocol, legal, regulatory, and scientific standards and our reliance on these third parties does not relieve us of our regulatory responsibilities. We and our CROs and other vendors are required to comply with all applicable laws, regulations and guidelines, including those required by the FDA and comparable foreign regulatory authorities for all of our product candidates in clinical development. If we or any of our CROs or vendors fail to comply with applicable laws, regulations and guidelines, the results generated in our clinical trials may be deemed unreliable and the FDA or comparable foreign regulatory authorities may require us to perform additional clinical trials before approving our marketing applications. We cannot be assured that our CROs and other vendors will meet these requirements, or that upon inspection by any regulatory authority, such</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regulatory authority will determine that efforts, including any of our clinical trials, comply with applicable requirements. Our failure to comply with these laws, regulations and guidelines may require us to repeat clinical trials, which would be costly and delay the regulatory approval process.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any of our relationships with these third-parties terminate, we may not be able to enter into arrangements with alternative third parties in a timely manner or do so on commercially reasonable terms. In addition, third parties may not prioritize our clinical trials relative to those of other customers and any turnover in personnel or delays in the allocation of third party employees may negatively affect our clinical trials. If third parties do not successfully carry out their contractual duties or obligations or meet expected deadlines, our clinical trials may be delayed or terminated and we may not be able to meet our current plans with respect to our product candidates. CROs, in particular, may also involve higher costs than anticipated, which could negatively affect our financial condition and operations.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we do not currently have, nor do we currently plan to establish the capability to manufacture product candidates for use in the conduct of our clinical trials, and we lack the resources and the capability to manufacture any of our product candidates on a clinical or commercial scale without the use of third-party manufacturers. We plan to rely on third-party manufacturers and their responsibilities will include purchasing from third-party suppliers the materials necessary to produce our product candidates for our clinical trials and regulatory approval. There are expected to be a limited number of suppliers for the active ingredients and other materials that we expect to use to manufacture our product candidates, and we may not be able to identify alternative suppliers to prevent a possible disruption of the manufacture of our product candidates for our clinical trials, and, if approved, ultimately for commercial sale. Although we generally do not expect to begin a clinical trial unless we believe we have a sufficient supply of a product candidate to complete the trial, any significant delay or discontinuity in the supply of a product candidate, or the active ingredient or other material components in the manufacture of the product candidate could delay completion of our clinical trials and potential timing for regulatory approval of our product candidates, which would harm our business and results of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expect to rely on third parties to manufacture our clinical product supplies, and we intend to rely on third parties to produce and process our product candidates, if approved, and our commercialization of any of our product candidates could be stopped, delayed or made less profitable if those third parties fail to obtain approval of government regulators, fail to comply with applicable regulations, fail to provide us with sufficient quantities of drug product, or fail to do so at acceptable quality levels or prices.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currently have nor does we currently plan to develop the infrastructure or capability internally to manufacture our clinical supplies for use in the conduct of our clinical trials, and we lack the resources and the capability to manufacture any of our product candidates on a clinical or commercial scale. We currently rely on outside vendors to manufacture the clinical supplies of our product candidates. We plan to continue relying on third parties to manufacture our product candidates on a commercial scale, if approved.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of our product candidates and our current costs to manufacture our drug products is not commercially feasible, and the actual cost to manufacture our product candidates could materially and adversely affect the commercial viability of our product candidates. As a result, we may never be able to develop a commercially viable product.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reliance on third-party manufacturers exposes us to the following additional risks: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third-party manufacturers may not perform as agreed or may not remain in the contract manufacturing business for the time required to supply our clinical trials or to successfully produce, store and distribute our products;</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cGMPs and other government regulations and corresponding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standards. We do not have control over third-party manufacturers’ compliance with these regulations and standards;</w:t>
      </w:r>
    </w:p>
    <w:p>
      <w:pPr>
        <w:spacing w:after="0" w:line="158" w:lineRule="exact"/>
        <w:rPr>
          <w:sz w:val="20"/>
          <w:szCs w:val="20"/>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these risks could delay our clinical trials, the approval, if any of our product candidates by the FDA or the commercialization of our product candidates or result in higher costs or deprive us of potential product revenue. In addition, we rely on third parties to perform release testing on our product candidates prior to delivery to patients. If these tests are not appropriately conducted and test data are not reliable, patients could be put at risk of serious harm and could result in product liability suits.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manufacture of medical products is complex and requires significant expertise and capital investment, including the development of advanced manufacturing techniques and process controls. Manufacturers of medical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Third-party manufacturers may not be able to comply with applicable cGMP, regulations or similar regulatory requirements outside the United States. Our failure, or the failure of our third-party manufacturers, to comply with applicable regulations could result in sanctions being imposed, including clinical holds, fines, injunctions, civil penalties, delays, license revocation, seizures or recalls of product candidates or products, operating restrictions and criminal prosecutions,</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of which could significantly and adversely affect supplies of our product candidates. Furthermore, if contaminants are discovered in our supply of our product candidates or in the manufacturing facilities, such manufacturing facilities may need to be closed for an extended period of time to investigate and remedy the contamination. We cannot be assured that any stability or other issues relating to the manufacture of our product candidates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realize the potential benefits of any current or future collaboration.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strategic collaborations and license agreements with the University of Utah, HLBLS, and CPRIT. While we may seek to enter into future collaborations for the development and commercialization of our product candidates, there can be no assurance that we will be able to do so. Even if we are successful in entering into a collaboration with respect to the development and/or commercialization of one or more product candidates, there is no guarantee that the collaboration will be successful and we may be unable to realize in full or in part the potential benefits of any of our current collaborations.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may pose a number of risks, including:</w:t>
      </w:r>
    </w:p>
    <w:p>
      <w:pPr>
        <w:spacing w:after="0" w:line="225" w:lineRule="exact"/>
        <w:rPr>
          <w:sz w:val="20"/>
          <w:szCs w:val="20"/>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such collaboration may significantly limit our share of potential future profits from the associated program, and may require us to relinquish potentially valuable rights to our current product candidates, potential products or proprietary technologies or grant licenses on terms that are not favorable to us;</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cease to devote resources to the development or commercialization of our product candidates if the collaborators view our product candidates as competitive with their own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p>
      <w:pPr>
        <w:spacing w:after="0" w:line="13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be impacted by changes in their strategic focus or available funding, or business combinations involving them, which could cause them to divert resources away from the collaboration;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collaborations may not result in us achieving revenues to justify such transactions; and</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us to raise additional capital to pursue further development or commercialization of the applicable product candidate.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 result, a collaboration may not result in the successful development or commercialization of our product candidates.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consultants, we indemnify them from claims arising from the good faith performance of their services.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currently have very limited marketing and sales experience. If we are unable to establish sales and marketing capabilities or enter into agreements with third parties to market and sell our product candidates, we may be unable to generate any revenue.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some of our employees may have marketed, launched, and sold other pharmaceutical products in the past while employed at other companies, We have no experience selling and marketing our product candidates and we currently have no marketing or sales organization. To successfully commercialize any products that may result from our development programs, we will need to find one or more collaborators to commercialize our products or invest in and develop these capabilities, either on our own or with others, which would be expensive, difficult and time consuming. Any failure or delay in the timely development of our internal commercialization capabilities could adversely impact the potential for success of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our inability to recruit, train and retain adequate numbers of effective sales and marketing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inability of sales personnel to obtain access to physicians;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lack of adequate numbers of physicians to prescribe any future products;</w:t>
      </w:r>
    </w:p>
    <w:p>
      <w:pPr>
        <w:spacing w:after="0" w:line="255"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203"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commercialization collaborators do not commit sufficient resources to commercialize our future products and we are unable to develop the necessary marketing and sales capabilities on our own, we will be unable to generate sufficient product revenue to sustain or grow our business. We may be competing with companies that currently have extensive and well-funded marketing and sales operations, particularly in the markets our product candidates are intended to address. Without appropriate capabilities, whether directly or through third-party collaborators, we may be unable to compete successfully against these more established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we may not meet our future revenue expectations and, assuming approval of a product candidate, our business may suffer.</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small number of patients who have the diseases that we are targeting, the eligible patient population and pricing estimates may differ significantly from the actual market addressable by our product candidates. For example, based off data from the National Institute of Health (NIH) and physician collaborators, we believe that there are approximately 500 Ewing sarcoma patients diagnosed annually in the United States. Because the patient populations in the market for our product candidates may be small, we must be able to successfully identify patients and acquire a significant market share to achieve profitability and growth, which would negatively affect our revenue and operating results.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from major pharmaceutical companies, specialty pharmaceutical companies, biotechnology companies, universities and other research institutions worldwide with respect to oncology therapies and the other product candidates that we may seek to develop or commercialize in the future. The list of companies working on some form of cancer treatment is almost limitless with big and small companies working on every aspect of oncology therapies worldwide.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Seclidemstat or other product candidates to effectively compete against established treatment options or in the future with new products currently in development would harm our business, financial condition, results of operations and prospects.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obtain the necessary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20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the disease and any side effects;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 including any limitations or warnings contained in a product’s approved labeling;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these therapies;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and the willingness of physicians to recommend these therapies to patients based on such risks and benefits;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publicity concerning our products or competing products and treatments;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is also expected to depend in part upon our ability to identify, license, discover, develop, or commercialize additional product candidates. 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 Furthermore, until such time as we are able to build a broader product candidate pipeline, if ever, any adverse developments with respect to our current product candidates would have a more significant adverse effect on our overall business than if we maintained a broader portfolio of product candidates.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204" w:lineRule="exact"/>
        <w:rPr>
          <w:sz w:val="20"/>
          <w:szCs w:val="20"/>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4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such a product may become unreasonable to continue to develop;</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when approved to market, if any, could limit our ability to market those products and decrease our ability to generate revenue.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Centers for Medicare and Medicaid Services, (“CMS”), an agency within the U.S. Department of Health and Human Services, as CMS decides whether and to what extent a new drug will be covered and reimbursed under Medicare. Private payors tend to follow the coverage reimbursement policies established by CMS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a substantial degree. It is difficult to predict what CMS will decide with respect to reimbursement for novel product candidates such as our and what reimbursement codes our product candidates may receive if approved.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may be insufficient to generate commercially reasonable revenue and profits.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president and chief executive officer and our executive vice president of finance and chief financial officer, and to attract, retain, and motivate other qualified personnel.</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small company with a limited number of employees performing multiple tasks each. We are highly dependent on David J. Arthur, our president and chief executive officer, and Mark J. Rosenblum, our executive vice president of finance and chief financial officer, the loss of service from either may adversely impact the achievement of our objectives. Although Mr. Arthur employment agreement contains a non-compete provision for a period of one year following the termination of his employment agreement, he could leave our employment at any time, as he is an “at will” employee. Recruiting and retaining other qualified employees, consultants, and advisors for our business, including scientific and technical personnel, will also be critical to our success. There is currently a shortage of highly qualified personnel in our industry, which is likely to continue. Additionally, this shortage of highly qualified personnel is particularly acute in the area where we are located. As a result, competition for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development and commercialization of our product candidates may make it more challenging to recruit and retain qualified personnel. The inability to recruit and retain qualified personnel, or the loss of the services of Mr. Arthur or Mr. Rosenblum may impede the progress of our research, development, and commercialization objectives and would negatively impact our ability to succeed in our product development strategy.</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2021, we had 15 full-time employees. As our development and commercialization plans and strategies develop, we expect to need additional managerial, operational, sales, marketing, financial, legal, and other resources. Our management may need to divert a disproportionate amount of its attention away from its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the warrants could impede our ability to enter into certain transactions or obtain additional financing.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of the warrants require us, upon the consummation of any “fundamental transaction” (as defined in the securities), to, among other obligations, cause any successor entity resulting from the fundamental transaction to assume all of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A substantial number of shares of common stock are being offered by this prospectus. We cannot predict the number of these shares that might be sold nor the effect that future sales of our shares of common stock, including shares issuable upon the exercise of warrants, would have on the market price of our shares of common stock.</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meet the continued listing requirements of the Nasdaq Stock Market, LLC (“Nasdaq”) could result in the delisting of our common stock, negatively impact the price of our common stock and negatively impact our ability to raise additional capital.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November 16, 2021, we were notified (the “Notice”) by Nasdaq that on August 17, 2021 the average closing price of the Company’s common stock (the “Common Stock”) over the prior 30 consecutive trading days had fallen below $1.00 per share, which is the minimum</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average closing price required to maintain listing on Nasdaq under Nasdaq Listing Rule 5450(a)(1) (the “Minimum Bid Requirement”). To regain compliance, the closing bid price of the Company’s common stock must be at least $1.00 per share for a minimum of ten consecutive business days before May 16, 2022.</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18, 2022, the closing price of our common stock was $.39 per share. To the extent that we are unable to resolve any listing deficiency, there is a risk that our common stock may be delisted from Nasdaq, which would adversely impact liquidity of our common stock and potentially result in even lower bid prices for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Failure in our information technology and storage systems could significantly disrupt the operation of our business and/or lead to potential large liabilities.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execute our business plan and maintain operations depends on the continued and uninterrupted performance of our information technology systems. Information technology systems are vulnerable to risks and damages from a variety of sources, including telecommunications or network failures, malicious human acts and natural disasters. Moreover, despite network security and back-up measures, some of our and our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security breach or privacy violation that leads to disclosure of consumer, customer, supplier, partner or employee information (including personally identifiable information or protected health information) could harm our reputation, compel us to comply with disparate state and foreign breach notification laws and otherwise subject us to liability under laws that protect personal data, resulting in increased costs or loss of revenue.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Despite precautionary measures to prevent unanticipated problems that could affect our information technology systems, sustained or repeated system failures that interrupt our ability to generate and maintain data could adversely affect our ability to operate our business. In addition, a data security breach could distract management or other key personnel from performing their primary operational duties.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our data practices, which could have a material adverse effect on our business. Complying with these various laws could cause us to incur substantial costs or require us to change our business practices in a manner adverse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business disruption and related risks resulting from the ongoing COVID-19 pandemic.</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our business, clinical trials or the drug procurement, financing, or other activities or on healthcare systems or the global economy as a whole. However, these effects could have a material impact on the our liquidity, capital resources, operations, and business and those of the third parties on which we rely.</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at this time, we are experiencing minimal disruption to our clinical trials and have experienced no disruptions to manufacturing capabilities. However, we may experience disruptions in the future that have and could further adversely impact our business operations, preclinical studies and clinical trials, and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8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on the Nasdaq Capital Market under the symbol “SLRX.”</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15, 2022, we had approximately 143 record holders of our common stock. Because many of our shares are held by brokers and other institutions on behalf of stockholders, we are unable to estimate the total number of individual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Information required by Item 5 of Form 10-K regarding our equity compensation plans is incorporated herein by reference from Item 12 of Part III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than as previously disclosed on our Current Reports on Form 8-K or Quarterly Reports on Form 10-Q filed with the SEC, we did not issue any unregistered equity securities during the twelve months ended December 31, 2021.</w:t>
      </w:r>
    </w:p>
    <w:p>
      <w:pPr>
        <w:spacing w:after="0" w:line="203" w:lineRule="exact"/>
        <w:rPr>
          <w:sz w:val="20"/>
          <w:szCs w:val="20"/>
          <w:color w:val="auto"/>
        </w:rPr>
      </w:pPr>
    </w:p>
    <w:p>
      <w:pPr>
        <w:ind w:right="5220"/>
        <w:spacing w:after="0" w:line="271"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ectPr>
          <w:pgSz w:w="11900" w:h="16838" w:orient="portrait"/>
          <w:cols w:equalWidth="0" w:num="1">
            <w:col w:w="11240"/>
          </w:cols>
          <w:pgMar w:left="320" w:top="290" w:right="339" w:bottom="9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900" w:gutter="0" w:footer="0" w:header="0"/>
          <w:type w:val="continuous"/>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biotechnology company focused on developing effective epigenetic-based cancer treatments for indications with high unmet medical need. Our lead epigenetic enzyme technology was licensed from the University of Utah Research Foundation in 2011. We also recent acquired DRX-164, subsequently named as SP-3164, which is a next-generation cereblon binding molecular glue and we believe it has a clear development path in hematological cancer and potential in solid tumors.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Epigenetics refers to the system that regulates gene expression through conformational changes to the chromatin rather than changes to the DNA sequence itself. 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19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 in combining LSD1 inhibitors with checkpoint inhibitors. We are conducting preclinical work with SP-2577 in this area.</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plan is to develop SP-3164 in high unmet need hematological and solid tumor indications. SP-3164's development in hematological indications leverates the clinical safety and efficacy data demonstrated by avadomide in hematological malignancies (e.g., Diffuse Large B cell Lymphoma, Follicular Lymphoma) across several clinical trials. SP-3164 is the stabilized, active S-enantiomer of avadomide, which exists as a 1:1 ratio of the S and R enantiomers. However, only the S-enantiomer is the active, anti-cancer species. Therefore, because SP-3164 is the stabilized S-enantiomer, it has the potential to show improved therapy and safety over avadomide. This was demonstrated in early preclinical mouse models of multiple myeloma. In addition to having a clear development path</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hematological cancers, we believe SP-3164 also has potential in solid tumors. We are conducting preclinical work to identify the most promising indications and combinations for SP-3164's development in solid tumors.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$32.2 million as of December 31, 2021. Substantially all of our operating losses resulted from expenses incurred in connection with our research and development programs and from general and administrative costs associated with our operations.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cash and cash equivalents of $29.2 million. We have received $14.5 million since inception of the grant. We believe that as of December 31, 2021, CPRIT fund matching requirements had been fully met. Additionally, during the twelve months ended December 31, 2021, we received $28.8 million cash from equity offering.</w:t>
      </w:r>
    </w:p>
    <w:p>
      <w:pPr>
        <w:spacing w:after="0" w:line="18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the consolidated results of our operations for the year ended December 31, 2021 compared to the year ended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0"/>
                <w:szCs w:val="20"/>
                <w:color w:val="auto"/>
              </w:rPr>
            </w:pP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4"/>
                <w:szCs w:val="24"/>
                <w:color w:val="auto"/>
              </w:rPr>
            </w:pPr>
          </w:p>
        </w:tc>
        <w:tc>
          <w:tcPr>
            <w:tcW w:w="204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Grant revenue</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
                <w:szCs w:val="2"/>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1,840,216</w:t>
            </w:r>
          </w:p>
        </w:tc>
        <w:tc>
          <w:tcPr>
            <w:tcW w:w="320" w:type="dxa"/>
            <w:vAlign w:val="bottom"/>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5,233,301</w:t>
            </w:r>
          </w:p>
        </w:tc>
        <w:tc>
          <w:tcPr>
            <w:tcW w:w="620" w:type="dxa"/>
            <w:vAlign w:val="bottom"/>
            <w:vMerge w:val="continue"/>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(3,393,085)</w:t>
            </w:r>
          </w:p>
        </w:tc>
        <w:tc>
          <w:tcPr>
            <w:tcW w:w="0" w:type="dxa"/>
            <w:vAlign w:val="bottom"/>
          </w:tcPr>
          <w:p>
            <w:pPr>
              <w:spacing w:after="0"/>
              <w:rPr>
                <w:sz w:val="1"/>
                <w:szCs w:val="1"/>
                <w:color w:val="auto"/>
              </w:rPr>
            </w:pPr>
          </w:p>
        </w:tc>
      </w:tr>
      <w:tr>
        <w:trPr>
          <w:trHeight w:val="26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8,548,520</w:t>
            </w:r>
          </w:p>
        </w:tc>
        <w:tc>
          <w:tcPr>
            <w:tcW w:w="320" w:type="dxa"/>
            <w:vAlign w:val="bottom"/>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6,913,853</w:t>
            </w:r>
          </w:p>
        </w:tc>
        <w:tc>
          <w:tcPr>
            <w:tcW w:w="620" w:type="dxa"/>
            <w:vAlign w:val="bottom"/>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1,634,667</w:t>
            </w:r>
          </w:p>
        </w:tc>
        <w:tc>
          <w:tcPr>
            <w:tcW w:w="0" w:type="dxa"/>
            <w:vAlign w:val="bottom"/>
          </w:tcPr>
          <w:p>
            <w:pPr>
              <w:spacing w:after="0"/>
              <w:rPr>
                <w:sz w:val="1"/>
                <w:szCs w:val="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6,104,627</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6,105,793</w:t>
            </w:r>
          </w:p>
        </w:tc>
        <w:tc>
          <w:tcPr>
            <w:tcW w:w="6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44,693</w:t>
            </w:r>
          </w:p>
        </w:tc>
        <w:tc>
          <w:tcPr>
            <w:tcW w:w="320" w:type="dxa"/>
            <w:vAlign w:val="bottom"/>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c>
          <w:tcPr>
            <w:tcW w:w="620" w:type="dxa"/>
            <w:vAlign w:val="bottom"/>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(213,858)</w:t>
            </w:r>
          </w:p>
        </w:tc>
        <w:tc>
          <w:tcPr>
            <w:tcW w:w="0" w:type="dxa"/>
            <w:vAlign w:val="bottom"/>
          </w:tcPr>
          <w:p>
            <w:pPr>
              <w:spacing w:after="0"/>
              <w:rPr>
                <w:sz w:val="1"/>
                <w:szCs w:val="1"/>
                <w:color w:val="auto"/>
              </w:rPr>
            </w:pPr>
          </w:p>
        </w:tc>
      </w:tr>
      <w:tr>
        <w:trPr>
          <w:trHeight w:val="26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grants and other income</w:t>
            </w:r>
          </w:p>
        </w:tc>
        <w:tc>
          <w:tcPr>
            <w:tcW w:w="340" w:type="dxa"/>
            <w:vAlign w:val="bottom"/>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178,587</w:t>
            </w:r>
          </w:p>
        </w:tc>
        <w:tc>
          <w:tcPr>
            <w:tcW w:w="620" w:type="dxa"/>
            <w:vAlign w:val="bottom"/>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(178,587)</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(7,349,207)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(5,419,031)</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was $1.8 million during the year ended December 31, 2021 compared to $5.2 million during the year ended December 31, 2020. During 2021, we reached the maximum amount of the eligible spending that can be reimbursed from CPRIT.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were $8.5 million during the year ended December 31, 2021 compared to $6.9 million during the year ended December 31, 2020. This increase of $1.6 million was principally due to higher headcount in 2021, increased clinical trial cost in 2021 directly tied to patients enrollment, more spending on lab material and nonclinical activities, partially offset by decreased manufacturing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General and administrative expenses were $6.1 million for the year ended December 31, 2021 compared to $6.1 million for the year ended December 31, 2020, consistent with prior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in current year was primarily due to the fluctuation of the price of our common stock which was $0.5 per share on December 31, 2021 compared to $0.9 per share on December 31, 2020 and our common stock price was $3.8 per share on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from the CPRIT grant, and have not generated any cash inflows from product sales.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known material contractual obligations which will require cash to meet their requirements. These applicable obligations include our lease agreement for our facilities, and our employment contracts. We also plan to deploy cash for other research and development and general and administrative operating expenses. Our ability to continue meeting these contractual obligations will be reliant upon our ability to secure significant additional capital funding.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all of which are in early stages of development.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we had $28.1 million of working capital and our cash and cash equivalents totaled $29.2 million, which were held in bank accounts and money market account. Our cash and cash equivalents balance increased during the year ended December 31, 2021, primarily due to the capital received from financing activities partially offset by our net loss incurred.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Liquidity</w:t>
            </w: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540" w:type="dxa"/>
            <w:vAlign w:val="bottom"/>
            <w:gridSpan w:val="3"/>
          </w:tcPr>
          <w:p>
            <w:pPr>
              <w:spacing w:after="0"/>
              <w:rPr>
                <w:sz w:val="21"/>
                <w:szCs w:val="21"/>
                <w:color w:val="auto"/>
              </w:rPr>
            </w:pPr>
          </w:p>
        </w:tc>
      </w:tr>
      <w:tr>
        <w:trPr>
          <w:trHeight w:val="230"/>
        </w:trPr>
        <w:tc>
          <w:tcPr>
            <w:tcW w:w="660" w:type="dxa"/>
            <w:vAlign w:val="bottom"/>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660" w:type="dxa"/>
            <w:vAlign w:val="bottom"/>
          </w:tcPr>
          <w:p>
            <w:pPr>
              <w:spacing w:after="0"/>
              <w:rPr>
                <w:sz w:val="21"/>
                <w:szCs w:val="21"/>
                <w:color w:val="auto"/>
              </w:rPr>
            </w:pPr>
          </w:p>
        </w:tc>
        <w:tc>
          <w:tcPr>
            <w:tcW w:w="46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6"/>
        </w:trPr>
        <w:tc>
          <w:tcPr>
            <w:tcW w:w="6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(10,200,197)</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(10,311,363)</w:t>
            </w:r>
          </w:p>
        </w:tc>
      </w:tr>
      <w:tr>
        <w:trPr>
          <w:trHeight w:val="263"/>
        </w:trPr>
        <w:tc>
          <w:tcPr>
            <w:tcW w:w="66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50"/>
        </w:trPr>
        <w:tc>
          <w:tcPr>
            <w:tcW w:w="660" w:type="dxa"/>
            <w:vAlign w:val="bottom"/>
          </w:tcPr>
          <w:p>
            <w:pPr>
              <w:spacing w:after="0"/>
              <w:rPr>
                <w:sz w:val="21"/>
                <w:szCs w:val="21"/>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28,295,963</w:t>
            </w:r>
          </w:p>
        </w:tc>
        <w:tc>
          <w:tcPr>
            <w:tcW w:w="7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17,693,677</w:t>
            </w:r>
          </w:p>
        </w:tc>
      </w:tr>
      <w:tr>
        <w:trPr>
          <w:trHeight w:val="275"/>
        </w:trPr>
        <w:tc>
          <w:tcPr>
            <w:tcW w:w="66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18,095,766</w:t>
            </w:r>
          </w:p>
        </w:tc>
        <w:tc>
          <w:tcPr>
            <w:tcW w:w="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7,379,714</w:t>
            </w:r>
          </w:p>
        </w:tc>
      </w:tr>
      <w:tr>
        <w:trPr>
          <w:trHeight w:val="20"/>
        </w:trPr>
        <w:tc>
          <w:tcPr>
            <w:tcW w:w="66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6740" w:type="dxa"/>
            <w:vAlign w:val="bottom"/>
            <w:shd w:val="clear" w:color="auto" w:fill="CCEEFF"/>
          </w:tcPr>
          <w:p>
            <w:pPr>
              <w:spacing w:after="0"/>
              <w:rPr>
                <w:sz w:val="19"/>
                <w:szCs w:val="19"/>
                <w:color w:val="auto"/>
              </w:rPr>
            </w:pPr>
          </w:p>
        </w:tc>
        <w:tc>
          <w:tcPr>
            <w:tcW w:w="3280" w:type="dxa"/>
            <w:vAlign w:val="bottom"/>
            <w:gridSpan w:val="4"/>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29"/>
        </w:trPr>
        <w:tc>
          <w:tcPr>
            <w:tcW w:w="67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equity securities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14,798,944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Payments on note payable</w:t>
            </w:r>
          </w:p>
        </w:tc>
        <w:tc>
          <w:tcPr>
            <w:tcW w:w="1400" w:type="dxa"/>
            <w:vAlign w:val="bottom"/>
          </w:tcPr>
          <w:p>
            <w:pPr>
              <w:jc w:val="right"/>
              <w:spacing w:after="0"/>
              <w:rPr>
                <w:sz w:val="20"/>
                <w:szCs w:val="20"/>
                <w:color w:val="auto"/>
              </w:rPr>
            </w:pPr>
            <w:r>
              <w:rPr>
                <w:rFonts w:ascii="Arial" w:cs="Arial" w:eastAsia="Arial" w:hAnsi="Arial"/>
                <w:sz w:val="18"/>
                <w:szCs w:val="18"/>
                <w:color w:val="auto"/>
              </w:rPr>
              <w:t>(477,028)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(974,435)</w:t>
            </w:r>
          </w:p>
        </w:tc>
      </w:tr>
      <w:tr>
        <w:trPr>
          <w:trHeight w:val="25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warrants exercised for cash</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1,485,353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3,869,168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28,295,963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17,693,677</w:t>
            </w:r>
          </w:p>
        </w:tc>
      </w:tr>
    </w:tbl>
    <w:p>
      <w:pPr>
        <w:spacing w:after="0" w:line="31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Net cash provided by financing activities was $28.3 million and $ 17.7 million for the years ended December 31, 2021 and 2020. This increase of $10.6 million resulted primarily from higher proceeds from the sale of our common shares during the first and third quarters of 2021, partially offset by lower net proceeds from warrants exercised for cash. Principal payments on the insurance financing note were $0.5 million during the year ended December 31, 2021 compared to $1.0 million for the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continue to incur additional costs associated with our ongoing research and development activities and our continued operation as a public company. In addition, subject to obtaining regulatory approval of any of our product candidates, we anticipate we will need substantial additional funding in connection with our continuing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have suffered recurring losses from operations since our inception. The lack of revenue from product sales to date and recurring losses from operations since our inception raise substantial doubt as to our ability to continue as a going concern. 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Based on our expected cash requirements, we believe that there is substantial doubt that our existing cash and cash equivalents will be sufficient to fund our operation through one year from the date of this report.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our research and development expenses to substantially increase in connection with our ongoing activities, particularly as we advance our product candidates in or towards clinical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timing of any strategic alliance, licensing and other arrangements that we may establish;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initiation and progress of our ongoing pre-clinical studies and clinical trials for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programs we pursue;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involved in patent filing, prosecution, and enforcement;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and timing of having clinical supplies of our product candidates manufactured.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finance our future cash needs primarily through the issuance of additional equity and potentially through borrowing, strategic alliances with partner companies, and grants.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itself.</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and how much funding to direct to each program on an ongoing basis in response to the scientific and clinical success of each product candidate and ongoing assessments as to each product candidate’s commercial potential. Our failure to raise capital or enter into such other arrangements as and when needed would have a negative impact on our financial condition and our ability to develop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significant accounting policies are described in Note 2 to our audited consolidated financial statements for the year ended December 31, 2021 in this Annual Report on Form 10-K. We believe that our accounting policies relating to revenue recognition, research and development expenses, stock-based compensation and fair value of financial instruments are the most critical to understanding and evaluating our reported financial results. We have identified these policies as critical because they both are important to the presentation of our financial condition and results of operations and require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does not have any holdings in variable interest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2021, our cash was primarily held in money market account. Therefore, we have minimal market risk related to the fair market value of our portfolio.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93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939"/>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6"/>
                <w:szCs w:val="16"/>
                <w:b w:val="1"/>
                <w:bCs w:val="1"/>
                <w:color w:val="auto"/>
              </w:rPr>
              <w:t>Financial Statements and Supplementary Data</w:t>
            </w:r>
          </w:p>
        </w:tc>
        <w:tc>
          <w:tcPr>
            <w:tcW w:w="162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08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SALARIUS PHARMACEUTICALS, INC.</w:t>
            </w:r>
          </w:p>
        </w:tc>
        <w:tc>
          <w:tcPr>
            <w:tcW w:w="162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620" w:type="dxa"/>
            <w:vAlign w:val="bottom"/>
          </w:tcPr>
          <w:p>
            <w:pPr>
              <w:spacing w:after="0"/>
              <w:rPr>
                <w:sz w:val="24"/>
                <w:szCs w:val="24"/>
                <w:color w:val="auto"/>
              </w:rPr>
            </w:pPr>
          </w:p>
        </w:tc>
      </w:tr>
      <w:tr>
        <w:trPr>
          <w:trHeight w:val="243"/>
        </w:trPr>
        <w:tc>
          <w:tcPr>
            <w:tcW w:w="934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r>
      <w:tr>
        <w:trPr>
          <w:trHeight w:val="188"/>
        </w:trPr>
        <w:tc>
          <w:tcPr>
            <w:tcW w:w="93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1620" w:type="dxa"/>
            <w:vAlign w:val="bottom"/>
            <w:shd w:val="clear" w:color="auto" w:fill="CCEEFF"/>
          </w:tcPr>
          <w:p>
            <w:pPr>
              <w:jc w:val="right"/>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620" w:type="dxa"/>
            <w:vAlign w:val="bottom"/>
            <w:shd w:val="clear" w:color="auto" w:fill="CCEEFF"/>
          </w:tcPr>
          <w:p>
            <w:pPr>
              <w:jc w:val="right"/>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620" w:type="dxa"/>
            <w:vAlign w:val="bottom"/>
            <w:shd w:val="clear" w:color="auto" w:fill="CCEEFF"/>
          </w:tcPr>
          <w:p>
            <w:pPr>
              <w:jc w:val="right"/>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620" w:type="dxa"/>
            <w:vAlign w:val="bottom"/>
            <w:shd w:val="clear" w:color="auto" w:fill="CCEEFF"/>
          </w:tcPr>
          <w:p>
            <w:pPr>
              <w:jc w:val="right"/>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 of Stockholders' Equity (Deficit)</w:t>
            </w:r>
          </w:p>
        </w:tc>
        <w:tc>
          <w:tcPr>
            <w:tcW w:w="1620" w:type="dxa"/>
            <w:vAlign w:val="bottom"/>
            <w:shd w:val="clear" w:color="auto" w:fill="CCEEFF"/>
          </w:tcPr>
          <w:p>
            <w:pPr>
              <w:jc w:val="right"/>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17"/>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620" w:type="dxa"/>
            <w:vAlign w:val="bottom"/>
            <w:shd w:val="clear" w:color="auto" w:fill="CCEEFF"/>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66" w:right="61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Salarius Pharmaceuticals,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audited the accompanying consolidated balance sheets of Salarius Pharmaceuticals, Inc. (the Company) as of December 31, 2021 and 2020, the related consolidated statements of operations,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a lack of revenue from product sales and has suffered recurring losses from operations since its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920"/>
        <w:spacing w:after="0"/>
        <w:rPr>
          <w:sz w:val="20"/>
          <w:szCs w:val="20"/>
          <w:color w:val="auto"/>
        </w:rPr>
      </w:pPr>
      <w:r>
        <w:rPr>
          <w:rFonts w:ascii="Arial" w:cs="Arial" w:eastAsia="Arial" w:hAnsi="Arial"/>
          <w:sz w:val="17"/>
          <w:szCs w:val="17"/>
          <w:b w:val="1"/>
          <w:bCs w:val="1"/>
          <w:i w:val="1"/>
          <w:iCs w:val="1"/>
          <w:color w:val="auto"/>
        </w:rPr>
        <w:t>Goodwill impairment evaluation</w:t>
      </w:r>
    </w:p>
    <w:p>
      <w:pPr>
        <w:sectPr>
          <w:pgSz w:w="11900" w:h="16838" w:orient="portrait"/>
          <w:cols w:equalWidth="0" w:num="1">
            <w:col w:w="11220"/>
          </w:cols>
          <w:pgMar w:left="320" w:top="290" w:right="359" w:bottom="1440" w:gutter="0" w:footer="0" w:header="0"/>
        </w:sectPr>
      </w:pPr>
    </w:p>
    <w:p>
      <w:pPr>
        <w:spacing w:after="0" w:line="52" w:lineRule="exact"/>
        <w:rPr>
          <w:sz w:val="20"/>
          <w:szCs w:val="20"/>
          <w:color w:val="auto"/>
        </w:rPr>
      </w:pPr>
    </w:p>
    <w:p>
      <w:pPr>
        <w:ind w:left="20"/>
        <w:spacing w:after="0" w:line="251"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At December 31, 2021, the Company’s goodwill balance was $8.8 million. As discussed in Note 2 of the financial statements, goodwill is tested for impairment at least annually or more frequently if indicators of impairment require the performance of an interim impairment assessment. The test can be qualitative in nature through consideration of economic factors at the macro and micro level or can be quantitative through a calculated analysis. Management did not identify any impairment indicators during the year and therefore performed its annual assessment as required. A quantitative assessment was not deemed necessary based on the qualitative assessment performed.</w:t>
      </w:r>
    </w:p>
    <w:p>
      <w:pPr>
        <w:spacing w:after="0" w:line="191" w:lineRule="exact"/>
        <w:rPr>
          <w:sz w:val="20"/>
          <w:szCs w:val="20"/>
          <w:color w:val="auto"/>
        </w:rPr>
      </w:pPr>
    </w:p>
    <w:p>
      <w:pPr>
        <w:sectPr>
          <w:pgSz w:w="11900" w:h="16838" w:orient="portrait"/>
          <w:cols w:equalWidth="0" w:num="2">
            <w:col w:w="1420" w:space="500"/>
            <w:col w:w="9300"/>
          </w:cols>
          <w:pgMar w:left="320" w:top="290" w:right="359" w:bottom="1440" w:gutter="0" w:footer="0" w:header="0"/>
          <w:type w:val="continuous"/>
        </w:sectPr>
      </w:pPr>
    </w:p>
    <w:p>
      <w:pPr>
        <w:jc w:val="both"/>
        <w:ind w:left="1920"/>
        <w:spacing w:after="0" w:line="224" w:lineRule="auto"/>
        <w:rPr>
          <w:sz w:val="20"/>
          <w:szCs w:val="20"/>
          <w:color w:val="auto"/>
        </w:rPr>
      </w:pPr>
      <w:r>
        <w:rPr>
          <w:rFonts w:ascii="Arial" w:cs="Arial" w:eastAsia="Arial" w:hAnsi="Arial"/>
          <w:sz w:val="18"/>
          <w:szCs w:val="18"/>
          <w:color w:val="auto"/>
        </w:rPr>
        <w:t>Auditing management’s annual goodwill impairment test was complex as considerable management judgment was necessary to assess and weigh the effect of relevant events and circumstances on management’s evaluation of whether it is more likely than not that the fair value of the reporting unit is less than its carrying amount. The Company’s impairment assessment is sensitive to assumptions related to potential adverse events and circumstances, including current market trends in control premiums and involves judgement in determining comparable peer companies to include in the control premium evaluation.</w:t>
      </w:r>
    </w:p>
    <w:p>
      <w:pPr>
        <w:sectPr>
          <w:pgSz w:w="11900" w:h="16838" w:orient="portrait"/>
          <w:cols w:equalWidth="0" w:num="1">
            <w:col w:w="11220"/>
          </w:cols>
          <w:pgMar w:left="320" w:top="290" w:right="35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w:t>
      </w:r>
    </w:p>
    <w:p>
      <w:pPr>
        <w:ind w:left="20"/>
        <w:spacing w:after="0" w:line="219" w:lineRule="auto"/>
        <w:rPr>
          <w:sz w:val="20"/>
          <w:szCs w:val="20"/>
          <w:color w:val="auto"/>
        </w:rPr>
      </w:pPr>
      <w:r>
        <w:rPr>
          <w:rFonts w:ascii="Arial" w:cs="Arial" w:eastAsia="Arial" w:hAnsi="Arial"/>
          <w:sz w:val="18"/>
          <w:szCs w:val="18"/>
          <w:i w:val="1"/>
          <w:iCs w:val="1"/>
          <w:color w:val="auto"/>
        </w:rPr>
        <w:t>Addressed the</w:t>
      </w:r>
    </w:p>
    <w:p>
      <w:pPr>
        <w:ind w:left="2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substantive procedures to test the Company’s goodwill impairment analysis included, among others, assessing the methodology and factors considered within the analysis and testing the qualitative factors discussed above and the underlying data used by the Company in its analysis. We compared the qualitative factors used by management to current industry and economic trends, current market trends in control premiums for observable transactions of comparable peer companies, relevant entity-specific events, and other relevant factors to assess for potential contrary evidence. In addition, we performed a sensitivity analysis of the assumption related to current market trends in control premium to evaluate the changes in the analysis that would result from changes in this assumption.</w:t>
      </w:r>
    </w:p>
    <w:p>
      <w:pPr>
        <w:spacing w:after="0" w:line="200" w:lineRule="exact"/>
        <w:rPr>
          <w:sz w:val="20"/>
          <w:szCs w:val="20"/>
          <w:color w:val="auto"/>
        </w:rPr>
      </w:pPr>
    </w:p>
    <w:p>
      <w:pPr>
        <w:sectPr>
          <w:pgSz w:w="11900" w:h="16838" w:orient="portrait"/>
          <w:cols w:equalWidth="0" w:num="2">
            <w:col w:w="1540" w:space="380"/>
            <w:col w:w="9300"/>
          </w:cols>
          <w:pgMar w:left="320" w:top="290" w:right="35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9" w:lineRule="auto"/>
        <w:rPr>
          <w:sz w:val="20"/>
          <w:szCs w:val="20"/>
          <w:color w:val="auto"/>
        </w:rPr>
      </w:pPr>
      <w:r>
        <w:rPr>
          <w:rFonts w:ascii="Arial" w:cs="Arial" w:eastAsia="Arial" w:hAnsi="Arial"/>
          <w:sz w:val="18"/>
          <w:szCs w:val="18"/>
          <w:color w:val="auto"/>
        </w:rPr>
        <w:t>We have served as the Company’s auditor since 2019.</w:t>
      </w:r>
    </w:p>
    <w:p>
      <w:pPr>
        <w:spacing w:after="0" w:line="219" w:lineRule="auto"/>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March 25,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11,118,614</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200" w:type="dxa"/>
            <w:vAlign w:val="bottom"/>
          </w:tcPr>
          <w:p>
            <w:pPr>
              <w:spacing w:after="0"/>
              <w:rPr>
                <w:sz w:val="19"/>
                <w:szCs w:val="19"/>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3,855,996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949,215</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822,050</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30,163,595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15,796,660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receivable from CPRIT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1,610,490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185,994</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247,113</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40,833,868</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24,932,321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1,543,096</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1,853,756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553,269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383,138</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Note payable</w:t>
            </w:r>
          </w:p>
        </w:tc>
        <w:tc>
          <w:tcPr>
            <w:tcW w:w="200" w:type="dxa"/>
            <w:vAlign w:val="bottom"/>
          </w:tcPr>
          <w:p>
            <w:pPr>
              <w:spacing w:after="0"/>
              <w:rPr>
                <w:sz w:val="19"/>
                <w:szCs w:val="19"/>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477,028</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59,211</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2,110,883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2,773,133</w:t>
            </w: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45,241,808 and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23,810,541 shares issued at December 31, 2021 and December 31, 2020, and 45,241,808</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and 23,808,546 shares outstanding at December 31, 2021 and December 31, 2020,</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70,915,653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41,585,761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(32,197,192)</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(19,428,954)</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38,722,985</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22,159,188</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40,833,868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1"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Twelve Months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1,840,216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5,233,301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8,548,520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6,913,853</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6,104,627</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6,105,793</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14,653,147</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13,019,646</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(12,812,931)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(7,786,345)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175,540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(7,352,254)</w:t>
            </w:r>
          </w:p>
        </w:tc>
      </w:tr>
      <w:tr>
        <w:trPr>
          <w:trHeight w:val="250"/>
        </w:trPr>
        <w:tc>
          <w:tcPr>
            <w:tcW w:w="67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3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increase related to warrant modification</w:t>
            </w: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(396,407)</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attributable to common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(12,768,238)</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(7,748,661)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03"/>
        </w:trPr>
        <w:tc>
          <w:tcPr>
            <w:tcW w:w="67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Weighted-average number of common shares outstanding —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41,365,955</w:t>
            </w:r>
          </w:p>
        </w:tc>
        <w:tc>
          <w:tcPr>
            <w:tcW w:w="18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15,578,611</w:t>
            </w:r>
          </w:p>
        </w:tc>
      </w:tr>
      <w:tr>
        <w:trPr>
          <w:trHeight w:val="21"/>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290" w:right="135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1"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Twelve Months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(7,352,254)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559,044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319,391</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(3,855,996)</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1,140,117</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222,355</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(541,701)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(10,200,197)</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(10,311,363)</w:t>
            </w:r>
          </w:p>
        </w:tc>
      </w:tr>
      <w:tr>
        <w:trPr>
          <w:trHeight w:val="74"/>
        </w:trPr>
        <w:tc>
          <w:tcPr>
            <w:tcW w:w="7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88"/>
        </w:trPr>
        <w:tc>
          <w:tcPr>
            <w:tcW w:w="784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27,287,638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14,798,944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Warrants exercised for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1,485,353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3,869,168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(974,435)</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28,295,963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17,693,677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18,095,766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7,379,714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3,738,900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2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accrued capital expenditures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warrants exercised for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56,915</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Prepaid expense financed by note payable</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949,131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2020" w:type="dxa"/>
            <w:vAlign w:val="bottom"/>
            <w:gridSpan w:val="3"/>
            <w:vMerge w:val="restart"/>
          </w:tcPr>
          <w:p>
            <w:pPr>
              <w:jc w:val="right"/>
              <w:ind w:right="245"/>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7"/>
                <w:szCs w:val="17"/>
                <w:color w:val="auto"/>
              </w:rPr>
            </w:pPr>
          </w:p>
        </w:tc>
        <w:tc>
          <w:tcPr>
            <w:tcW w:w="2060" w:type="dxa"/>
            <w:vAlign w:val="bottom"/>
            <w:gridSpan w:val="3"/>
            <w:vMerge w:val="restart"/>
          </w:tcPr>
          <w:p>
            <w:pPr>
              <w:jc w:val="right"/>
              <w:ind w:right="267"/>
              <w:spacing w:after="0"/>
              <w:rPr>
                <w:sz w:val="20"/>
                <w:szCs w:val="20"/>
                <w:color w:val="auto"/>
              </w:rPr>
            </w:pPr>
            <w:r>
              <w:rPr>
                <w:rFonts w:ascii="Arial" w:cs="Arial" w:eastAsia="Arial" w:hAnsi="Arial"/>
                <w:sz w:val="18"/>
                <w:szCs w:val="18"/>
                <w:b w:val="1"/>
                <w:bCs w:val="1"/>
                <w:color w:val="auto"/>
              </w:rPr>
              <w:t>Preferred Stock</w:t>
            </w:r>
          </w:p>
        </w:tc>
        <w:tc>
          <w:tcPr>
            <w:tcW w:w="1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Additional</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40"/>
              <w:spacing w:after="0" w:line="149" w:lineRule="exact"/>
              <w:rPr>
                <w:sz w:val="20"/>
                <w:szCs w:val="20"/>
                <w:color w:val="auto"/>
              </w:rPr>
            </w:pPr>
            <w:r>
              <w:rPr>
                <w:rFonts w:ascii="Arial" w:cs="Arial" w:eastAsia="Arial" w:hAnsi="Arial"/>
                <w:sz w:val="17"/>
                <w:szCs w:val="17"/>
                <w:b w:val="1"/>
                <w:bCs w:val="1"/>
                <w:color w:val="auto"/>
              </w:rPr>
              <w:t>Paid-In</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7"/>
                <w:szCs w:val="17"/>
                <w:b w:val="1"/>
                <w:bCs w:val="1"/>
                <w:color w:val="auto"/>
              </w:rPr>
              <w:t>Accumulated</w:t>
            </w:r>
          </w:p>
        </w:tc>
        <w:tc>
          <w:tcPr>
            <w:tcW w:w="1340" w:type="dxa"/>
            <w:vAlign w:val="bottom"/>
            <w:gridSpan w:val="2"/>
          </w:tcPr>
          <w:p>
            <w:pPr>
              <w:jc w:val="right"/>
              <w:spacing w:after="0" w:line="149"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Capital</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Deficit</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4,511,174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22,657,103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(12,076,700)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199"/>
        </w:trPr>
        <w:tc>
          <w:tcPr>
            <w:tcW w:w="2740" w:type="dxa"/>
            <w:vAlign w:val="bottom"/>
          </w:tcPr>
          <w:p>
            <w:pPr>
              <w:spacing w:after="0" w:line="199" w:lineRule="exact"/>
              <w:rPr>
                <w:sz w:val="20"/>
                <w:szCs w:val="20"/>
                <w:color w:val="auto"/>
              </w:rPr>
            </w:pPr>
            <w:r>
              <w:rPr>
                <w:rFonts w:ascii="Arial" w:cs="Arial" w:eastAsia="Arial" w:hAnsi="Arial"/>
                <w:sz w:val="20"/>
                <w:szCs w:val="20"/>
                <w:color w:val="auto"/>
              </w:rPr>
              <w:t>Issuance of equity securities,</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13,483,870</w:t>
            </w: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1,348</w:t>
            </w: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1,246,519</w:t>
            </w: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125</w:t>
            </w:r>
          </w:p>
        </w:tc>
        <w:tc>
          <w:tcPr>
            <w:tcW w:w="100" w:type="dxa"/>
            <w:vAlign w:val="bottom"/>
          </w:tcPr>
          <w:p>
            <w:pPr>
              <w:spacing w:after="0"/>
              <w:rPr>
                <w:sz w:val="17"/>
                <w:szCs w:val="17"/>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20"/>
                <w:szCs w:val="20"/>
                <w:color w:val="auto"/>
                <w:w w:val="97"/>
              </w:rPr>
              <w:t>14,797,471</w:t>
            </w:r>
          </w:p>
        </w:tc>
        <w:tc>
          <w:tcPr>
            <w:tcW w:w="8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20"/>
                <w:szCs w:val="20"/>
                <w:color w:val="auto"/>
              </w:rPr>
              <w:t>net</w:t>
            </w: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14,798,944</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Preferred shares converted to</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1,246,519</w:t>
            </w:r>
          </w:p>
        </w:tc>
        <w:tc>
          <w:tcPr>
            <w:tcW w:w="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125</w:t>
            </w:r>
          </w:p>
        </w:tc>
        <w:tc>
          <w:tcPr>
            <w:tcW w:w="10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(1,246,519)</w:t>
            </w: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(125)</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common shares</w:t>
            </w: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20"/>
                <w:szCs w:val="20"/>
                <w:color w:val="auto"/>
              </w:rPr>
              <w:t>Warrants exercised for cash</w:t>
            </w:r>
          </w:p>
        </w:tc>
        <w:tc>
          <w:tcPr>
            <w:tcW w:w="1220" w:type="dxa"/>
            <w:vAlign w:val="bottom"/>
          </w:tcPr>
          <w:p>
            <w:pPr>
              <w:jc w:val="right"/>
              <w:spacing w:after="0"/>
              <w:rPr>
                <w:sz w:val="20"/>
                <w:szCs w:val="20"/>
                <w:color w:val="auto"/>
              </w:rPr>
            </w:pPr>
            <w:r>
              <w:rPr>
                <w:rFonts w:ascii="Arial" w:cs="Arial" w:eastAsia="Arial" w:hAnsi="Arial"/>
                <w:sz w:val="20"/>
                <w:szCs w:val="20"/>
                <w:color w:val="auto"/>
              </w:rPr>
              <w:t>4,517,910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452</w:t>
            </w:r>
          </w:p>
        </w:tc>
        <w:tc>
          <w:tcPr>
            <w:tcW w:w="1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auto"/>
              </w:rPr>
              <w:t>3,811,801</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3,812,253</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Equity-based compensation</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30,509</w:t>
            </w:r>
          </w:p>
        </w:tc>
        <w:tc>
          <w:tcPr>
            <w:tcW w:w="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269,390</w:t>
            </w: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expense</w:t>
            </w: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269,393</w:t>
            </w:r>
          </w:p>
        </w:tc>
        <w:tc>
          <w:tcPr>
            <w:tcW w:w="0" w:type="dxa"/>
            <w:vAlign w:val="bottom"/>
          </w:tcPr>
          <w:p>
            <w:pPr>
              <w:spacing w:after="0"/>
              <w:rPr>
                <w:sz w:val="1"/>
                <w:szCs w:val="1"/>
                <w:color w:val="auto"/>
              </w:rPr>
            </w:pPr>
          </w:p>
        </w:tc>
      </w:tr>
      <w:tr>
        <w:trPr>
          <w:trHeight w:val="199"/>
        </w:trPr>
        <w:tc>
          <w:tcPr>
            <w:tcW w:w="2740" w:type="dxa"/>
            <w:vAlign w:val="bottom"/>
          </w:tcPr>
          <w:p>
            <w:pPr>
              <w:spacing w:after="0" w:line="199" w:lineRule="exact"/>
              <w:rPr>
                <w:sz w:val="20"/>
                <w:szCs w:val="20"/>
                <w:color w:val="auto"/>
              </w:rPr>
            </w:pPr>
            <w:r>
              <w:rPr>
                <w:rFonts w:ascii="Arial" w:cs="Arial" w:eastAsia="Arial" w:hAnsi="Arial"/>
                <w:sz w:val="20"/>
                <w:szCs w:val="20"/>
                <w:color w:val="auto"/>
              </w:rPr>
              <w:t>Issuance of equity securities</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18,564</w:t>
            </w: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20"/>
                <w:szCs w:val="20"/>
                <w:color w:val="auto"/>
              </w:rPr>
              <w:t>49,996</w:t>
            </w:r>
          </w:p>
        </w:tc>
        <w:tc>
          <w:tcPr>
            <w:tcW w:w="8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20"/>
                <w:szCs w:val="20"/>
                <w:color w:val="auto"/>
              </w:rPr>
              <w:t>for services</w:t>
            </w: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Modification of warrants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396,407</w:t>
            </w: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exercise prices and terms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396,407</w:t>
            </w:r>
          </w:p>
        </w:tc>
        <w:tc>
          <w:tcPr>
            <w:tcW w:w="0" w:type="dxa"/>
            <w:vAlign w:val="bottom"/>
          </w:tcPr>
          <w:p>
            <w:pPr>
              <w:spacing w:after="0"/>
              <w:rPr>
                <w:sz w:val="1"/>
                <w:szCs w:val="1"/>
                <w:color w:val="auto"/>
              </w:rPr>
            </w:pPr>
          </w:p>
        </w:tc>
      </w:tr>
      <w:tr>
        <w:trPr>
          <w:trHeight w:val="199"/>
        </w:trPr>
        <w:tc>
          <w:tcPr>
            <w:tcW w:w="2740" w:type="dxa"/>
            <w:vAlign w:val="bottom"/>
          </w:tcPr>
          <w:p>
            <w:pPr>
              <w:spacing w:after="0" w:line="199" w:lineRule="exact"/>
              <w:rPr>
                <w:sz w:val="20"/>
                <w:szCs w:val="20"/>
                <w:color w:val="auto"/>
              </w:rPr>
            </w:pPr>
            <w:r>
              <w:rPr>
                <w:rFonts w:ascii="Arial" w:cs="Arial" w:eastAsia="Arial" w:hAnsi="Arial"/>
                <w:sz w:val="20"/>
                <w:szCs w:val="20"/>
                <w:color w:val="auto"/>
              </w:rPr>
              <w:t>Increase in fair value for</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ind w:left="220"/>
              <w:spacing w:after="0"/>
              <w:rPr>
                <w:sz w:val="20"/>
                <w:szCs w:val="20"/>
                <w:color w:val="auto"/>
              </w:rPr>
            </w:pPr>
            <w:r>
              <w:rPr>
                <w:rFonts w:ascii="Arial" w:cs="Arial" w:eastAsia="Arial" w:hAnsi="Arial"/>
                <w:sz w:val="20"/>
                <w:szCs w:val="20"/>
                <w:color w:val="auto"/>
              </w:rPr>
              <w:t>(396,407)</w:t>
            </w:r>
          </w:p>
        </w:tc>
        <w:tc>
          <w:tcPr>
            <w:tcW w:w="8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20"/>
                <w:szCs w:val="20"/>
                <w:color w:val="auto"/>
              </w:rPr>
              <w:t>warrants modification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(396,407)</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(7,352,254)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(7,352,254)</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23,808,546</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41,585,761</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(19,428,954)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Arial" w:cs="Arial" w:eastAsia="Arial" w:hAnsi="Arial"/>
                <w:sz w:val="19"/>
                <w:szCs w:val="19"/>
                <w:color w:val="auto"/>
              </w:rPr>
              <w:t>Issuance of equity securities,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20,054,556</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2,006</w:t>
            </w: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w w:val="97"/>
              </w:rPr>
              <w:t>27,285,632</w:t>
            </w:r>
          </w:p>
        </w:tc>
        <w:tc>
          <w:tcPr>
            <w:tcW w:w="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net</w:t>
            </w: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27,287,638</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20"/>
                <w:szCs w:val="20"/>
                <w:color w:val="auto"/>
              </w:rPr>
              <w:t>Warrants exercised for cash</w:t>
            </w:r>
          </w:p>
        </w:tc>
        <w:tc>
          <w:tcPr>
            <w:tcW w:w="1220" w:type="dxa"/>
            <w:vAlign w:val="bottom"/>
          </w:tcPr>
          <w:p>
            <w:pPr>
              <w:jc w:val="right"/>
              <w:spacing w:after="0"/>
              <w:rPr>
                <w:sz w:val="20"/>
                <w:szCs w:val="20"/>
                <w:color w:val="auto"/>
              </w:rPr>
            </w:pPr>
            <w:r>
              <w:rPr>
                <w:rFonts w:ascii="Arial" w:cs="Arial" w:eastAsia="Arial" w:hAnsi="Arial"/>
                <w:sz w:val="20"/>
                <w:szCs w:val="20"/>
                <w:color w:val="auto"/>
              </w:rPr>
              <w:t>1,298,567</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130</w:t>
            </w:r>
          </w:p>
        </w:tc>
        <w:tc>
          <w:tcPr>
            <w:tcW w:w="1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auto"/>
              </w:rPr>
              <w:t>1,485,223</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1,485,353</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Equity-based compensation</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73,951</w:t>
            </w:r>
          </w:p>
        </w:tc>
        <w:tc>
          <w:tcPr>
            <w:tcW w:w="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559,037</w:t>
            </w: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expense</w:t>
            </w: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559,044</w:t>
            </w:r>
          </w:p>
        </w:tc>
        <w:tc>
          <w:tcPr>
            <w:tcW w:w="0" w:type="dxa"/>
            <w:vAlign w:val="bottom"/>
          </w:tcPr>
          <w:p>
            <w:pPr>
              <w:spacing w:after="0"/>
              <w:rPr>
                <w:sz w:val="1"/>
                <w:szCs w:val="1"/>
                <w:color w:val="auto"/>
              </w:rPr>
            </w:pPr>
          </w:p>
        </w:tc>
      </w:tr>
      <w:tr>
        <w:trPr>
          <w:trHeight w:val="199"/>
        </w:trPr>
        <w:tc>
          <w:tcPr>
            <w:tcW w:w="2740" w:type="dxa"/>
            <w:vAlign w:val="bottom"/>
          </w:tcPr>
          <w:p>
            <w:pPr>
              <w:spacing w:after="0" w:line="199" w:lineRule="exact"/>
              <w:rPr>
                <w:sz w:val="20"/>
                <w:szCs w:val="20"/>
                <w:color w:val="auto"/>
              </w:rPr>
            </w:pPr>
            <w:r>
              <w:rPr>
                <w:rFonts w:ascii="Arial" w:cs="Arial" w:eastAsia="Arial" w:hAnsi="Arial"/>
                <w:sz w:val="20"/>
                <w:szCs w:val="20"/>
                <w:color w:val="auto"/>
              </w:rPr>
              <w:t>Issuance of equity securities</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6,188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20"/>
                <w:szCs w:val="20"/>
                <w:color w:val="auto"/>
              </w:rPr>
              <w:t>for services</w:t>
            </w: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20"/>
                <w:szCs w:val="20"/>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(12,768,238)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45,241,808</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70,915,653</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(32,197,192)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38,722,985</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90" w:right="51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epigenetic-based cancer treatments for indications with high unmet medical need. Salarius’ lead epigenetic enzyme technology was licensed from the University of Utah Research Foundation in 2011. The Company is located in Houston, Texas. The Company merged with Flex Pharma, Inc. ("Flex Pharma") on July 19, 2019 through a reverse acquisition, Flex Pharma was renamed Salarius Pharmaceuticals, Inc. after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Based on Salarius’ expected cash requirements, Salarius believes that there is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At this time we are experiencing minimal disruption to our clinical trials. However, our ongoing Phase 1/2 Ewing sarcoma clinical trial and Phase 1/2 AST clinical trial may encounter delays in enrolling new patients due to concerns or healthcare resource constraints because</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we have worked to adapt to the unexpected and challenging circumstances resulting from the COVID-19 pandemic. However, we may experience disruptions in the future that have and could further adversely impact our business operations as well as our preclinical studies and clinical trials.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Any reference in these notes to applicable guidance is meant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refer to the authoritative GAAP as found in the Accounting Standard Codification ("ASC") and Accounting Standards Update ("ASU") of the Financial Accounting Standards Board ("FASB").</w:t>
      </w:r>
    </w:p>
    <w:p>
      <w:pPr>
        <w:spacing w:after="0" w:line="18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Company considered its going concern disclosure requirements in accordance with ASC 205-40-50.The Company has performed an analysis and concluded substantial doubt exists with respect to the Company being able to continue as a going concern through one year from the date of issuance of the consolidated financial statements for the year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of prior period presentations have been made to conform to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maintains several bank accounts including an interest-bearing account for funds received from Cancer Prevention and Research Institution of Texas ("CPRIT").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that have finite useful lives are amortized over their useful lives, and are reviewed for impairment when warranted by economic conditions. Intangible assets are included in other assets in the Company's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during the twelve months ended December 31,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Many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events and circumstances evaluated in determining whether it is more likely than not that goodwill is impaired are outside of the Company’s control and could change in future periods. There was no impairment of goodwill in 2021 or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The Company records revenue and a corresponding grants receivable when qualifying costs are incurred before the grants are received.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9,531,198 and 10,796,149 shares as of December 31, 2021 and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2021 and 2020,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xml:space="preserve">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the measurement of all expected credit losses for financial assets including trade receivables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reporting date based on historical experience, current conditions, and reasonable and supportable forecasts. Subsequent to the issuance of ASU 2016-13, the FASB issued ASU 2018-19,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xml:space="preserve">. This ASU does not change the core principle of the guidance in ASU 2016-13, instead these amendments are intended to clarify and improve operability of certain topics included within the credit losses guidance. The FASB also subsequently issued ASU No. 2019-04,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326, Financial Instruments—Credit Losses, Derivatives and Hedging (Topic 815), and Financial Instruments (Topic 842)</w:t>
      </w:r>
      <w:r>
        <w:rPr>
          <w:rFonts w:ascii="Arial" w:cs="Arial" w:eastAsia="Arial" w:hAnsi="Arial"/>
          <w:sz w:val="18"/>
          <w:szCs w:val="18"/>
          <w:color w:val="auto"/>
        </w:rPr>
        <w:t>, which did not change the core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are $1.6 million and $3.9 million as of December 31, 2021 and December 31, 2020, respectively. Grant receivables are classified as current or non-current receivables based on the Company’s best estimate of whether or not the amounts will be collected within one year of the balance sheet date.</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Prepaid   expenses   and   other   current   assets   at   December</w:t>
            </w:r>
          </w:p>
        </w:tc>
        <w:tc>
          <w:tcPr>
            <w:tcW w:w="3280" w:type="dxa"/>
            <w:vAlign w:val="bottom"/>
            <w:gridSpan w:val="4"/>
          </w:tcPr>
          <w:p>
            <w:pPr>
              <w:ind w:left="140"/>
              <w:spacing w:after="0"/>
              <w:rPr>
                <w:sz w:val="20"/>
                <w:szCs w:val="20"/>
                <w:color w:val="auto"/>
              </w:rPr>
            </w:pPr>
            <w:r>
              <w:rPr>
                <w:rFonts w:ascii="Arial" w:cs="Arial" w:eastAsia="Arial" w:hAnsi="Arial"/>
                <w:sz w:val="18"/>
                <w:szCs w:val="18"/>
                <w:color w:val="auto"/>
              </w:rPr>
              <w:t>31,   2021   and   2020   consisted</w:t>
            </w:r>
          </w:p>
        </w:tc>
        <w:tc>
          <w:tcPr>
            <w:tcW w:w="12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of   the   following:</w:t>
            </w:r>
          </w:p>
        </w:tc>
      </w:tr>
      <w:tr>
        <w:trPr>
          <w:trHeight w:val="257"/>
        </w:trPr>
        <w:tc>
          <w:tcPr>
            <w:tcW w:w="60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December 31, 2021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December 31, 2020</w:t>
            </w:r>
          </w:p>
        </w:tc>
        <w:tc>
          <w:tcPr>
            <w:tcW w:w="40" w:type="dxa"/>
            <w:vAlign w:val="bottom"/>
          </w:tcPr>
          <w:p>
            <w:pPr>
              <w:spacing w:after="0"/>
              <w:rPr>
                <w:sz w:val="22"/>
                <w:szCs w:val="2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678,672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684,268</w:t>
            </w:r>
          </w:p>
        </w:tc>
        <w:tc>
          <w:tcPr>
            <w:tcW w:w="4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1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c>
          <w:tcPr>
            <w:tcW w:w="40" w:type="dxa"/>
            <w:vAlign w:val="bottom"/>
          </w:tcPr>
          <w:p>
            <w:pPr>
              <w:spacing w:after="0"/>
              <w:rPr>
                <w:sz w:val="19"/>
                <w:szCs w:val="19"/>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949,215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822,050</w:t>
            </w:r>
          </w:p>
        </w:tc>
        <w:tc>
          <w:tcPr>
            <w:tcW w:w="4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2020, the Company financed their directors' and officers' insurance premium with a short term note, the principal amount of which was approximately $0.9 million, bearing interest at a rate of 2.49%. The note payable balance was $0.5 million as of December 31, 2020 and is included within Current Liabilities on the Consolidated Balance Sheet. In July 2021, the Company paid the directors' and officers' insurance policy in full.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This is a 3-year grant award originally expired on May 31, 2019. The grant now expires on May 31, 2022.</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and December 31, 2020, the Company had grants receivable of $1.6 million and $3.9 million, respectively, related to CPRIT contract.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jc w:val="both"/>
        <w:ind w:left="340" w:right="20"/>
        <w:spacing w:after="0" w:line="256"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associated with the Flex Pharma merger measured at fair value on a recurring basis for the twelve months ended December 31, 2021 and 2020:</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80" w:type="dxa"/>
            <w:vAlign w:val="bottom"/>
          </w:tcPr>
          <w:p>
            <w:pPr>
              <w:spacing w:after="0"/>
              <w:rPr>
                <w:sz w:val="18"/>
                <w:szCs w:val="18"/>
                <w:color w:val="auto"/>
              </w:rPr>
            </w:pPr>
          </w:p>
        </w:tc>
        <w:tc>
          <w:tcPr>
            <w:tcW w:w="2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 in Fair Value</w:t>
            </w:r>
          </w:p>
        </w:tc>
        <w:tc>
          <w:tcPr>
            <w:tcW w:w="140" w:type="dxa"/>
            <w:vAlign w:val="bottom"/>
          </w:tcPr>
          <w:p>
            <w:pPr>
              <w:spacing w:after="0"/>
              <w:rPr>
                <w:sz w:val="18"/>
                <w:szCs w:val="18"/>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Balance at December</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31, 2021</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160" w:firstLine="8"/>
        <w:spacing w:after="0" w:line="543" w:lineRule="auto"/>
        <w:tabs>
          <w:tab w:leader="none" w:pos="2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 and Common Stock</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Offering”). The February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 full exercise of the over-allotment option. The exercise price of the warrants are fixed and do not contain any variable pricing features or any price based anti-dilutive features. All Series A preferred stock was converted to common stock prior to December 31, 2020.</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discussed above, in connection with the February 2020 Offering, the Company issued five-year warrants to purchase one share of common stock at an exercise price of $1.15 per share (each a "warrant"). On December 11,</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2020, the Company entered into warrant exercise inducement offer letters (“Inducement Letters”) with certain holders of 3,964,065 Warrants (collectively, the “Exercising Holders”) pursuant to which such holders agreed to exercise on December 11, 2020 for cash, their Warrants to purchase 3,964,065 shares of Common Stock in exchange for the Company’s agreement to (i) lower the exercise price of the Warrants held by the Exercising Holders to $0.90 and (ii) issue new warrants (the “Inducement Warrants”) to purchase up to 3,964,065 shares of Common Stock. Each Inducement Warrant is exercisable at a price per share of $1.182 and expires on June 11, 2026. As of December 31, 2021, there was 3,964,065 inducement warrants and 3,783,522 warrants from February 2020 Offering were still outstanding, respectively.</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2020, the Company completed a public offering of 5,130,390 shares of its common stock at a price of $1.20 per share. Total gross proceeds were approximately $6.2 million, prior to deducting underwriting discounts and commissions and offering expenses payable by the Company.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twelve months ended December 31, 2021, the Company issued 3,247,834 shares under the ATM for gross proceeds of $6.8 million.</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twelve months ended December 31, 2021 and 2020, the Company issued 1,298,567 and 4,517,910 common shares as a result of warrant exercises, and received cash proceeds of approximately $1.5 million and $3.9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Flex Pharma distributed one right per share of common stock to stockholders of record as of the close of business on July 18, 2019. Each right entitles such stockholders to receive a warrant to purchase the Company's common shares on January 20, 2020. These warrants were issued on July 1, 2021 and are exercisable in the aggregate, into 142,711 shares of the Company's common stock with a 5-year term from January 20, 2020, at an exercise price of $ 15.17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Variables used in the Black-Scholes model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December 31, 2021</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1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460" w:type="dxa"/>
            <w:vAlign w:val="bottom"/>
            <w:gridSpan w:val="2"/>
          </w:tcPr>
          <w:p>
            <w:pPr>
              <w:ind w:left="1440"/>
              <w:spacing w:after="0"/>
              <w:rPr>
                <w:sz w:val="20"/>
                <w:szCs w:val="20"/>
                <w:color w:val="auto"/>
              </w:rPr>
            </w:pPr>
            <w:r>
              <w:rPr>
                <w:rFonts w:ascii="Arial" w:cs="Arial" w:eastAsia="Arial" w:hAnsi="Arial"/>
                <w:sz w:val="18"/>
                <w:szCs w:val="18"/>
                <w:color w:val="auto"/>
              </w:rPr>
              <w:t>3.06 years</w:t>
            </w:r>
          </w:p>
        </w:tc>
        <w:tc>
          <w:tcPr>
            <w:tcW w:w="2320" w:type="dxa"/>
            <w:vAlign w:val="bottom"/>
          </w:tcPr>
          <w:p>
            <w:pPr>
              <w:jc w:val="right"/>
              <w:spacing w:after="0"/>
              <w:rPr>
                <w:sz w:val="20"/>
                <w:szCs w:val="20"/>
                <w:color w:val="auto"/>
              </w:rPr>
            </w:pPr>
            <w:r>
              <w:rPr>
                <w:rFonts w:ascii="Arial" w:cs="Arial" w:eastAsia="Arial" w:hAnsi="Arial"/>
                <w:sz w:val="18"/>
                <w:szCs w:val="18"/>
                <w:color w:val="auto"/>
              </w:rPr>
              <w:t>4.06 years</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125.58 %</w:t>
            </w:r>
          </w:p>
        </w:tc>
        <w:tc>
          <w:tcPr>
            <w:tcW w:w="1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24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3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$0.5 million of the $1.0 million success fee payable to Wedbush at the closing of the merger. The remaining $0.5 million success fee was paid in cash. These warrants have an exercise price of $18.90 and a 5-year term. As of December 31, 2021, all warrants issued to Wedbush were outstanding.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180" w:firstLine="8"/>
        <w:spacing w:after="0" w:line="543" w:lineRule="auto"/>
        <w:tabs>
          <w:tab w:leader="none" w:pos="2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Equity Incentive Plans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2021 and 2020, there were 1,026,690 and 108,348 shares, respectively, remaining available for the grant of stock option under the 2015 Plan.</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twelve months ended December 31, 2021 and 2020, the Company awarded 79,000 and 1,468,118,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average period the stock options are expected to remain outstanding. The fair value of the option grants of $92,191 and $1,196,469 respectively, has been estimated with the following assumptions for the year ended December 31, 2021 and 2020:</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20" w:type="dxa"/>
            <w:vAlign w:val="bottom"/>
            <w:shd w:val="clear" w:color="auto" w:fill="CCEEFF"/>
          </w:tcPr>
          <w:p>
            <w:pPr>
              <w:spacing w:after="0"/>
              <w:rPr>
                <w:sz w:val="19"/>
                <w:szCs w:val="19"/>
                <w:color w:val="auto"/>
              </w:rPr>
            </w:pPr>
          </w:p>
        </w:tc>
        <w:tc>
          <w:tcPr>
            <w:tcW w:w="3560" w:type="dxa"/>
            <w:vAlign w:val="bottom"/>
            <w:shd w:val="clear" w:color="auto" w:fill="CCEEFF"/>
          </w:tcPr>
          <w:p>
            <w:pPr>
              <w:jc w:val="center"/>
              <w:ind w:left="1270"/>
              <w:spacing w:after="0"/>
              <w:rPr>
                <w:sz w:val="20"/>
                <w:szCs w:val="20"/>
                <w:color w:val="auto"/>
              </w:rPr>
            </w:pPr>
            <w:r>
              <w:rPr>
                <w:rFonts w:ascii="Arial" w:cs="Arial" w:eastAsia="Arial" w:hAnsi="Arial"/>
                <w:sz w:val="18"/>
                <w:szCs w:val="18"/>
                <w:b w:val="1"/>
                <w:bCs w:val="1"/>
                <w:color w:val="auto"/>
                <w:w w:val="99"/>
              </w:rPr>
              <w:t>2021</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jc w:val="center"/>
              <w:ind w:left="1270"/>
              <w:spacing w:after="0"/>
              <w:rPr>
                <w:sz w:val="20"/>
                <w:szCs w:val="20"/>
                <w:color w:val="auto"/>
              </w:rPr>
            </w:pPr>
            <w:r>
              <w:rPr>
                <w:rFonts w:ascii="Arial" w:cs="Arial" w:eastAsia="Arial" w:hAnsi="Arial"/>
                <w:sz w:val="18"/>
                <w:szCs w:val="18"/>
                <w:color w:val="auto"/>
                <w:w w:val="99"/>
              </w:rPr>
              <w:t>0.93%-1.09%</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0.28%-0.555%</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56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9"/>
              </w:rPr>
              <w:t>130.44%-133.35%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113.17%-130.41%</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560" w:type="dxa"/>
            <w:vAlign w:val="bottom"/>
          </w:tcPr>
          <w:p>
            <w:pPr>
              <w:ind w:left="2180"/>
              <w:spacing w:after="0"/>
              <w:rPr>
                <w:sz w:val="20"/>
                <w:szCs w:val="20"/>
                <w:color w:val="auto"/>
              </w:rPr>
            </w:pPr>
            <w:r>
              <w:rPr>
                <w:rFonts w:ascii="Arial" w:cs="Arial" w:eastAsia="Arial" w:hAnsi="Arial"/>
                <w:sz w:val="18"/>
                <w:szCs w:val="18"/>
                <w:color w:val="auto"/>
              </w:rPr>
              <w:t>6 years</w:t>
            </w:r>
          </w:p>
        </w:tc>
        <w:tc>
          <w:tcPr>
            <w:tcW w:w="2180" w:type="dxa"/>
            <w:vAlign w:val="bottom"/>
          </w:tcPr>
          <w:p>
            <w:pPr>
              <w:ind w:left="720"/>
              <w:spacing w:after="0"/>
              <w:rPr>
                <w:sz w:val="20"/>
                <w:szCs w:val="20"/>
                <w:color w:val="auto"/>
              </w:rPr>
            </w:pPr>
            <w:r>
              <w:rPr>
                <w:rFonts w:ascii="Arial" w:cs="Arial" w:eastAsia="Arial" w:hAnsi="Arial"/>
                <w:sz w:val="18"/>
                <w:szCs w:val="18"/>
                <w:color w:val="auto"/>
              </w:rPr>
              <w:t>5-6 years</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56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0.00%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2021 and 2020:</w:t>
      </w: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line="185" w:lineRule="exact"/>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2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2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1,468,118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1,563,972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175,770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1,597,972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683,346</w:t>
            </w:r>
          </w:p>
        </w:tc>
        <w:tc>
          <w:tcPr>
            <w:tcW w:w="3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8.21</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and 2020, there was approximately $0.9 million and $1.3 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2.22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Company granted 1,468,118 stock options, in the aggregate, to certain employees,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awards vest monthly over 5 months to 4 years as continuous services are provided, and expense is being recognized over this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cost related to stock options were $0.2 million for the year ended December 31, 2020.</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2021, the Company granted 79,000 stock options, in the aggregate, to certain employees. These award vest over 4 years as continuous services are provided, and expense is being recognized over this period. Total compensation cost related to stock options were $0.5 million for the year ended December 31, 2021</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2021, the Company granted 73,951 shares of common stock to its Employee Stock Purchase Plan ("ESPP") participants. Fair value of the grants are valued using the Black-Scholes option pricing model and compensation cost is recognized based on the resulting value over the derived service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no current or deferred tax expense due to its current year loss and its overall net operating loss position. A reconciliation of the federal statutory tax rate and the effective tax rates for the year ended December 31, 2021 and 2020 is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50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2021</w:t>
            </w:r>
          </w:p>
        </w:tc>
        <w:tc>
          <w:tcPr>
            <w:tcW w:w="29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21.00%</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21.00%</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Permanent</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8"/>
              </w:rPr>
              <w:t>(0.69)%</w:t>
            </w:r>
          </w:p>
        </w:tc>
        <w:tc>
          <w:tcPr>
            <w:tcW w:w="2900" w:type="dxa"/>
            <w:vAlign w:val="bottom"/>
          </w:tcPr>
          <w:p>
            <w:pPr>
              <w:jc w:val="center"/>
              <w:ind w:left="570"/>
              <w:spacing w:after="0"/>
              <w:rPr>
                <w:sz w:val="20"/>
                <w:szCs w:val="20"/>
                <w:color w:val="auto"/>
              </w:rPr>
            </w:pPr>
            <w:r>
              <w:rPr>
                <w:rFonts w:ascii="Arial" w:cs="Arial" w:eastAsia="Arial" w:hAnsi="Arial"/>
                <w:sz w:val="18"/>
                <w:szCs w:val="18"/>
                <w:color w:val="auto"/>
              </w:rPr>
              <w:t>0.63%</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(26.13)%</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(25.65)%</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c>
          <w:tcPr>
            <w:tcW w:w="2900" w:type="dxa"/>
            <w:vAlign w:val="bottom"/>
          </w:tcPr>
          <w:p>
            <w:pPr>
              <w:jc w:val="center"/>
              <w:ind w:left="570"/>
              <w:spacing w:after="0"/>
              <w:rPr>
                <w:sz w:val="20"/>
                <w:szCs w:val="20"/>
                <w:color w:val="auto"/>
              </w:rPr>
            </w:pPr>
            <w:r>
              <w:rPr>
                <w:rFonts w:ascii="Arial" w:cs="Arial" w:eastAsia="Arial" w:hAnsi="Arial"/>
                <w:sz w:val="18"/>
                <w:szCs w:val="18"/>
                <w:color w:val="auto"/>
              </w:rPr>
              <w:t>(0.40)%</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5.82%</w:t>
            </w:r>
          </w:p>
        </w:tc>
        <w:tc>
          <w:tcPr>
            <w:tcW w:w="29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rPr>
              <w:t>4.42%</w:t>
            </w:r>
          </w:p>
        </w:tc>
      </w:tr>
      <w:tr>
        <w:trPr>
          <w:trHeight w:val="250"/>
        </w:trPr>
        <w:tc>
          <w:tcPr>
            <w:tcW w:w="50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2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were as follows:</w:t>
      </w:r>
    </w:p>
    <w:p>
      <w:pPr>
        <w:spacing w:after="0" w:line="239" w:lineRule="exact"/>
        <w:rPr>
          <w:sz w:val="20"/>
          <w:szCs w:val="20"/>
          <w:color w:val="auto"/>
        </w:rPr>
      </w:pPr>
    </w:p>
    <w:tbl>
      <w:tblPr>
        <w:tblLayout w:type="fixed"/>
        <w:tblInd w:w="2040" w:type="dxa"/>
        <w:tblCellMar>
          <w:top w:w="0" w:type="dxa"/>
          <w:left w:w="0" w:type="dxa"/>
          <w:bottom w:w="0" w:type="dxa"/>
          <w:right w:w="0" w:type="dxa"/>
        </w:tblCellMar>
      </w:tblPr>
      <w:tr>
        <w:trPr>
          <w:trHeight w:val="229"/>
        </w:trPr>
        <w:tc>
          <w:tcPr>
            <w:tcW w:w="3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1140" w:type="dxa"/>
            <w:vAlign w:val="bottom"/>
            <w:shd w:val="clear" w:color="auto" w:fill="CCEEFF"/>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Capitalized R&amp;D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3,002,819</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1,725,015</w:t>
            </w: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Deferred Items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87,432</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50,650</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28,048</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 US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1,931,959</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673,186</w:t>
            </w:r>
          </w:p>
        </w:tc>
      </w:tr>
      <w:tr>
        <w:trPr>
          <w:trHeight w:val="230"/>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R&amp;D Credits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1,068,451</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325,329</w:t>
            </w: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6,175,031</w:t>
            </w: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2,839,010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(6,175,031)</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(2,839,010)</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valuation allowance recorded by the Company as of December 31, 2020 and December 31, 2021 resulted from the uncertainties of the future utilization of deferred tax assets caused by the lack of future taxable income. The deferred tax asset was reviewed for expected utilization using a “more likely than not” approach by assessing the available positive and negative evidence surrounding its recoverability. Accordingly, a full valuation allowance continues to be recorded against the Company’s deferred tax asset, as it was determined based upon past and projected future losses that it was “more likely than not” that the Company’s deferred tax assets would not be realized. In future years, if the deferred tax assets are determined by management to be “more likely than not” to be realized, the recognized tax benefits relating to the reversal of the valuation allowance will be recorded. The Company will continue to assess and evaluate strategies that will enable the deferred tax asset, or portion thereof, to be utilized, and will reduce the valuation allowance appropriately as such time when it is determined that the “more likely than not” criteria is satisfied.</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federal net operating loss carryforwards of $9.2 million have an indefinite life, but the R&amp;D credits of $1.1 million begin to expire in 2039. Due to the change in ownership provisions of the Internal Revenue Code, the availability of the Company’s net operating loss carry forwards could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12, 2022, the Company, entered into an Acquisition and Strategic Collaboration Agreement (the “ASCA”), effective January 12, 2022 (the “Effective Date”), with DeuteRx, LLC, a Delaware limited liability company (the “Seller”), pursuant to which the Seller agreed to sell, and Company agreed to purchase and assume from Seller, all of Seller’s rights, title, and interest in and to certain assets of the Seller, including the development product currently referred to as DRX-164 (the “Product”), Seller’s intellectual property, information and data related to the Product, tangible materials or reagents related to the Product, goodwill, rights and claims, other than certain excluded assets (collectively, the “Purchased Assets”), all as more specifically set forth in the ASCA, and assume certain Assumed Liabilities (as defined in the ASCA), upon the terms and subject to the conditions set forth in the ASCA. Contemporaneous with the execution of the ASCA, the Seller and Company entered into a R&amp;D Services Agreement (as defined in the ASCA), which sets forth the terms and conditions upon which Seller will provide services to Company, including the implementation and performance of a Non-Clinical and Clinical Development Scope of Work (collectively, the “Transaction”).</w:t>
      </w:r>
    </w:p>
    <w:p>
      <w:pPr>
        <w:spacing w:after="0" w:line="19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Purchased Assets were purchased for an aggregate purchase price of $1,500,000 (the “Cash Payment”) and the delivery of one million (1,000,000) shares of the Company’s common stock (the “Shares” and together with the Cash Payment, the “Purchase Price”). In addition to the Purchase Price for the Purchased Assets, the Company agreed to pay to Seller (i) Milestone Payments (as defined in the ASCA) upon the occurrence of an applicable Milestone Event (as defined in the ASCA) and (ii) Royalty Payments (as defined in the ASCA). All cost related to the transaction will be immediately expensed in 2022 as acquired in-process research and development expenses since the Product has not yet achieved regulatory approval and, absent obtaining such approval, has no alternative future use. A member of the Company’s Board of Directors also serves as a consultant to the Seller and is employed by an affiliate of the Seller.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2020,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In connection with the audit of our consolidated financial statements as of and for the years ended December 31, 2017 and 2018, we identified a material weakness in our internal control over financial reporting related to the failure to evaluate or identify the accounting implication of various transactions which was mainly due to the lack of accounting personnel with necessary knowledge and experience related to financial reporting. During the year ended December 31, 2019, we designed and implemented processes and internal controls to remediate this material weakness. We engaged consultants and added accounting personnel, including a Chief Financial Officer and Controller, with necessary knowledge and experience. With the oversight of senior management and our audit committee, we have taken steps to remediate the underlying causes of the material weakness. Based on the foregoing, our management determined that our disclosure controls and procedures were effective as of December 31, 2021.</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change in our company’s internal control over financial reporting (as defined in Rules 13a-15(f) and 15d-15(f) under the Exchange Act) occurred during the quarter ended December 31, 2021,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2021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from our definitive proxy statement relating to our 2022 annual meeting of stockholders, pursuant to Regulation 14A of the Exchange Act of 1934, also referred to in this Annual Report on Form 10-K as our 2022 Proxy Statement, which we expect to file with the SEC no later than May 2,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have adopted a written Code of Business Conduct that applies to all of our employees, officers and directors. This Code of Business Conduct is designed to ensure that our business is conducted with integrity and in compliance with SEC regulations and Nasdaq listing standards. The Code of Business Conduct covers adherence to laws and regulations as well as professional conduct, including employment policies, conflicts of interest and the protection of confidential information. The Code of Business Conduct is available under “Governance Overview” within the “Corporate Governance” section of our website at www.salariuspharma.com.</w:t>
      </w:r>
    </w:p>
    <w:p>
      <w:pPr>
        <w:spacing w:after="0" w:line="19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intend to disclose any future amendments to, or waivers from, the Code of Business Conduct that affect our directors or senior financial and executive officers within four business days of the amendment or waiver by posting such information on the website address and location specified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other information required to be disclosed in Item 10 is hereby incorporated by reference to our 2022 Proxy Statement.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in Item 11 is hereby incorporated by reference to our 2022 Proxy Statement.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in Item 12 is hereby incorporated by reference to our 2022 Proxy Statement.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to be disclosed in Item 13 is hereby incorporated by reference to our 2022 Proxy Statement.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Principle Accounting Fees and Services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to be disclosed in Item 14 is hereby incorporated by reference to our 2022 Proxy Statement.</w:t>
      </w:r>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filed as part of this report are listed on the Index to Consolidated Financial Statements on page 63.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have omitted these schedules because they are not required, or are not applicable, or the required information is shown in the consolidated financial statements or notes thereto.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ectPr>
          <w:pgSz w:w="11900" w:h="16838" w:orient="portrait"/>
          <w:cols w:equalWidth="0" w:num="1">
            <w:col w:w="11100"/>
          </w:cols>
          <w:pgMar w:left="320" w:top="29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center"/>
              <w:ind w:left="152"/>
              <w:spacing w:after="0"/>
              <w:rPr>
                <w:sz w:val="20"/>
                <w:szCs w:val="20"/>
                <w:color w:val="auto"/>
              </w:rPr>
            </w:pPr>
            <w:r>
              <w:rPr>
                <w:rFonts w:ascii="Arial" w:cs="Arial" w:eastAsia="Arial" w:hAnsi="Arial"/>
                <w:sz w:val="22"/>
                <w:szCs w:val="22"/>
                <w:b w:val="1"/>
                <w:bCs w:val="1"/>
                <w:color w:val="auto"/>
                <w:w w:val="98"/>
              </w:rPr>
              <w:t>Filed with</w:t>
            </w:r>
          </w:p>
        </w:tc>
      </w:tr>
      <w:tr>
        <w:trPr>
          <w:trHeight w:val="243"/>
        </w:trPr>
        <w:tc>
          <w:tcPr>
            <w:tcW w:w="1020" w:type="dxa"/>
            <w:vAlign w:val="bottom"/>
          </w:tcPr>
          <w:p>
            <w:pPr>
              <w:jc w:val="center"/>
              <w:ind w:right="128"/>
              <w:spacing w:after="0" w:line="243" w:lineRule="exact"/>
              <w:rPr>
                <w:sz w:val="20"/>
                <w:szCs w:val="20"/>
                <w:color w:val="auto"/>
              </w:rPr>
            </w:pPr>
            <w:r>
              <w:rPr>
                <w:rFonts w:ascii="Arial" w:cs="Arial" w:eastAsia="Arial" w:hAnsi="Arial"/>
                <w:sz w:val="22"/>
                <w:szCs w:val="22"/>
                <w:b w:val="1"/>
                <w:bCs w:val="1"/>
                <w:color w:val="auto"/>
                <w:w w:val="98"/>
              </w:rPr>
              <w:t>Exhibit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7"/>
              </w:rPr>
              <w:t>this Form</w:t>
            </w:r>
          </w:p>
        </w:tc>
      </w:tr>
      <w:tr>
        <w:trPr>
          <w:trHeight w:val="285"/>
        </w:trPr>
        <w:tc>
          <w:tcPr>
            <w:tcW w:w="1020" w:type="dxa"/>
            <w:vAlign w:val="bottom"/>
          </w:tcPr>
          <w:p>
            <w:pPr>
              <w:jc w:val="center"/>
              <w:ind w:right="108"/>
              <w:spacing w:after="0"/>
              <w:rPr>
                <w:sz w:val="20"/>
                <w:szCs w:val="20"/>
                <w:color w:val="auto"/>
              </w:rPr>
            </w:pPr>
            <w:r>
              <w:rPr>
                <w:rFonts w:ascii="Arial" w:cs="Arial" w:eastAsia="Arial" w:hAnsi="Arial"/>
                <w:sz w:val="22"/>
                <w:szCs w:val="22"/>
                <w:b w:val="1"/>
                <w:bCs w:val="1"/>
                <w:color w:val="auto"/>
                <w:w w:val="98"/>
              </w:rPr>
              <w:t>Number</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17"/>
          </w:tcPr>
          <w:p>
            <w:pPr>
              <w:ind w:left="60"/>
              <w:spacing w:after="0"/>
              <w:rPr>
                <w:sz w:val="20"/>
                <w:szCs w:val="20"/>
                <w:color w:val="auto"/>
              </w:rPr>
            </w:pPr>
            <w:r>
              <w:rPr>
                <w:rFonts w:ascii="Arial" w:cs="Arial" w:eastAsia="Arial" w:hAnsi="Arial"/>
                <w:sz w:val="22"/>
                <w:szCs w:val="22"/>
                <w:b w:val="1"/>
                <w:bCs w:val="1"/>
                <w:color w:val="auto"/>
              </w:rPr>
              <w:t>Exhibit Title</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10-K</w:t>
            </w:r>
          </w:p>
        </w:tc>
      </w:tr>
      <w:tr>
        <w:trPr>
          <w:trHeight w:val="219"/>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3.1</w:t>
            </w:r>
          </w:p>
        </w:tc>
        <w:tc>
          <w:tcPr>
            <w:tcW w:w="4700" w:type="dxa"/>
            <w:vAlign w:val="bottom"/>
            <w:tcBorders>
              <w:bottom w:val="single" w:sz="8" w:color="0000FF"/>
            </w:tcBorders>
            <w:gridSpan w:val="13"/>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Amended and Restated Certificate Amended and Restated</w:t>
              </w:r>
            </w:hyperlink>
          </w:p>
        </w:tc>
        <w:tc>
          <w:tcPr>
            <w:tcW w:w="380" w:type="dxa"/>
            <w:vAlign w:val="bottom"/>
            <w:gridSpan w:val="10"/>
          </w:tcPr>
          <w:p>
            <w:pPr>
              <w:spacing w:after="0"/>
              <w:rPr>
                <w:sz w:val="19"/>
                <w:szCs w:val="19"/>
                <w:color w:val="auto"/>
              </w:rPr>
            </w:pPr>
          </w:p>
        </w:tc>
        <w:tc>
          <w:tcPr>
            <w:tcW w:w="1260" w:type="dxa"/>
            <w:vAlign w:val="bottom"/>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508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Certificate of Incorporation of the Registrant Incorporation of the</w:t>
              </w:r>
            </w:hyperlink>
          </w:p>
        </w:tc>
        <w:tc>
          <w:tcPr>
            <w:tcW w:w="126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Registrant</w:t>
              </w:r>
            </w:hyperlink>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3.2</w:t>
            </w:r>
          </w:p>
        </w:tc>
        <w:tc>
          <w:tcPr>
            <w:tcW w:w="4900" w:type="dxa"/>
            <w:vAlign w:val="bottom"/>
            <w:tcBorders>
              <w:bottom w:val="single" w:sz="8" w:color="0000FF"/>
            </w:tcBorders>
            <w:gridSpan w:val="16"/>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Certificate of Amendment of Certificate of Incorporation of the</w:t>
              </w:r>
            </w:hyperlink>
          </w:p>
        </w:tc>
        <w:tc>
          <w:tcPr>
            <w:tcW w:w="180" w:type="dxa"/>
            <w:vAlign w:val="bottom"/>
            <w:gridSpan w:val="7"/>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Registrant filed with the Secretary of State of Delaware on July</w:t>
              </w:r>
            </w:hyperlink>
          </w:p>
        </w:tc>
        <w:tc>
          <w:tcPr>
            <w:tcW w:w="126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7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18, 2019</w:t>
              </w:r>
            </w:hyperlink>
          </w:p>
        </w:tc>
        <w:tc>
          <w:tcPr>
            <w:tcW w:w="1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3.3</w:t>
            </w:r>
          </w:p>
        </w:tc>
        <w:tc>
          <w:tcPr>
            <w:tcW w:w="5080" w:type="dxa"/>
            <w:vAlign w:val="bottom"/>
            <w:gridSpan w:val="23"/>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Amended and Restated Bylaws of the Registrant, effective July</w:t>
              </w:r>
            </w:hyperlink>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7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19, 2019</w:t>
              </w:r>
            </w:hyperlink>
          </w:p>
        </w:tc>
        <w:tc>
          <w:tcPr>
            <w:tcW w:w="1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2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4.1</w:t>
            </w:r>
          </w:p>
        </w:tc>
        <w:tc>
          <w:tcPr>
            <w:tcW w:w="4920" w:type="dxa"/>
            <w:vAlign w:val="bottom"/>
            <w:tcBorders>
              <w:bottom w:val="single" w:sz="8" w:color="0000FF"/>
            </w:tcBorders>
            <w:gridSpan w:val="17"/>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Form of Common Stock Certificate of Form of Common Stock</w:t>
              </w:r>
            </w:hyperlink>
          </w:p>
        </w:tc>
        <w:tc>
          <w:tcPr>
            <w:tcW w:w="16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Certificate of Registrant</w:t>
              </w:r>
            </w:hyperlink>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4.2</w:t>
            </w:r>
          </w:p>
        </w:tc>
        <w:tc>
          <w:tcPr>
            <w:tcW w:w="5080" w:type="dxa"/>
            <w:vAlign w:val="bottom"/>
            <w:gridSpan w:val="23"/>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Common Stock Purchase Form of Common Stock</w:t>
              </w:r>
            </w:hyperlink>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Purchase Warrant</w:t>
              </w:r>
            </w:hyperlink>
          </w:p>
        </w:tc>
        <w:tc>
          <w:tcPr>
            <w:tcW w:w="3200" w:type="dxa"/>
            <w:vAlign w:val="bottom"/>
            <w:tcBorders>
              <w:top w:val="single" w:sz="8" w:color="0000FF"/>
            </w:tcBorders>
            <w:gridSpan w:val="9"/>
          </w:tcPr>
          <w:p>
            <w:pPr>
              <w:spacing w:after="0"/>
              <w:rPr>
                <w:sz w:val="15"/>
                <w:szCs w:val="15"/>
                <w:color w:val="auto"/>
              </w:rPr>
            </w:pPr>
          </w:p>
        </w:tc>
        <w:tc>
          <w:tcPr>
            <w:tcW w:w="420" w:type="dxa"/>
            <w:vAlign w:val="bottom"/>
            <w:gridSpan w:val="11"/>
          </w:tcPr>
          <w:p>
            <w:pPr>
              <w:spacing w:after="0"/>
              <w:rPr>
                <w:sz w:val="15"/>
                <w:szCs w:val="15"/>
                <w:color w:val="auto"/>
              </w:rPr>
            </w:pPr>
          </w:p>
        </w:tc>
        <w:tc>
          <w:tcPr>
            <w:tcW w:w="1260" w:type="dxa"/>
            <w:vAlign w:val="bottom"/>
          </w:tcPr>
          <w:p>
            <w:pPr>
              <w:spacing w:after="0"/>
              <w:rPr>
                <w:sz w:val="15"/>
                <w:szCs w:val="15"/>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4.3</w:t>
            </w:r>
          </w:p>
        </w:tc>
        <w:tc>
          <w:tcPr>
            <w:tcW w:w="4760" w:type="dxa"/>
            <w:vAlign w:val="bottom"/>
            <w:tcBorders>
              <w:bottom w:val="single" w:sz="8" w:color="0000FF"/>
            </w:tcBorders>
            <w:gridSpan w:val="15"/>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Common Stock Purchase Warrant dated February 11, 2020</w:t>
              </w:r>
            </w:hyperlink>
          </w:p>
        </w:tc>
        <w:tc>
          <w:tcPr>
            <w:tcW w:w="320" w:type="dxa"/>
            <w:vAlign w:val="bottom"/>
            <w:gridSpan w:val="8"/>
          </w:tcPr>
          <w:p>
            <w:pPr>
              <w:spacing w:after="0"/>
              <w:rPr>
                <w:sz w:val="20"/>
                <w:szCs w:val="20"/>
                <w:color w:val="auto"/>
              </w:rPr>
            </w:pPr>
          </w:p>
        </w:tc>
        <w:tc>
          <w:tcPr>
            <w:tcW w:w="1260" w:type="dxa"/>
            <w:vAlign w:val="bottom"/>
          </w:tcPr>
          <w:p>
            <w:pPr>
              <w:spacing w:after="0"/>
              <w:rPr>
                <w:sz w:val="20"/>
                <w:szCs w:val="20"/>
                <w:color w:val="auto"/>
              </w:rPr>
            </w:pPr>
          </w:p>
        </w:tc>
      </w:tr>
      <w:tr>
        <w:trPr>
          <w:trHeight w:val="439"/>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4.4</w:t>
            </w:r>
          </w:p>
        </w:tc>
        <w:tc>
          <w:tcPr>
            <w:tcW w:w="4440" w:type="dxa"/>
            <w:vAlign w:val="bottom"/>
            <w:tcBorders>
              <w:bottom w:val="single" w:sz="8" w:color="0000FF"/>
            </w:tcBorders>
            <w:gridSpan w:val="10"/>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Form of Inducement Warrant dated December 11, 2020</w:t>
              </w:r>
            </w:hyperlink>
          </w:p>
        </w:tc>
        <w:tc>
          <w:tcPr>
            <w:tcW w:w="640" w:type="dxa"/>
            <w:vAlign w:val="bottom"/>
            <w:gridSpan w:val="13"/>
          </w:tcPr>
          <w:p>
            <w:pPr>
              <w:spacing w:after="0"/>
              <w:rPr>
                <w:sz w:val="24"/>
                <w:szCs w:val="24"/>
                <w:color w:val="auto"/>
              </w:rPr>
            </w:pPr>
          </w:p>
        </w:tc>
        <w:tc>
          <w:tcPr>
            <w:tcW w:w="1260" w:type="dxa"/>
            <w:vAlign w:val="bottom"/>
          </w:tcPr>
          <w:p>
            <w:pPr>
              <w:spacing w:after="0"/>
              <w:rPr>
                <w:sz w:val="24"/>
                <w:szCs w:val="24"/>
                <w:color w:val="auto"/>
              </w:rPr>
            </w:pPr>
          </w:p>
        </w:tc>
      </w:tr>
      <w:tr>
        <w:trPr>
          <w:trHeight w:val="439"/>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4.5</w:t>
            </w:r>
          </w:p>
        </w:tc>
        <w:tc>
          <w:tcPr>
            <w:tcW w:w="5080" w:type="dxa"/>
            <w:vAlign w:val="bottom"/>
            <w:gridSpan w:val="23"/>
          </w:tcPr>
          <w:p>
            <w:pPr>
              <w:spacing w:after="0"/>
              <w:rPr>
                <w:rFonts w:ascii="Arial" w:cs="Arial" w:eastAsia="Arial" w:hAnsi="Arial"/>
                <w:sz w:val="18"/>
                <w:szCs w:val="18"/>
                <w:color w:val="0000FF"/>
              </w:rPr>
            </w:pPr>
            <w:hyperlink r:id="rId99">
              <w:r>
                <w:rPr>
                  <w:rFonts w:ascii="Arial" w:cs="Arial" w:eastAsia="Arial" w:hAnsi="Arial"/>
                  <w:sz w:val="18"/>
                  <w:szCs w:val="18"/>
                  <w:color w:val="0000FF"/>
                </w:rPr>
                <w:t>Form of 2021 Flex Warrants</w:t>
              </w:r>
            </w:hyperlink>
          </w:p>
        </w:tc>
        <w:tc>
          <w:tcPr>
            <w:tcW w:w="12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4.6</w:t>
            </w:r>
          </w:p>
        </w:tc>
        <w:tc>
          <w:tcPr>
            <w:tcW w:w="5080" w:type="dxa"/>
            <w:vAlign w:val="bottom"/>
            <w:gridSpan w:val="23"/>
          </w:tcPr>
          <w:p>
            <w:pPr>
              <w:spacing w:after="0"/>
              <w:rPr>
                <w:rFonts w:ascii="Arial" w:cs="Arial" w:eastAsia="Arial" w:hAnsi="Arial"/>
                <w:sz w:val="18"/>
                <w:szCs w:val="18"/>
                <w:color w:val="0000FF"/>
              </w:rPr>
            </w:pPr>
            <w:hyperlink r:id="rId100">
              <w:r>
                <w:rPr>
                  <w:rFonts w:ascii="Arial" w:cs="Arial" w:eastAsia="Arial" w:hAnsi="Arial"/>
                  <w:sz w:val="18"/>
                  <w:szCs w:val="18"/>
                  <w:color w:val="0000FF"/>
                </w:rPr>
                <w:t>Description of Registrant's Securities</w:t>
              </w:r>
            </w:hyperlink>
          </w:p>
        </w:tc>
        <w:tc>
          <w:tcPr>
            <w:tcW w:w="12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10.1+</w:t>
            </w:r>
          </w:p>
        </w:tc>
        <w:tc>
          <w:tcPr>
            <w:tcW w:w="5080" w:type="dxa"/>
            <w:vAlign w:val="bottom"/>
            <w:tcBorders>
              <w:bottom w:val="single" w:sz="8" w:color="0000FF"/>
            </w:tcBorders>
            <w:gridSpan w:val="23"/>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Form of Indemnification Agreement between the Registrant and</w:t>
              </w:r>
            </w:hyperlink>
          </w:p>
        </w:tc>
        <w:tc>
          <w:tcPr>
            <w:tcW w:w="126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its directors and officers</w:t>
              </w:r>
            </w:hyperlink>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w w:val="99"/>
              </w:rPr>
              <w:t>10.2*</w:t>
            </w:r>
          </w:p>
        </w:tc>
        <w:tc>
          <w:tcPr>
            <w:tcW w:w="4960" w:type="dxa"/>
            <w:vAlign w:val="bottom"/>
            <w:tcBorders>
              <w:bottom w:val="single" w:sz="8" w:color="0000FF"/>
            </w:tcBorders>
            <w:gridSpan w:val="19"/>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Exclusive License Agreement, dated August 3, 2011, between</w:t>
              </w:r>
            </w:hyperlink>
          </w:p>
        </w:tc>
        <w:tc>
          <w:tcPr>
            <w:tcW w:w="120" w:type="dxa"/>
            <w:vAlign w:val="bottom"/>
            <w:gridSpan w:val="4"/>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the University of Utah Research Foundation and Salarius</w:t>
              </w:r>
            </w:hyperlink>
          </w:p>
        </w:tc>
        <w:tc>
          <w:tcPr>
            <w:tcW w:w="126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54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Pharmaceuticals, LLC</w:t>
              </w:r>
            </w:hyperlink>
          </w:p>
        </w:tc>
        <w:tc>
          <w:tcPr>
            <w:tcW w:w="540" w:type="dxa"/>
            <w:vAlign w:val="bottom"/>
            <w:gridSpan w:val="12"/>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020" w:type="dxa"/>
            <w:vAlign w:val="bottom"/>
          </w:tcPr>
          <w:p>
            <w:pPr>
              <w:jc w:val="center"/>
              <w:ind w:right="108"/>
              <w:spacing w:after="0"/>
              <w:rPr>
                <w:sz w:val="20"/>
                <w:szCs w:val="20"/>
                <w:color w:val="auto"/>
              </w:rPr>
            </w:pPr>
            <w:r>
              <w:rPr>
                <w:rFonts w:ascii="Arial" w:cs="Arial" w:eastAsia="Arial" w:hAnsi="Arial"/>
                <w:sz w:val="18"/>
                <w:szCs w:val="18"/>
                <w:color w:val="auto"/>
                <w:w w:val="99"/>
              </w:rPr>
              <w:t>10.3*</w:t>
            </w:r>
          </w:p>
        </w:tc>
        <w:tc>
          <w:tcPr>
            <w:tcW w:w="5060" w:type="dxa"/>
            <w:vAlign w:val="bottom"/>
            <w:tcBorders>
              <w:bottom w:val="single" w:sz="8" w:color="0000FF"/>
            </w:tcBorders>
            <w:gridSpan w:val="22"/>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Cancer Research Grant Contract, dated June 1, 2016, between</w:t>
              </w:r>
            </w:hyperlink>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72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the Cancer Prevention and Research Institute of Texas and</w:t>
              </w:r>
            </w:hyperlink>
          </w:p>
        </w:tc>
        <w:tc>
          <w:tcPr>
            <w:tcW w:w="360" w:type="dxa"/>
            <w:vAlign w:val="bottom"/>
            <w:gridSpan w:val="9"/>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Salarius Pharmaceuticals, LLC</w:t>
              </w:r>
            </w:hyperlink>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10.4+</w:t>
            </w:r>
          </w:p>
        </w:tc>
        <w:tc>
          <w:tcPr>
            <w:tcW w:w="4760" w:type="dxa"/>
            <w:vAlign w:val="bottom"/>
            <w:tcBorders>
              <w:bottom w:val="single" w:sz="8" w:color="0000FF"/>
            </w:tcBorders>
            <w:gridSpan w:val="15"/>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Amended and Restated Executive Employment Agreement,</w:t>
              </w:r>
            </w:hyperlink>
          </w:p>
        </w:tc>
        <w:tc>
          <w:tcPr>
            <w:tcW w:w="320" w:type="dxa"/>
            <w:vAlign w:val="bottom"/>
            <w:gridSpan w:val="8"/>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080" w:type="dxa"/>
            <w:vAlign w:val="bottom"/>
            <w:gridSpan w:val="23"/>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dated February 5, 2019, between David J. Arthur and Salarius</w:t>
              </w:r>
            </w:hyperlink>
          </w:p>
        </w:tc>
        <w:tc>
          <w:tcPr>
            <w:tcW w:w="126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Pharmaceuticals, LLC</w:t>
              </w:r>
            </w:hyperlink>
          </w:p>
        </w:tc>
        <w:tc>
          <w:tcPr>
            <w:tcW w:w="14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Incorporated by Reference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40" w:type="dxa"/>
            <w:vAlign w:val="bottom"/>
          </w:tcPr>
          <w:p>
            <w:pPr>
              <w:jc w:val="center"/>
              <w:ind w:right="9"/>
              <w:spacing w:after="0"/>
              <w:rPr>
                <w:sz w:val="20"/>
                <w:szCs w:val="20"/>
                <w:color w:val="auto"/>
              </w:rPr>
            </w:pPr>
            <w:r>
              <w:rPr>
                <w:rFonts w:ascii="Arial" w:cs="Arial" w:eastAsia="Arial" w:hAnsi="Arial"/>
                <w:sz w:val="22"/>
                <w:szCs w:val="22"/>
                <w:b w:val="1"/>
                <w:bCs w:val="1"/>
                <w:color w:val="auto"/>
                <w:w w:val="98"/>
              </w:rPr>
              <w:t>Form</w:t>
            </w:r>
          </w:p>
        </w:tc>
        <w:tc>
          <w:tcPr>
            <w:tcW w:w="1360" w:type="dxa"/>
            <w:vAlign w:val="bottom"/>
          </w:tcPr>
          <w:p>
            <w:pPr>
              <w:jc w:val="center"/>
              <w:ind w:left="9"/>
              <w:spacing w:after="0"/>
              <w:rPr>
                <w:sz w:val="20"/>
                <w:szCs w:val="20"/>
                <w:color w:val="auto"/>
              </w:rPr>
            </w:pPr>
            <w:r>
              <w:rPr>
                <w:rFonts w:ascii="Arial" w:cs="Arial" w:eastAsia="Arial" w:hAnsi="Arial"/>
                <w:sz w:val="22"/>
                <w:szCs w:val="22"/>
                <w:b w:val="1"/>
                <w:bCs w:val="1"/>
                <w:color w:val="auto"/>
                <w:w w:val="98"/>
              </w:rPr>
              <w:t>File No.</w:t>
            </w:r>
          </w:p>
        </w:tc>
        <w:tc>
          <w:tcPr>
            <w:tcW w:w="1180" w:type="dxa"/>
            <w:vAlign w:val="bottom"/>
          </w:tcPr>
          <w:p>
            <w:pPr>
              <w:jc w:val="center"/>
              <w:ind w:left="49"/>
              <w:spacing w:after="0"/>
              <w:rPr>
                <w:sz w:val="20"/>
                <w:szCs w:val="20"/>
                <w:color w:val="auto"/>
              </w:rPr>
            </w:pPr>
            <w:r>
              <w:rPr>
                <w:rFonts w:ascii="Arial" w:cs="Arial" w:eastAsia="Arial" w:hAnsi="Arial"/>
                <w:sz w:val="22"/>
                <w:szCs w:val="22"/>
                <w:b w:val="1"/>
                <w:bCs w:val="1"/>
                <w:color w:val="auto"/>
                <w:w w:val="98"/>
              </w:rPr>
              <w:t>Date Filed</w:t>
            </w:r>
          </w:p>
        </w:tc>
      </w:tr>
      <w:tr>
        <w:trPr>
          <w:trHeight w:val="246"/>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02/09/2015</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18"/>
                <w:szCs w:val="18"/>
                <w:color w:val="auto"/>
              </w:rPr>
            </w:pPr>
          </w:p>
        </w:tc>
      </w:tr>
      <w:tr>
        <w:trPr>
          <w:trHeight w:val="44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18"/>
                <w:szCs w:val="18"/>
                <w:color w:val="auto"/>
              </w:rPr>
            </w:pPr>
          </w:p>
        </w:tc>
      </w:tr>
      <w:tr>
        <w:trPr>
          <w:trHeight w:val="44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3.2</w:t>
            </w:r>
          </w:p>
        </w:tc>
        <w:tc>
          <w:tcPr>
            <w:tcW w:w="1180" w:type="dxa"/>
            <w:vAlign w:val="bottom"/>
          </w:tcPr>
          <w:p>
            <w:pPr>
              <w:spacing w:after="0"/>
              <w:rPr>
                <w:sz w:val="18"/>
                <w:szCs w:val="18"/>
                <w:color w:val="auto"/>
              </w:rPr>
            </w:pPr>
          </w:p>
        </w:tc>
      </w:tr>
      <w:tr>
        <w:trPr>
          <w:trHeight w:val="728"/>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333-201276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12/29/2014</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18"/>
                <w:szCs w:val="18"/>
                <w:color w:val="auto"/>
              </w:rPr>
            </w:pPr>
          </w:p>
        </w:tc>
      </w:tr>
      <w:tr>
        <w:trPr>
          <w:trHeight w:val="242"/>
        </w:trPr>
        <w:tc>
          <w:tcPr>
            <w:tcW w:w="640" w:type="dxa"/>
            <w:vAlign w:val="bottom"/>
          </w:tcPr>
          <w:p>
            <w:pPr>
              <w:jc w:val="center"/>
              <w:ind w:right="9"/>
              <w:spacing w:after="0"/>
              <w:rPr>
                <w:sz w:val="20"/>
                <w:szCs w:val="20"/>
                <w:color w:val="auto"/>
              </w:rPr>
            </w:pPr>
            <w:r>
              <w:rPr>
                <w:rFonts w:ascii="Arial" w:cs="Arial" w:eastAsia="Arial" w:hAnsi="Arial"/>
                <w:sz w:val="18"/>
                <w:szCs w:val="18"/>
                <w:color w:val="auto"/>
              </w:rPr>
              <w:t>S-1/A</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333-235879</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02/06/2020</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4.8</w:t>
            </w:r>
          </w:p>
        </w:tc>
        <w:tc>
          <w:tcPr>
            <w:tcW w:w="1180" w:type="dxa"/>
            <w:vAlign w:val="bottom"/>
          </w:tcPr>
          <w:p>
            <w:pPr>
              <w:spacing w:after="0"/>
              <w:rPr>
                <w:sz w:val="18"/>
                <w:szCs w:val="18"/>
                <w:color w:val="auto"/>
              </w:rPr>
            </w:pPr>
          </w:p>
        </w:tc>
      </w:tr>
      <w:tr>
        <w:trPr>
          <w:trHeight w:val="242"/>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02/12/2020</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18"/>
                <w:szCs w:val="18"/>
                <w:color w:val="auto"/>
              </w:rPr>
            </w:pPr>
          </w:p>
        </w:tc>
      </w:tr>
      <w:tr>
        <w:trPr>
          <w:trHeight w:val="242"/>
        </w:trPr>
        <w:tc>
          <w:tcPr>
            <w:tcW w:w="640" w:type="dxa"/>
            <w:vAlign w:val="bottom"/>
          </w:tcPr>
          <w:p>
            <w:pPr>
              <w:jc w:val="center"/>
              <w:ind w:right="9"/>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12/11/2020</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18"/>
                <w:szCs w:val="18"/>
                <w:color w:val="auto"/>
              </w:rPr>
            </w:pPr>
          </w:p>
        </w:tc>
      </w:tr>
      <w:tr>
        <w:trPr>
          <w:trHeight w:val="21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ind w:left="100"/>
              <w:spacing w:after="0"/>
              <w:rPr>
                <w:sz w:val="20"/>
                <w:szCs w:val="20"/>
                <w:color w:val="auto"/>
              </w:rPr>
            </w:pPr>
            <w:r>
              <w:rPr>
                <w:rFonts w:ascii="Arial" w:cs="Arial" w:eastAsia="Arial" w:hAnsi="Arial"/>
                <w:sz w:val="18"/>
                <w:szCs w:val="18"/>
                <w:color w:val="auto"/>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07/01/2021</w:t>
            </w:r>
          </w:p>
        </w:tc>
      </w:tr>
      <w:tr>
        <w:trPr>
          <w:trHeight w:val="217"/>
        </w:trPr>
        <w:tc>
          <w:tcPr>
            <w:tcW w:w="6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Exhibit 4.1</w:t>
            </w:r>
          </w:p>
        </w:tc>
        <w:tc>
          <w:tcPr>
            <w:tcW w:w="1180" w:type="dxa"/>
            <w:vAlign w:val="bottom"/>
          </w:tcPr>
          <w:p>
            <w:pPr>
              <w:spacing w:after="0"/>
              <w:rPr>
                <w:sz w:val="18"/>
                <w:szCs w:val="18"/>
                <w:color w:val="auto"/>
              </w:rPr>
            </w:pPr>
          </w:p>
        </w:tc>
      </w:tr>
      <w:tr>
        <w:trPr>
          <w:trHeight w:val="215"/>
        </w:trPr>
        <w:tc>
          <w:tcPr>
            <w:tcW w:w="640" w:type="dxa"/>
            <w:vAlign w:val="bottom"/>
          </w:tcPr>
          <w:p>
            <w:pPr>
              <w:jc w:val="center"/>
              <w:ind w:right="9"/>
              <w:spacing w:after="0"/>
              <w:rPr>
                <w:sz w:val="20"/>
                <w:szCs w:val="20"/>
                <w:color w:val="auto"/>
              </w:rPr>
            </w:pPr>
            <w:r>
              <w:rPr>
                <w:rFonts w:ascii="Arial" w:cs="Arial" w:eastAsia="Arial" w:hAnsi="Arial"/>
                <w:sz w:val="18"/>
                <w:szCs w:val="18"/>
                <w:color w:val="auto"/>
                <w:w w:val="99"/>
              </w:rPr>
              <w:t>10-K</w:t>
            </w:r>
          </w:p>
        </w:tc>
        <w:tc>
          <w:tcPr>
            <w:tcW w:w="1360" w:type="dxa"/>
            <w:vAlign w:val="bottom"/>
          </w:tcPr>
          <w:p>
            <w:pPr>
              <w:ind w:left="100"/>
              <w:spacing w:after="0"/>
              <w:rPr>
                <w:sz w:val="20"/>
                <w:szCs w:val="20"/>
                <w:color w:val="auto"/>
              </w:rPr>
            </w:pPr>
            <w:r>
              <w:rPr>
                <w:rFonts w:ascii="Arial" w:cs="Arial" w:eastAsia="Arial" w:hAnsi="Arial"/>
                <w:sz w:val="18"/>
                <w:szCs w:val="18"/>
                <w:color w:val="auto"/>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03/18/2021</w:t>
            </w:r>
          </w:p>
        </w:tc>
      </w:tr>
      <w:tr>
        <w:trPr>
          <w:trHeight w:val="217"/>
        </w:trPr>
        <w:tc>
          <w:tcPr>
            <w:tcW w:w="6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Exhibit 4.11</w:t>
            </w:r>
          </w:p>
        </w:tc>
        <w:tc>
          <w:tcPr>
            <w:tcW w:w="1180" w:type="dxa"/>
            <w:vAlign w:val="bottom"/>
          </w:tcPr>
          <w:p>
            <w:pPr>
              <w:spacing w:after="0"/>
              <w:rPr>
                <w:sz w:val="18"/>
                <w:szCs w:val="18"/>
                <w:color w:val="auto"/>
              </w:rPr>
            </w:pPr>
          </w:p>
        </w:tc>
      </w:tr>
      <w:tr>
        <w:trPr>
          <w:trHeight w:val="242"/>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10.1</w:t>
            </w:r>
          </w:p>
        </w:tc>
        <w:tc>
          <w:tcPr>
            <w:tcW w:w="1180" w:type="dxa"/>
            <w:vAlign w:val="bottom"/>
          </w:tcPr>
          <w:p>
            <w:pPr>
              <w:spacing w:after="0"/>
              <w:rPr>
                <w:sz w:val="18"/>
                <w:szCs w:val="18"/>
                <w:color w:val="auto"/>
              </w:rPr>
            </w:pPr>
          </w:p>
        </w:tc>
      </w:tr>
      <w:tr>
        <w:trPr>
          <w:trHeight w:val="242"/>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S-4</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333-229666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02/14/2019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10.1</w:t>
            </w:r>
          </w:p>
        </w:tc>
        <w:tc>
          <w:tcPr>
            <w:tcW w:w="1180" w:type="dxa"/>
            <w:vAlign w:val="bottom"/>
          </w:tcPr>
          <w:p>
            <w:pPr>
              <w:spacing w:after="0"/>
              <w:rPr>
                <w:sz w:val="18"/>
                <w:szCs w:val="18"/>
                <w:color w:val="auto"/>
              </w:rPr>
            </w:pPr>
          </w:p>
        </w:tc>
      </w:tr>
      <w:tr>
        <w:trPr>
          <w:trHeight w:val="44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S-4</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333-229666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02/14/2019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10.3</w:t>
            </w:r>
          </w:p>
        </w:tc>
        <w:tc>
          <w:tcPr>
            <w:tcW w:w="1180" w:type="dxa"/>
            <w:vAlign w:val="bottom"/>
          </w:tcPr>
          <w:p>
            <w:pPr>
              <w:spacing w:after="0"/>
              <w:rPr>
                <w:sz w:val="18"/>
                <w:szCs w:val="18"/>
                <w:color w:val="auto"/>
              </w:rPr>
            </w:pPr>
          </w:p>
        </w:tc>
      </w:tr>
      <w:tr>
        <w:trPr>
          <w:trHeight w:val="44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S-4</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333-229666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02/14/2019</w:t>
            </w:r>
          </w:p>
        </w:tc>
      </w:tr>
      <w:tr>
        <w:trPr>
          <w:trHeight w:val="217"/>
        </w:trPr>
        <w:tc>
          <w:tcPr>
            <w:tcW w:w="640" w:type="dxa"/>
            <w:vAlign w:val="bottom"/>
          </w:tcPr>
          <w:p>
            <w:pPr>
              <w:spacing w:after="0"/>
              <w:rPr>
                <w:sz w:val="18"/>
                <w:szCs w:val="18"/>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10.5</w:t>
            </w:r>
          </w:p>
        </w:tc>
        <w:tc>
          <w:tcPr>
            <w:tcW w:w="1180" w:type="dxa"/>
            <w:vAlign w:val="bottom"/>
          </w:tcPr>
          <w:p>
            <w:pPr>
              <w:spacing w:after="0"/>
              <w:rPr>
                <w:sz w:val="18"/>
                <w:szCs w:val="18"/>
                <w:color w:val="auto"/>
              </w:rPr>
            </w:pPr>
          </w:p>
        </w:tc>
      </w:tr>
    </w:tbl>
    <w:p>
      <w:pPr>
        <w:spacing w:after="0" w:line="375" w:lineRule="exact"/>
        <w:rPr>
          <w:sz w:val="20"/>
          <w:szCs w:val="20"/>
          <w:color w:val="auto"/>
        </w:rPr>
      </w:pPr>
    </w:p>
    <w:p>
      <w:pPr>
        <w:sectPr>
          <w:pgSz w:w="11900" w:h="16838" w:orient="portrait"/>
          <w:cols w:equalWidth="0" w:num="2">
            <w:col w:w="7560" w:space="360"/>
            <w:col w:w="3180"/>
          </w:cols>
          <w:pgMar w:left="320" w:top="29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90" w:right="47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10.5+</w:t>
            </w:r>
          </w:p>
        </w:tc>
        <w:tc>
          <w:tcPr>
            <w:tcW w:w="5000" w:type="dxa"/>
            <w:vAlign w:val="bottom"/>
            <w:tcBorders>
              <w:bottom w:val="single" w:sz="8" w:color="0000FF"/>
            </w:tcBorders>
            <w:gridSpan w:val="27"/>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Amendment to Amended and Restated Executive Employment</w:t>
              </w:r>
            </w:hyperlink>
          </w:p>
        </w:tc>
        <w:tc>
          <w:tcPr>
            <w:tcW w:w="46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00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Agreement dated September 10, 2019, among David J. Arthur,</w:t>
              </w:r>
            </w:hyperlink>
          </w:p>
        </w:tc>
        <w:tc>
          <w:tcPr>
            <w:tcW w:w="460" w:type="dxa"/>
            <w:vAlign w:val="bottom"/>
            <w:gridSpan w:val="6"/>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33"/>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the Registrant and Salarius Pharmaceuticals, LLC</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10.6+</w:t>
            </w:r>
          </w:p>
        </w:tc>
        <w:tc>
          <w:tcPr>
            <w:tcW w:w="5460" w:type="dxa"/>
            <w:vAlign w:val="bottom"/>
            <w:gridSpan w:val="33"/>
          </w:tcPr>
          <w:p>
            <w:pPr>
              <w:spacing w:after="0"/>
              <w:rPr>
                <w:rFonts w:ascii="Arial" w:cs="Arial" w:eastAsia="Arial" w:hAnsi="Arial"/>
                <w:sz w:val="18"/>
                <w:szCs w:val="18"/>
                <w:color w:val="0000FF"/>
              </w:rPr>
            </w:pPr>
            <w:hyperlink r:id="rId107">
              <w:r>
                <w:rPr>
                  <w:rFonts w:ascii="Arial" w:cs="Arial" w:eastAsia="Arial" w:hAnsi="Arial"/>
                  <w:sz w:val="18"/>
                  <w:szCs w:val="18"/>
                  <w:color w:val="0000FF"/>
                </w:rPr>
                <w:t>Employment Agreement between Mark J. Rosenblum and</w:t>
              </w:r>
            </w:hyperlink>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62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Salarius Pharmaceutical, Inc., dated April 24, 2020</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10.7+</w:t>
            </w:r>
          </w:p>
        </w:tc>
        <w:tc>
          <w:tcPr>
            <w:tcW w:w="5460" w:type="dxa"/>
            <w:vAlign w:val="bottom"/>
            <w:gridSpan w:val="3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Salarius Pharmaceuticals, Inc., 2015 Equity Incentive Plan, as</w:t>
              </w:r>
            </w:hyperlink>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7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108">
              <w:r>
                <w:rPr>
                  <w:rFonts w:ascii="Arial" w:cs="Arial" w:eastAsia="Arial" w:hAnsi="Arial"/>
                  <w:sz w:val="18"/>
                  <w:szCs w:val="18"/>
                  <w:color w:val="0000FF"/>
                  <w:w w:val="98"/>
                </w:rPr>
                <w:t>amended</w:t>
              </w:r>
            </w:hyperlink>
          </w:p>
        </w:tc>
        <w:tc>
          <w:tcPr>
            <w:tcW w:w="4180" w:type="dxa"/>
            <w:vAlign w:val="bottom"/>
            <w:tcBorders>
              <w:top w:val="single" w:sz="8" w:color="0000FF"/>
            </w:tcBorders>
            <w:gridSpan w:val="22"/>
          </w:tcPr>
          <w:p>
            <w:pPr>
              <w:spacing w:after="0"/>
              <w:rPr>
                <w:sz w:val="15"/>
                <w:szCs w:val="15"/>
                <w:color w:val="auto"/>
              </w:rPr>
            </w:pPr>
          </w:p>
        </w:tc>
        <w:tc>
          <w:tcPr>
            <w:tcW w:w="52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9"/>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10.8+</w:t>
            </w:r>
          </w:p>
        </w:tc>
        <w:tc>
          <w:tcPr>
            <w:tcW w:w="5460" w:type="dxa"/>
            <w:vAlign w:val="bottom"/>
            <w:gridSpan w:val="3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Forms of Stock Option Agreement, Notice of Exercise and Stock</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4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109">
              <w:r>
                <w:rPr>
                  <w:rFonts w:ascii="Arial" w:cs="Arial" w:eastAsia="Arial" w:hAnsi="Arial"/>
                  <w:sz w:val="18"/>
                  <w:szCs w:val="18"/>
                  <w:color w:val="0000FF"/>
                </w:rPr>
                <w:t>Option Grant Notice under the Flex Pharma, Inc. 2015 Equity</w:t>
              </w:r>
            </w:hyperlink>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09">
              <w:r>
                <w:rPr>
                  <w:rFonts w:ascii="Arial" w:cs="Arial" w:eastAsia="Arial" w:hAnsi="Arial"/>
                  <w:sz w:val="18"/>
                  <w:szCs w:val="18"/>
                  <w:color w:val="0000FF"/>
                </w:rPr>
                <w:t>Plan</w:t>
              </w:r>
            </w:hyperlink>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10.9+</w:t>
            </w:r>
          </w:p>
        </w:tc>
        <w:tc>
          <w:tcPr>
            <w:tcW w:w="5460" w:type="dxa"/>
            <w:vAlign w:val="bottom"/>
            <w:gridSpan w:val="3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Salarius Pharmaceuticals, Inc., 2015 Employee Stock Purchase</w:t>
              </w:r>
            </w:hyperlink>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Plan, as amended</w:t>
              </w:r>
            </w:hyperlink>
          </w:p>
        </w:tc>
        <w:tc>
          <w:tcPr>
            <w:tcW w:w="3620" w:type="dxa"/>
            <w:vAlign w:val="bottom"/>
            <w:tcBorders>
              <w:top w:val="single" w:sz="8" w:color="0000FF"/>
            </w:tcBorders>
            <w:gridSpan w:val="25"/>
          </w:tcPr>
          <w:p>
            <w:pPr>
              <w:spacing w:after="0"/>
              <w:rPr>
                <w:sz w:val="15"/>
                <w:szCs w:val="15"/>
                <w:color w:val="auto"/>
              </w:rPr>
            </w:pPr>
          </w:p>
        </w:tc>
        <w:tc>
          <w:tcPr>
            <w:tcW w:w="380" w:type="dxa"/>
            <w:vAlign w:val="bottom"/>
            <w:gridSpan w:val="4"/>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10.10</w:t>
            </w:r>
          </w:p>
        </w:tc>
        <w:tc>
          <w:tcPr>
            <w:tcW w:w="5460" w:type="dxa"/>
            <w:vAlign w:val="bottom"/>
            <w:gridSpan w:val="3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At the Market Offering Agreement, dated February 5, 2021,</w:t>
              </w:r>
            </w:hyperlink>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72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between Salarius Pharmaceuticals, Inc. and Ladenburg</w:t>
              </w:r>
            </w:hyperlink>
          </w:p>
        </w:tc>
        <w:tc>
          <w:tcPr>
            <w:tcW w:w="24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4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Thalmann &amp; Co. Inc.</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21.1</w:t>
            </w:r>
          </w:p>
        </w:tc>
        <w:tc>
          <w:tcPr>
            <w:tcW w:w="2360" w:type="dxa"/>
            <w:vAlign w:val="bottom"/>
            <w:tcBorders>
              <w:bottom w:val="single" w:sz="8" w:color="0000FF"/>
            </w:tcBorders>
            <w:gridSpan w:val="10"/>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Subsidiaries of the Registrant</w:t>
              </w:r>
            </w:hyperlink>
          </w:p>
        </w:tc>
        <w:tc>
          <w:tcPr>
            <w:tcW w:w="3100" w:type="dxa"/>
            <w:vAlign w:val="bottom"/>
            <w:gridSpan w:val="23"/>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23.1</w:t>
            </w:r>
          </w:p>
        </w:tc>
        <w:tc>
          <w:tcPr>
            <w:tcW w:w="5460" w:type="dxa"/>
            <w:vAlign w:val="bottom"/>
            <w:gridSpan w:val="3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Consent of Ernst &amp; Young LLP</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24.1</w:t>
            </w:r>
          </w:p>
        </w:tc>
        <w:tc>
          <w:tcPr>
            <w:tcW w:w="380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9"/>
              </w:rPr>
              <w:t>Power of attorney (included on Signature Page)</w:t>
            </w:r>
          </w:p>
        </w:tc>
        <w:tc>
          <w:tcPr>
            <w:tcW w:w="1660" w:type="dxa"/>
            <w:vAlign w:val="bottom"/>
            <w:gridSpan w:val="17"/>
          </w:tcPr>
          <w:p>
            <w:pPr>
              <w:spacing w:after="0"/>
              <w:rPr>
                <w:sz w:val="20"/>
                <w:szCs w:val="20"/>
                <w:color w:val="auto"/>
              </w:rPr>
            </w:pP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31.1</w:t>
            </w:r>
          </w:p>
        </w:tc>
        <w:tc>
          <w:tcPr>
            <w:tcW w:w="5120" w:type="dxa"/>
            <w:vAlign w:val="bottom"/>
            <w:tcBorders>
              <w:bottom w:val="single" w:sz="8" w:color="0000FF"/>
            </w:tcBorders>
            <w:gridSpan w:val="31"/>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Certification of Principal Executive Officer Pursuant to Securities</w:t>
              </w:r>
            </w:hyperlink>
          </w:p>
        </w:tc>
        <w:tc>
          <w:tcPr>
            <w:tcW w:w="340" w:type="dxa"/>
            <w:vAlign w:val="bottom"/>
            <w:gridSpan w:val="2"/>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96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Exchange Act Rule 13a-14(a), as adopted pursuant to Section</w:t>
              </w:r>
            </w:hyperlink>
          </w:p>
        </w:tc>
        <w:tc>
          <w:tcPr>
            <w:tcW w:w="500" w:type="dxa"/>
            <w:vAlign w:val="bottom"/>
            <w:gridSpan w:val="7"/>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33"/>
          </w:tcPr>
          <w:p>
            <w:pPr>
              <w:spacing w:after="0" w:line="182" w:lineRule="exact"/>
              <w:rPr>
                <w:rFonts w:ascii="Arial" w:cs="Arial" w:eastAsia="Arial" w:hAnsi="Arial"/>
                <w:sz w:val="18"/>
                <w:szCs w:val="18"/>
                <w:color w:val="0000FF"/>
              </w:rPr>
            </w:pPr>
            <w:hyperlink w:anchor="page85">
              <w:r>
                <w:rPr>
                  <w:rFonts w:ascii="Arial" w:cs="Arial" w:eastAsia="Arial" w:hAnsi="Arial"/>
                  <w:sz w:val="18"/>
                  <w:szCs w:val="18"/>
                  <w:color w:val="0000FF"/>
                </w:rPr>
                <w:t>302 of the Sarbanes-Oxley Act of 2002</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31.2</w:t>
            </w:r>
          </w:p>
        </w:tc>
        <w:tc>
          <w:tcPr>
            <w:tcW w:w="454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Certification of Principal Financial and Accounting Officer</w:t>
              </w:r>
            </w:hyperlink>
          </w:p>
        </w:tc>
        <w:tc>
          <w:tcPr>
            <w:tcW w:w="920" w:type="dxa"/>
            <w:vAlign w:val="bottom"/>
            <w:gridSpan w:val="12"/>
          </w:tcPr>
          <w:p>
            <w:pPr>
              <w:spacing w:after="0"/>
              <w:rPr>
                <w:sz w:val="20"/>
                <w:szCs w:val="20"/>
                <w:color w:val="auto"/>
              </w:rPr>
            </w:pP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33"/>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Pursuant to Securities Exchange Act Rule 13a-14(a), as</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33"/>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adopted pursuant to Section 302 of the Sarbanes-Oxley Act of</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2002</w:t>
              </w:r>
            </w:hyperlink>
          </w:p>
        </w:tc>
        <w:tc>
          <w:tcPr>
            <w:tcW w:w="3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32.1</w:t>
            </w:r>
          </w:p>
        </w:tc>
        <w:tc>
          <w:tcPr>
            <w:tcW w:w="5460" w:type="dxa"/>
            <w:vAlign w:val="bottom"/>
            <w:gridSpan w:val="3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Principal Executive Officer Pursuant to 18 U.S.C.</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9"/>
              </w:rPr>
            </w:pPr>
            <w:hyperlink w:anchor="page87">
              <w:r>
                <w:rPr>
                  <w:rFonts w:ascii="Arial" w:cs="Arial" w:eastAsia="Arial" w:hAnsi="Arial"/>
                  <w:sz w:val="18"/>
                  <w:szCs w:val="18"/>
                  <w:color w:val="0000FF"/>
                  <w:w w:val="99"/>
                </w:rPr>
                <w:t>Section 1350, as Adopted Pursuant to Section 906 of the</w:t>
              </w:r>
            </w:hyperlink>
          </w:p>
        </w:tc>
        <w:tc>
          <w:tcPr>
            <w:tcW w:w="560" w:type="dxa"/>
            <w:vAlign w:val="bottom"/>
            <w:tcBorders>
              <w:top w:val="single" w:sz="8" w:color="0000FF"/>
            </w:tcBorders>
            <w:gridSpan w:val="9"/>
          </w:tcPr>
          <w:p>
            <w:pPr>
              <w:spacing w:after="0"/>
              <w:rPr>
                <w:sz w:val="15"/>
                <w:szCs w:val="15"/>
                <w:color w:val="auto"/>
              </w:rPr>
            </w:pPr>
          </w:p>
        </w:tc>
        <w:tc>
          <w:tcPr>
            <w:tcW w:w="36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28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Sarbanes-Oxley Act of 2002</w:t>
              </w:r>
            </w:hyperlink>
          </w:p>
        </w:tc>
        <w:tc>
          <w:tcPr>
            <w:tcW w:w="3180" w:type="dxa"/>
            <w:vAlign w:val="bottom"/>
            <w:gridSpan w:val="24"/>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32.2</w:t>
            </w:r>
          </w:p>
        </w:tc>
        <w:tc>
          <w:tcPr>
            <w:tcW w:w="5460" w:type="dxa"/>
            <w:vAlign w:val="bottom"/>
            <w:gridSpan w:val="3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Principal Financial Officer Pursuant to 18 U.S.C.</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Section 1350, as Adopted Pursuant to Section 906 of the</w:t>
              </w:r>
            </w:hyperlink>
          </w:p>
        </w:tc>
        <w:tc>
          <w:tcPr>
            <w:tcW w:w="500" w:type="dxa"/>
            <w:vAlign w:val="bottom"/>
            <w:tcBorders>
              <w:top w:val="single" w:sz="8" w:color="0000FF"/>
            </w:tcBorders>
            <w:gridSpan w:val="7"/>
          </w:tcPr>
          <w:p>
            <w:pPr>
              <w:spacing w:after="0"/>
              <w:rPr>
                <w:sz w:val="15"/>
                <w:szCs w:val="15"/>
                <w:color w:val="auto"/>
              </w:rPr>
            </w:pPr>
          </w:p>
        </w:tc>
        <w:tc>
          <w:tcPr>
            <w:tcW w:w="420" w:type="dxa"/>
            <w:vAlign w:val="bottom"/>
            <w:gridSpan w:val="5"/>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2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Sarbanes-Oxley Act of 2002</w:t>
              </w:r>
            </w:hyperlink>
          </w:p>
        </w:tc>
        <w:tc>
          <w:tcPr>
            <w:tcW w:w="3200" w:type="dxa"/>
            <w:vAlign w:val="bottom"/>
            <w:gridSpan w:val="25"/>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101.INS</w:t>
            </w: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XBRL Instance Document</w:t>
            </w:r>
          </w:p>
        </w:tc>
        <w:tc>
          <w:tcPr>
            <w:tcW w:w="3380" w:type="dxa"/>
            <w:vAlign w:val="bottom"/>
            <w:gridSpan w:val="26"/>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101.SCH</w:t>
            </w: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XBRL Schema Document</w:t>
            </w:r>
          </w:p>
        </w:tc>
        <w:tc>
          <w:tcPr>
            <w:tcW w:w="3400" w:type="dxa"/>
            <w:vAlign w:val="bottom"/>
            <w:gridSpan w:val="27"/>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31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rPr>
              <w:t>XBRL Calculation Linkbase Document</w:t>
            </w:r>
          </w:p>
        </w:tc>
        <w:tc>
          <w:tcPr>
            <w:tcW w:w="2360" w:type="dxa"/>
            <w:vAlign w:val="bottom"/>
            <w:gridSpan w:val="19"/>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292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9"/>
              </w:rPr>
              <w:t>XBRL Definition Linkbase Document</w:t>
            </w:r>
          </w:p>
        </w:tc>
        <w:tc>
          <w:tcPr>
            <w:tcW w:w="2540" w:type="dxa"/>
            <w:vAlign w:val="bottom"/>
            <w:gridSpan w:val="20"/>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101.LAB</w:t>
            </w:r>
          </w:p>
        </w:tc>
        <w:tc>
          <w:tcPr>
            <w:tcW w:w="5460" w:type="dxa"/>
            <w:vAlign w:val="bottom"/>
            <w:gridSpan w:val="33"/>
          </w:tcPr>
          <w:p>
            <w:pPr>
              <w:spacing w:after="0"/>
              <w:rPr>
                <w:sz w:val="20"/>
                <w:szCs w:val="20"/>
                <w:color w:val="auto"/>
              </w:rPr>
            </w:pPr>
            <w:r>
              <w:rPr>
                <w:rFonts w:ascii="Arial" w:cs="Arial" w:eastAsia="Arial" w:hAnsi="Arial"/>
                <w:sz w:val="18"/>
                <w:szCs w:val="18"/>
                <w:color w:val="auto"/>
              </w:rPr>
              <w:t>XBRL Label Linkbase Document</w:t>
            </w: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0" w:type="dxa"/>
            <w:vAlign w:val="bottom"/>
            <w:gridSpan w:val="12"/>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80" w:type="dxa"/>
            <w:vAlign w:val="bottom"/>
            <w:gridSpan w:val="18"/>
          </w:tcPr>
          <w:p>
            <w:pPr>
              <w:spacing w:after="0" w:line="20" w:lineRule="exact"/>
              <w:rPr>
                <w:sz w:val="1"/>
                <w:szCs w:val="1"/>
                <w:color w:val="auto"/>
              </w:rPr>
            </w:pP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37"/>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101.PRE</w:t>
            </w:r>
          </w:p>
        </w:tc>
        <w:tc>
          <w:tcPr>
            <w:tcW w:w="31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9"/>
              </w:rPr>
              <w:t>XBRL Presentation Linkbase Document</w:t>
            </w:r>
          </w:p>
        </w:tc>
        <w:tc>
          <w:tcPr>
            <w:tcW w:w="2280" w:type="dxa"/>
            <w:vAlign w:val="bottom"/>
            <w:gridSpan w:val="18"/>
          </w:tcPr>
          <w:p>
            <w:pPr>
              <w:spacing w:after="0"/>
              <w:rPr>
                <w:sz w:val="20"/>
                <w:szCs w:val="20"/>
                <w:color w:val="auto"/>
              </w:rPr>
            </w:pP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20" w:right="480" w:hanging="594"/>
        <w:spacing w:after="0" w:line="246"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have been omitted and provided separately to the SEC pursuant to a request for confidential treatment.</w:t>
      </w:r>
    </w:p>
    <w:p>
      <w:pPr>
        <w:spacing w:after="0" w:line="35" w:lineRule="exact"/>
        <w:rPr>
          <w:sz w:val="20"/>
          <w:szCs w:val="20"/>
          <w:color w:val="auto"/>
        </w:rPr>
      </w:pPr>
    </w:p>
    <w:p>
      <w:pPr>
        <w:ind w:left="620" w:hanging="594"/>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6"/>
              <w:spacing w:after="0"/>
              <w:rPr>
                <w:sz w:val="20"/>
                <w:szCs w:val="20"/>
                <w:color w:val="auto"/>
              </w:rPr>
            </w:pPr>
            <w:r>
              <w:rPr>
                <w:rFonts w:ascii="Arial" w:cs="Arial" w:eastAsia="Arial" w:hAnsi="Arial"/>
                <w:sz w:val="18"/>
                <w:szCs w:val="18"/>
                <w:color w:val="auto"/>
                <w:w w:val="99"/>
              </w:rPr>
              <w:t>001-36812</w:t>
            </w:r>
          </w:p>
        </w:tc>
        <w:tc>
          <w:tcPr>
            <w:tcW w:w="1160" w:type="dxa"/>
            <w:vAlign w:val="bottom"/>
          </w:tcPr>
          <w:p>
            <w:pPr>
              <w:ind w:left="260"/>
              <w:spacing w:after="0"/>
              <w:rPr>
                <w:sz w:val="20"/>
                <w:szCs w:val="20"/>
                <w:color w:val="auto"/>
              </w:rPr>
            </w:pPr>
            <w:r>
              <w:rPr>
                <w:rFonts w:ascii="Arial" w:cs="Arial" w:eastAsia="Arial" w:hAnsi="Arial"/>
                <w:sz w:val="18"/>
                <w:szCs w:val="18"/>
                <w:color w:val="auto"/>
                <w:w w:val="97"/>
              </w:rPr>
              <w:t>09/16/2019</w:t>
            </w:r>
          </w:p>
        </w:tc>
      </w:tr>
      <w:tr>
        <w:trPr>
          <w:trHeight w:val="217"/>
        </w:trPr>
        <w:tc>
          <w:tcPr>
            <w:tcW w:w="520" w:type="dxa"/>
            <w:vAlign w:val="bottom"/>
          </w:tcPr>
          <w:p>
            <w:pPr>
              <w:spacing w:after="0"/>
              <w:rPr>
                <w:sz w:val="18"/>
                <w:szCs w:val="18"/>
                <w:color w:val="auto"/>
              </w:rPr>
            </w:pPr>
          </w:p>
        </w:tc>
        <w:tc>
          <w:tcPr>
            <w:tcW w:w="1340" w:type="dxa"/>
            <w:vAlign w:val="bottom"/>
          </w:tcPr>
          <w:p>
            <w:pPr>
              <w:jc w:val="center"/>
              <w:ind w:left="116"/>
              <w:spacing w:after="0"/>
              <w:rPr>
                <w:sz w:val="20"/>
                <w:szCs w:val="20"/>
                <w:color w:val="auto"/>
              </w:rPr>
            </w:pPr>
            <w:r>
              <w:rPr>
                <w:rFonts w:ascii="Arial" w:cs="Arial" w:eastAsia="Arial" w:hAnsi="Arial"/>
                <w:sz w:val="18"/>
                <w:szCs w:val="18"/>
                <w:color w:val="auto"/>
                <w:w w:val="99"/>
              </w:rPr>
              <w:t>Exhibit 10.5</w:t>
            </w:r>
          </w:p>
        </w:tc>
        <w:tc>
          <w:tcPr>
            <w:tcW w:w="1160" w:type="dxa"/>
            <w:vAlign w:val="bottom"/>
          </w:tcPr>
          <w:p>
            <w:pPr>
              <w:spacing w:after="0"/>
              <w:rPr>
                <w:sz w:val="18"/>
                <w:szCs w:val="18"/>
                <w:color w:val="auto"/>
              </w:rPr>
            </w:pPr>
          </w:p>
        </w:tc>
      </w:tr>
      <w:tr>
        <w:trPr>
          <w:trHeight w:val="407"/>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4/29/2020</w:t>
            </w:r>
          </w:p>
        </w:tc>
      </w:tr>
      <w:tr>
        <w:trPr>
          <w:trHeight w:val="195"/>
        </w:trPr>
        <w:tc>
          <w:tcPr>
            <w:tcW w:w="52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6"/>
                <w:szCs w:val="16"/>
                <w:color w:val="auto"/>
              </w:rPr>
            </w:pPr>
          </w:p>
        </w:tc>
      </w:tr>
      <w:tr>
        <w:trPr>
          <w:trHeight w:val="237"/>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06/19/2020</w:t>
            </w:r>
          </w:p>
        </w:tc>
      </w:tr>
      <w:tr>
        <w:trPr>
          <w:trHeight w:val="195"/>
        </w:trPr>
        <w:tc>
          <w:tcPr>
            <w:tcW w:w="52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6"/>
                <w:szCs w:val="16"/>
                <w:color w:val="auto"/>
              </w:rPr>
            </w:pPr>
          </w:p>
        </w:tc>
      </w:tr>
      <w:tr>
        <w:trPr>
          <w:trHeight w:val="761"/>
        </w:trPr>
        <w:tc>
          <w:tcPr>
            <w:tcW w:w="520" w:type="dxa"/>
            <w:vAlign w:val="bottom"/>
          </w:tcPr>
          <w:p>
            <w:pPr>
              <w:jc w:val="center"/>
              <w:ind w:right="53"/>
              <w:spacing w:after="0"/>
              <w:rPr>
                <w:sz w:val="20"/>
                <w:szCs w:val="20"/>
                <w:color w:val="auto"/>
              </w:rPr>
            </w:pPr>
            <w:r>
              <w:rPr>
                <w:rFonts w:ascii="Arial" w:cs="Arial" w:eastAsia="Arial" w:hAnsi="Arial"/>
                <w:sz w:val="18"/>
                <w:szCs w:val="18"/>
                <w:color w:val="auto"/>
                <w:w w:val="99"/>
              </w:rPr>
              <w:t>10-K</w:t>
            </w:r>
          </w:p>
        </w:tc>
        <w:tc>
          <w:tcPr>
            <w:tcW w:w="1340" w:type="dxa"/>
            <w:vAlign w:val="bottom"/>
          </w:tcPr>
          <w:p>
            <w:pPr>
              <w:ind w:left="140"/>
              <w:spacing w:after="0"/>
              <w:rPr>
                <w:sz w:val="20"/>
                <w:szCs w:val="20"/>
                <w:color w:val="auto"/>
              </w:rPr>
            </w:pPr>
            <w:r>
              <w:rPr>
                <w:rFonts w:ascii="Arial" w:cs="Arial" w:eastAsia="Arial" w:hAnsi="Arial"/>
                <w:sz w:val="18"/>
                <w:szCs w:val="18"/>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03/24/2015</w:t>
            </w:r>
          </w:p>
        </w:tc>
      </w:tr>
      <w:tr>
        <w:trPr>
          <w:trHeight w:val="217"/>
        </w:trPr>
        <w:tc>
          <w:tcPr>
            <w:tcW w:w="5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Exhibit 10.4</w:t>
            </w:r>
          </w:p>
        </w:tc>
        <w:tc>
          <w:tcPr>
            <w:tcW w:w="1160" w:type="dxa"/>
            <w:vAlign w:val="bottom"/>
          </w:tcPr>
          <w:p>
            <w:pPr>
              <w:spacing w:after="0"/>
              <w:rPr>
                <w:sz w:val="18"/>
                <w:szCs w:val="18"/>
                <w:color w:val="auto"/>
              </w:rPr>
            </w:pPr>
          </w:p>
        </w:tc>
      </w:tr>
      <w:tr>
        <w:trPr>
          <w:trHeight w:val="393"/>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06/19/2020</w:t>
            </w:r>
          </w:p>
        </w:tc>
      </w:tr>
      <w:tr>
        <w:trPr>
          <w:trHeight w:val="195"/>
        </w:trPr>
        <w:tc>
          <w:tcPr>
            <w:tcW w:w="52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10.2</w:t>
            </w:r>
          </w:p>
        </w:tc>
        <w:tc>
          <w:tcPr>
            <w:tcW w:w="1160" w:type="dxa"/>
            <w:vAlign w:val="bottom"/>
          </w:tcPr>
          <w:p>
            <w:pPr>
              <w:spacing w:after="0"/>
              <w:rPr>
                <w:sz w:val="16"/>
                <w:szCs w:val="16"/>
                <w:color w:val="auto"/>
              </w:rPr>
            </w:pPr>
          </w:p>
        </w:tc>
      </w:tr>
      <w:tr>
        <w:trPr>
          <w:trHeight w:val="264"/>
        </w:trPr>
        <w:tc>
          <w:tcPr>
            <w:tcW w:w="520" w:type="dxa"/>
            <w:vAlign w:val="bottom"/>
          </w:tcPr>
          <w:p>
            <w:pPr>
              <w:jc w:val="center"/>
              <w:ind w:right="53"/>
              <w:spacing w:after="0"/>
              <w:rPr>
                <w:sz w:val="20"/>
                <w:szCs w:val="20"/>
                <w:color w:val="auto"/>
              </w:rPr>
            </w:pPr>
            <w:r>
              <w:rPr>
                <w:rFonts w:ascii="Arial" w:cs="Arial" w:eastAsia="Arial" w:hAnsi="Arial"/>
                <w:sz w:val="16"/>
                <w:szCs w:val="16"/>
                <w:color w:val="auto"/>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320"/>
              <w:spacing w:after="0"/>
              <w:rPr>
                <w:sz w:val="20"/>
                <w:szCs w:val="20"/>
                <w:color w:val="auto"/>
              </w:rPr>
            </w:pPr>
            <w:r>
              <w:rPr>
                <w:rFonts w:ascii="Arial" w:cs="Arial" w:eastAsia="Arial" w:hAnsi="Arial"/>
                <w:sz w:val="16"/>
                <w:szCs w:val="16"/>
                <w:color w:val="auto"/>
              </w:rPr>
              <w:t>02/05/2021</w:t>
            </w:r>
          </w:p>
        </w:tc>
      </w:tr>
      <w:tr>
        <w:trPr>
          <w:trHeight w:val="195"/>
        </w:trPr>
        <w:tc>
          <w:tcPr>
            <w:tcW w:w="52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1.1</w:t>
            </w:r>
          </w:p>
        </w:tc>
        <w:tc>
          <w:tcPr>
            <w:tcW w:w="1160" w:type="dxa"/>
            <w:vAlign w:val="bottom"/>
          </w:tcPr>
          <w:p>
            <w:pPr>
              <w:spacing w:after="0"/>
              <w:rPr>
                <w:sz w:val="16"/>
                <w:szCs w:val="16"/>
                <w:color w:val="auto"/>
              </w:rPr>
            </w:pPr>
          </w:p>
        </w:tc>
      </w:tr>
      <w:tr>
        <w:trPr>
          <w:trHeight w:val="912"/>
        </w:trPr>
        <w:tc>
          <w:tcPr>
            <w:tcW w:w="520" w:type="dxa"/>
            <w:vAlign w:val="bottom"/>
          </w:tcPr>
          <w:p>
            <w:pPr>
              <w:jc w:val="center"/>
              <w:ind w:right="53"/>
              <w:spacing w:after="0"/>
              <w:rPr>
                <w:sz w:val="20"/>
                <w:szCs w:val="20"/>
                <w:color w:val="auto"/>
              </w:rPr>
            </w:pPr>
            <w:r>
              <w:rPr>
                <w:rFonts w:ascii="Arial" w:cs="Arial" w:eastAsia="Arial" w:hAnsi="Arial"/>
                <w:sz w:val="16"/>
                <w:szCs w:val="16"/>
                <w:color w:val="auto"/>
              </w:rPr>
              <w:t>S-1</w:t>
            </w:r>
          </w:p>
        </w:tc>
        <w:tc>
          <w:tcPr>
            <w:tcW w:w="1340" w:type="dxa"/>
            <w:vAlign w:val="bottom"/>
          </w:tcPr>
          <w:p>
            <w:pPr>
              <w:jc w:val="center"/>
              <w:ind w:left="116"/>
              <w:spacing w:after="0"/>
              <w:rPr>
                <w:sz w:val="20"/>
                <w:szCs w:val="20"/>
                <w:color w:val="auto"/>
              </w:rPr>
            </w:pPr>
            <w:r>
              <w:rPr>
                <w:rFonts w:ascii="Arial" w:cs="Arial" w:eastAsia="Arial" w:hAnsi="Arial"/>
                <w:sz w:val="16"/>
                <w:szCs w:val="16"/>
                <w:color w:val="auto"/>
              </w:rPr>
              <w:t>333-235879</w:t>
            </w:r>
          </w:p>
        </w:tc>
        <w:tc>
          <w:tcPr>
            <w:tcW w:w="1160" w:type="dxa"/>
            <w:vAlign w:val="bottom"/>
          </w:tcPr>
          <w:p>
            <w:pPr>
              <w:ind w:left="320"/>
              <w:spacing w:after="0"/>
              <w:rPr>
                <w:sz w:val="20"/>
                <w:szCs w:val="20"/>
                <w:color w:val="auto"/>
              </w:rPr>
            </w:pPr>
            <w:r>
              <w:rPr>
                <w:rFonts w:ascii="Arial" w:cs="Arial" w:eastAsia="Arial" w:hAnsi="Arial"/>
                <w:sz w:val="16"/>
                <w:szCs w:val="16"/>
                <w:color w:val="auto"/>
              </w:rPr>
              <w:t>01/10/2020</w:t>
            </w:r>
          </w:p>
        </w:tc>
      </w:tr>
      <w:tr>
        <w:trPr>
          <w:trHeight w:val="195"/>
        </w:trPr>
        <w:tc>
          <w:tcPr>
            <w:tcW w:w="520" w:type="dxa"/>
            <w:vAlign w:val="bottom"/>
          </w:tcPr>
          <w:p>
            <w:pPr>
              <w:spacing w:after="0"/>
              <w:rPr>
                <w:sz w:val="16"/>
                <w:szCs w:val="16"/>
                <w:color w:val="auto"/>
              </w:rPr>
            </w:pPr>
          </w:p>
        </w:tc>
        <w:tc>
          <w:tcPr>
            <w:tcW w:w="1340" w:type="dxa"/>
            <w:vAlign w:val="bottom"/>
          </w:tcPr>
          <w:p>
            <w:pPr>
              <w:jc w:val="center"/>
              <w:ind w:left="136"/>
              <w:spacing w:after="0"/>
              <w:rPr>
                <w:sz w:val="20"/>
                <w:szCs w:val="20"/>
                <w:color w:val="auto"/>
              </w:rPr>
            </w:pPr>
            <w:r>
              <w:rPr>
                <w:rFonts w:ascii="Arial" w:cs="Arial" w:eastAsia="Arial" w:hAnsi="Arial"/>
                <w:sz w:val="16"/>
                <w:szCs w:val="16"/>
                <w:color w:val="auto"/>
              </w:rPr>
              <w:t>Exhibit 21</w:t>
            </w:r>
          </w:p>
        </w:tc>
        <w:tc>
          <w:tcPr>
            <w:tcW w:w="1160" w:type="dxa"/>
            <w:vAlign w:val="bottom"/>
          </w:tcPr>
          <w:p>
            <w:pPr>
              <w:spacing w:after="0"/>
              <w:rPr>
                <w:sz w:val="16"/>
                <w:szCs w:val="16"/>
                <w:color w:val="auto"/>
              </w:rPr>
            </w:pPr>
          </w:p>
        </w:tc>
      </w:tr>
    </w:tbl>
    <w:p>
      <w:pPr>
        <w:sectPr>
          <w:pgSz w:w="11900" w:h="16838" w:orient="portrait"/>
          <w:cols w:equalWidth="0" w:num="2">
            <w:col w:w="7280" w:space="720"/>
            <w:col w:w="3020"/>
          </w:cols>
          <w:pgMar w:left="320" w:top="290" w:right="55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25, 2022</w:t>
      </w:r>
      <w:r>
        <w:rPr>
          <w:sz w:val="20"/>
          <w:szCs w:val="20"/>
          <w:color w:val="auto"/>
        </w:rPr>
        <w:tab/>
      </w:r>
      <w:r>
        <w:rPr>
          <w:rFonts w:ascii="Arial" w:cs="Arial" w:eastAsia="Arial" w:hAnsi="Arial"/>
          <w:sz w:val="17"/>
          <w:szCs w:val="17"/>
          <w:color w:val="auto"/>
        </w:rPr>
        <w:t>SALARIUS PHARMACEUTICALS, INC.</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J. Arthur</w:t>
      </w:r>
    </w:p>
    <w:p>
      <w:pPr>
        <w:ind w:left="5200"/>
        <w:spacing w:after="0" w:line="187" w:lineRule="auto"/>
        <w:rPr>
          <w:sz w:val="20"/>
          <w:szCs w:val="20"/>
          <w:color w:val="auto"/>
        </w:rPr>
      </w:pPr>
      <w:r>
        <w:rPr>
          <w:rFonts w:ascii="Arial" w:cs="Arial" w:eastAsia="Arial" w:hAnsi="Arial"/>
          <w:sz w:val="18"/>
          <w:szCs w:val="18"/>
          <w:color w:val="auto"/>
        </w:rPr>
        <w:t>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-92710</wp:posOffset>
            </wp:positionV>
            <wp:extent cx="939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0" w:lineRule="exact"/>
        <w:rPr>
          <w:sz w:val="20"/>
          <w:szCs w:val="20"/>
          <w:color w:val="auto"/>
        </w:rPr>
      </w:pPr>
    </w:p>
    <w:p>
      <w:pPr>
        <w:spacing w:after="0" w:line="2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w:t>
      </w:r>
    </w:p>
    <w:tbl>
      <w:tblPr>
        <w:tblLayout w:type="fixed"/>
        <w:tblInd w:w="0" w:type="dxa"/>
        <w:tblCellMar>
          <w:top w:w="0" w:type="dxa"/>
          <w:left w:w="0" w:type="dxa"/>
          <w:bottom w:w="0" w:type="dxa"/>
          <w:right w:w="0" w:type="dxa"/>
        </w:tblCellMar>
      </w:tblPr>
      <w:tr>
        <w:trPr>
          <w:trHeight w:val="217"/>
        </w:trPr>
        <w:tc>
          <w:tcPr>
            <w:tcW w:w="980" w:type="dxa"/>
            <w:vAlign w:val="bottom"/>
            <w:gridSpan w:val="2"/>
          </w:tcPr>
          <w:p>
            <w:pPr>
              <w:spacing w:after="0"/>
              <w:rPr>
                <w:sz w:val="20"/>
                <w:szCs w:val="20"/>
                <w:color w:val="auto"/>
              </w:rPr>
            </w:pPr>
            <w:r>
              <w:rPr>
                <w:rFonts w:ascii="Arial" w:cs="Arial" w:eastAsia="Arial" w:hAnsi="Arial"/>
                <w:sz w:val="18"/>
                <w:szCs w:val="18"/>
                <w:color w:val="auto"/>
              </w:rPr>
              <w:t>behalf</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w w:val="92"/>
              </w:rPr>
              <w:t>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the</w:t>
            </w:r>
          </w:p>
        </w:tc>
        <w:tc>
          <w:tcPr>
            <w:tcW w:w="1020" w:type="dxa"/>
            <w:vAlign w:val="bottom"/>
          </w:tcPr>
          <w:p>
            <w:pPr>
              <w:ind w:left="100"/>
              <w:spacing w:after="0"/>
              <w:rPr>
                <w:sz w:val="20"/>
                <w:szCs w:val="20"/>
                <w:color w:val="auto"/>
              </w:rPr>
            </w:pPr>
            <w:r>
              <w:rPr>
                <w:rFonts w:ascii="Arial" w:cs="Arial" w:eastAsia="Arial" w:hAnsi="Arial"/>
                <w:sz w:val="18"/>
                <w:szCs w:val="18"/>
                <w:color w:val="auto"/>
              </w:rPr>
              <w:t>registrant</w:t>
            </w:r>
          </w:p>
        </w:tc>
        <w:tc>
          <w:tcPr>
            <w:tcW w:w="920" w:type="dxa"/>
            <w:vAlign w:val="bottom"/>
          </w:tcPr>
          <w:p>
            <w:pPr>
              <w:ind w:left="360"/>
              <w:spacing w:after="0"/>
              <w:rPr>
                <w:sz w:val="20"/>
                <w:szCs w:val="20"/>
                <w:color w:val="auto"/>
              </w:rPr>
            </w:pPr>
            <w:r>
              <w:rPr>
                <w:rFonts w:ascii="Arial" w:cs="Arial" w:eastAsia="Arial" w:hAnsi="Arial"/>
                <w:sz w:val="18"/>
                <w:szCs w:val="18"/>
                <w:color w:val="auto"/>
              </w:rPr>
              <w:t>and</w:t>
            </w:r>
          </w:p>
        </w:tc>
        <w:tc>
          <w:tcPr>
            <w:tcW w:w="720" w:type="dxa"/>
            <w:vAlign w:val="bottom"/>
          </w:tcPr>
          <w:p>
            <w:pPr>
              <w:ind w:left="240"/>
              <w:spacing w:after="0"/>
              <w:rPr>
                <w:sz w:val="20"/>
                <w:szCs w:val="20"/>
                <w:color w:val="auto"/>
              </w:rPr>
            </w:pPr>
            <w:r>
              <w:rPr>
                <w:rFonts w:ascii="Arial" w:cs="Arial" w:eastAsia="Arial" w:hAnsi="Arial"/>
                <w:sz w:val="18"/>
                <w:szCs w:val="18"/>
                <w:color w:val="auto"/>
              </w:rPr>
              <w:t>in</w:t>
            </w:r>
          </w:p>
        </w:tc>
        <w:tc>
          <w:tcPr>
            <w:tcW w:w="520" w:type="dxa"/>
            <w:vAlign w:val="bottom"/>
          </w:tcPr>
          <w:p>
            <w:pPr>
              <w:ind w:left="180"/>
              <w:spacing w:after="0"/>
              <w:rPr>
                <w:sz w:val="20"/>
                <w:szCs w:val="20"/>
                <w:color w:val="auto"/>
              </w:rPr>
            </w:pPr>
            <w:r>
              <w:rPr>
                <w:rFonts w:ascii="Arial" w:cs="Arial" w:eastAsia="Arial" w:hAnsi="Arial"/>
                <w:sz w:val="18"/>
                <w:szCs w:val="18"/>
                <w:color w:val="auto"/>
              </w:rPr>
              <w:t>the</w:t>
            </w:r>
          </w:p>
        </w:tc>
        <w:tc>
          <w:tcPr>
            <w:tcW w:w="1480" w:type="dxa"/>
            <w:vAlign w:val="bottom"/>
          </w:tcPr>
          <w:p>
            <w:pPr>
              <w:ind w:left="420"/>
              <w:spacing w:after="0"/>
              <w:rPr>
                <w:sz w:val="20"/>
                <w:szCs w:val="20"/>
                <w:color w:val="auto"/>
              </w:rPr>
            </w:pPr>
            <w:r>
              <w:rPr>
                <w:rFonts w:ascii="Arial" w:cs="Arial" w:eastAsia="Arial" w:hAnsi="Arial"/>
                <w:sz w:val="18"/>
                <w:szCs w:val="18"/>
                <w:color w:val="auto"/>
              </w:rPr>
              <w:t>capacities</w:t>
            </w:r>
          </w:p>
        </w:tc>
        <w:tc>
          <w:tcPr>
            <w:tcW w:w="1060" w:type="dxa"/>
            <w:vAlign w:val="bottom"/>
          </w:tcPr>
          <w:p>
            <w:pPr>
              <w:ind w:left="260"/>
              <w:spacing w:after="0"/>
              <w:rPr>
                <w:sz w:val="20"/>
                <w:szCs w:val="20"/>
                <w:color w:val="auto"/>
              </w:rPr>
            </w:pPr>
            <w:r>
              <w:rPr>
                <w:rFonts w:ascii="Arial" w:cs="Arial" w:eastAsia="Arial" w:hAnsi="Arial"/>
                <w:sz w:val="18"/>
                <w:szCs w:val="18"/>
                <w:color w:val="auto"/>
              </w:rPr>
              <w:t>and</w:t>
            </w:r>
          </w:p>
        </w:tc>
        <w:tc>
          <w:tcPr>
            <w:tcW w:w="480" w:type="dxa"/>
            <w:vAlign w:val="bottom"/>
          </w:tcPr>
          <w:p>
            <w:pPr>
              <w:ind w:left="20"/>
              <w:spacing w:after="0"/>
              <w:rPr>
                <w:sz w:val="20"/>
                <w:szCs w:val="20"/>
                <w:color w:val="auto"/>
              </w:rPr>
            </w:pPr>
            <w:r>
              <w:rPr>
                <w:rFonts w:ascii="Arial" w:cs="Arial" w:eastAsia="Arial" w:hAnsi="Arial"/>
                <w:sz w:val="18"/>
                <w:szCs w:val="18"/>
                <w:color w:val="auto"/>
              </w:rPr>
              <w:t>on</w:t>
            </w:r>
          </w:p>
        </w:tc>
        <w:tc>
          <w:tcPr>
            <w:tcW w:w="1000" w:type="dxa"/>
            <w:vAlign w:val="bottom"/>
          </w:tcPr>
          <w:p>
            <w:pPr>
              <w:ind w:left="260"/>
              <w:spacing w:after="0"/>
              <w:rPr>
                <w:sz w:val="20"/>
                <w:szCs w:val="20"/>
                <w:color w:val="auto"/>
              </w:rPr>
            </w:pPr>
            <w:r>
              <w:rPr>
                <w:rFonts w:ascii="Arial" w:cs="Arial" w:eastAsia="Arial" w:hAnsi="Arial"/>
                <w:sz w:val="18"/>
                <w:szCs w:val="18"/>
                <w:color w:val="auto"/>
              </w:rPr>
              <w:t>the</w:t>
            </w:r>
          </w:p>
        </w:tc>
        <w:tc>
          <w:tcPr>
            <w:tcW w:w="820" w:type="dxa"/>
            <w:vAlign w:val="bottom"/>
          </w:tcPr>
          <w:p>
            <w:pPr>
              <w:ind w:left="20"/>
              <w:spacing w:after="0"/>
              <w:rPr>
                <w:sz w:val="20"/>
                <w:szCs w:val="20"/>
                <w:color w:val="auto"/>
              </w:rPr>
            </w:pPr>
            <w:r>
              <w:rPr>
                <w:rFonts w:ascii="Arial" w:cs="Arial" w:eastAsia="Arial" w:hAnsi="Arial"/>
                <w:sz w:val="18"/>
                <w:szCs w:val="18"/>
                <w:color w:val="auto"/>
              </w:rPr>
              <w:t>dates</w:t>
            </w:r>
          </w:p>
        </w:tc>
        <w:tc>
          <w:tcPr>
            <w:tcW w:w="880" w:type="dxa"/>
            <w:vAlign w:val="bottom"/>
          </w:tcPr>
          <w:p>
            <w:pPr>
              <w:ind w:left="160"/>
              <w:spacing w:after="0"/>
              <w:rPr>
                <w:sz w:val="20"/>
                <w:szCs w:val="20"/>
                <w:color w:val="auto"/>
              </w:rPr>
            </w:pPr>
            <w:r>
              <w:rPr>
                <w:rFonts w:ascii="Arial" w:cs="Arial" w:eastAsia="Arial" w:hAnsi="Arial"/>
                <w:sz w:val="18"/>
                <w:szCs w:val="18"/>
                <w:color w:val="auto"/>
                <w:w w:val="97"/>
              </w:rPr>
              <w:t>indicated</w:t>
            </w:r>
          </w:p>
        </w:tc>
      </w:tr>
      <w:tr>
        <w:trPr>
          <w:trHeight w:val="257"/>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SIGNATURE</w:t>
            </w: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TITLE</w:t>
            </w: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ind w:left="500"/>
              <w:spacing w:after="0"/>
              <w:rPr>
                <w:sz w:val="20"/>
                <w:szCs w:val="20"/>
                <w:color w:val="auto"/>
              </w:rPr>
            </w:pPr>
            <w:r>
              <w:rPr>
                <w:rFonts w:ascii="Arial" w:cs="Arial" w:eastAsia="Arial" w:hAnsi="Arial"/>
                <w:sz w:val="18"/>
                <w:szCs w:val="18"/>
                <w:b w:val="1"/>
                <w:bCs w:val="1"/>
                <w:i w:val="1"/>
                <w:iCs w:val="1"/>
                <w:color w:val="auto"/>
                <w:w w:val="97"/>
              </w:rPr>
              <w:t>DATE</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William K. McVicar William K. McVicar</w:t>
            </w:r>
          </w:p>
        </w:tc>
        <w:tc>
          <w:tcPr>
            <w:tcW w:w="2160" w:type="dxa"/>
            <w:vAlign w:val="bottom"/>
            <w:gridSpan w:val="3"/>
          </w:tcPr>
          <w:p>
            <w:pPr>
              <w:ind w:left="60"/>
              <w:spacing w:after="0"/>
              <w:rPr>
                <w:sz w:val="20"/>
                <w:szCs w:val="20"/>
                <w:color w:val="auto"/>
              </w:rPr>
            </w:pPr>
            <w:r>
              <w:rPr>
                <w:rFonts w:ascii="Arial" w:cs="Arial" w:eastAsia="Arial" w:hAnsi="Arial"/>
                <w:sz w:val="18"/>
                <w:szCs w:val="18"/>
                <w:i w:val="1"/>
                <w:iCs w:val="1"/>
                <w:color w:val="auto"/>
              </w:rPr>
              <w:t>Chairman of the Board</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David J. Arthur David J. Arthur</w:t>
            </w:r>
          </w:p>
        </w:tc>
        <w:tc>
          <w:tcPr>
            <w:tcW w:w="4700" w:type="dxa"/>
            <w:vAlign w:val="bottom"/>
            <w:gridSpan w:val="5"/>
          </w:tcPr>
          <w:p>
            <w:pPr>
              <w:ind w:left="60"/>
              <w:spacing w:after="0"/>
              <w:rPr>
                <w:sz w:val="20"/>
                <w:szCs w:val="20"/>
                <w:color w:val="auto"/>
              </w:rPr>
            </w:pPr>
            <w:r>
              <w:rPr>
                <w:rFonts w:ascii="Arial" w:cs="Arial" w:eastAsia="Arial" w:hAnsi="Arial"/>
                <w:sz w:val="18"/>
                <w:szCs w:val="18"/>
                <w:i w:val="1"/>
                <w:iCs w:val="1"/>
                <w:color w:val="auto"/>
              </w:rPr>
              <w:t>Director, President &amp; Chief Executive Officer (Principal</w:t>
            </w:r>
          </w:p>
        </w:tc>
        <w:tc>
          <w:tcPr>
            <w:tcW w:w="48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i w:val="1"/>
                <w:iCs w:val="1"/>
                <w:color w:val="auto"/>
              </w:rPr>
              <w:t>Executive Officer)</w:t>
            </w: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Mark J. Rosenblum Mark J.</w:t>
            </w:r>
          </w:p>
        </w:tc>
        <w:tc>
          <w:tcPr>
            <w:tcW w:w="4700" w:type="dxa"/>
            <w:vAlign w:val="bottom"/>
            <w:gridSpan w:val="5"/>
          </w:tcPr>
          <w:p>
            <w:pPr>
              <w:ind w:left="60"/>
              <w:spacing w:after="0"/>
              <w:rPr>
                <w:sz w:val="20"/>
                <w:szCs w:val="20"/>
                <w:color w:val="auto"/>
              </w:rPr>
            </w:pPr>
            <w:r>
              <w:rPr>
                <w:rFonts w:ascii="Arial" w:cs="Arial" w:eastAsia="Arial" w:hAnsi="Arial"/>
                <w:sz w:val="18"/>
                <w:szCs w:val="18"/>
                <w:i w:val="1"/>
                <w:iCs w:val="1"/>
                <w:color w:val="auto"/>
                <w:w w:val="99"/>
              </w:rPr>
              <w:t>Chief Financial Officer (Principal Financial and Accounting</w:t>
            </w:r>
          </w:p>
        </w:tc>
        <w:tc>
          <w:tcPr>
            <w:tcW w:w="48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Rosenblum</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Tess Burleson Tess Burleson</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420" w:type="dxa"/>
            <w:vAlign w:val="bottom"/>
            <w:tcBorders>
              <w:top w:val="single" w:sz="8" w:color="auto"/>
            </w:tcBorders>
            <w:gridSpan w:val="6"/>
          </w:tcPr>
          <w:p>
            <w:pPr>
              <w:spacing w:after="0"/>
              <w:rPr>
                <w:sz w:val="20"/>
                <w:szCs w:val="20"/>
                <w:color w:val="auto"/>
              </w:rPr>
            </w:pPr>
            <w:r>
              <w:rPr>
                <w:rFonts w:ascii="Arial" w:cs="Arial" w:eastAsia="Arial" w:hAnsi="Arial"/>
                <w:sz w:val="18"/>
                <w:szCs w:val="18"/>
                <w:i w:val="1"/>
                <w:iCs w:val="1"/>
                <w:color w:val="auto"/>
              </w:rPr>
              <w:t>/s/ Arnold Hanish</w:t>
            </w:r>
          </w:p>
        </w:tc>
        <w:tc>
          <w:tcPr>
            <w:tcW w:w="900" w:type="dxa"/>
            <w:vAlign w:val="bottom"/>
            <w:gridSpan w:val="4"/>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Arnold Hanish</w:t>
            </w:r>
          </w:p>
        </w:tc>
        <w:tc>
          <w:tcPr>
            <w:tcW w:w="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Paul Lammers Paul Lammers</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/s/ Jon Lieber</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Jon Lieber</w:t>
            </w: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Bruce McCreedy Bruce McCreedy</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25, 2022</w:t>
            </w:r>
          </w:p>
        </w:tc>
        <w:tc>
          <w:tcPr>
            <w:tcW w:w="8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ectPr>
          <w:pgSz w:w="11900" w:h="16838" w:orient="portrait"/>
          <w:cols w:equalWidth="0" w:num="1">
            <w:col w:w="11240"/>
          </w:cols>
          <w:pgMar w:left="320" w:top="29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20" w:lineRule="exact"/>
        <w:rPr>
          <w:sz w:val="20"/>
          <w:szCs w:val="20"/>
          <w:color w:val="auto"/>
        </w:rPr>
      </w:pPr>
    </w:p>
    <w:p>
      <w:pPr>
        <w:jc w:val="both"/>
        <w:ind w:left="660" w:right="220" w:hanging="328"/>
        <w:spacing w:after="0" w:line="261" w:lineRule="auto"/>
        <w:tabs>
          <w:tab w:leader="none" w:pos="649" w:val="left"/>
        </w:tabs>
        <w:numPr>
          <w:ilvl w:val="0"/>
          <w:numId w:val="42"/>
        </w:numPr>
        <w:rPr>
          <w:rFonts w:ascii="Arial" w:cs="Arial" w:eastAsia="Arial" w:hAnsi="Arial"/>
          <w:sz w:val="18"/>
          <w:szCs w:val="18"/>
          <w:color w:val="auto"/>
        </w:rPr>
      </w:pPr>
      <w:r>
        <w:rPr>
          <w:rFonts w:ascii="Arial" w:cs="Arial" w:eastAsia="Arial" w:hAnsi="Arial"/>
          <w:sz w:val="19"/>
          <w:szCs w:val="19"/>
          <w:color w:val="auto"/>
        </w:rPr>
        <w:t>Registration Statement (Form S-8 No. 333-201816) pertaining to the 2014 Equity Incentive Plan, 2015 Equity Incentive Plan and 2015 Employee Stock Purchase Plan of Salarius Pharmaceuticals, Inc. (formerly known as Flex Pharma, Inc.);</w:t>
      </w:r>
    </w:p>
    <w:p>
      <w:pPr>
        <w:spacing w:after="0" w:line="1" w:lineRule="exact"/>
        <w:rPr>
          <w:rFonts w:ascii="Arial" w:cs="Arial" w:eastAsia="Arial" w:hAnsi="Arial"/>
          <w:sz w:val="18"/>
          <w:szCs w:val="18"/>
          <w:color w:val="auto"/>
        </w:rPr>
      </w:pPr>
    </w:p>
    <w:p>
      <w:pPr>
        <w:ind w:left="660" w:right="700" w:hanging="328"/>
        <w:spacing w:after="0" w:line="217" w:lineRule="auto"/>
        <w:tabs>
          <w:tab w:leader="none" w:pos="649" w:val="left"/>
        </w:tabs>
        <w:numPr>
          <w:ilvl w:val="0"/>
          <w:numId w:val="42"/>
        </w:numPr>
        <w:rPr>
          <w:rFonts w:ascii="Arial" w:cs="Arial" w:eastAsia="Arial" w:hAnsi="Arial"/>
          <w:sz w:val="20"/>
          <w:szCs w:val="20"/>
          <w:color w:val="auto"/>
        </w:rPr>
      </w:pPr>
      <w:r>
        <w:rPr>
          <w:rFonts w:ascii="Arial" w:cs="Arial" w:eastAsia="Arial" w:hAnsi="Arial"/>
          <w:sz w:val="22"/>
          <w:szCs w:val="22"/>
          <w:color w:val="auto"/>
        </w:rPr>
        <w:t>Registration Statement (Form S-8 Nos. 333-210283, 333-216534, 333-223499, 333-230104, 333-246310 and 333-262896) pertaining to the 2015 Equity Incentive Plan and 2015 Employee Stock Purchase Plan of Salarius Pharmaceuticals, Inc. (formerly known as Flex Pharma, Inc.);</w:t>
      </w:r>
    </w:p>
    <w:p>
      <w:pPr>
        <w:spacing w:after="0" w:line="2" w:lineRule="exact"/>
        <w:rPr>
          <w:rFonts w:ascii="Arial" w:cs="Arial" w:eastAsia="Arial" w:hAnsi="Arial"/>
          <w:sz w:val="20"/>
          <w:szCs w:val="20"/>
          <w:color w:val="auto"/>
        </w:rPr>
      </w:pPr>
    </w:p>
    <w:p>
      <w:pPr>
        <w:ind w:left="660" w:right="20" w:hanging="328"/>
        <w:spacing w:after="0" w:line="217" w:lineRule="auto"/>
        <w:tabs>
          <w:tab w:leader="none" w:pos="652" w:val="left"/>
        </w:tabs>
        <w:numPr>
          <w:ilvl w:val="0"/>
          <w:numId w:val="42"/>
        </w:numPr>
        <w:rPr>
          <w:rFonts w:ascii="Arial" w:cs="Arial" w:eastAsia="Arial" w:hAnsi="Arial"/>
          <w:sz w:val="20"/>
          <w:szCs w:val="20"/>
          <w:color w:val="auto"/>
        </w:rPr>
      </w:pPr>
      <w:r>
        <w:rPr>
          <w:rFonts w:ascii="Arial" w:cs="Arial" w:eastAsia="Arial" w:hAnsi="Arial"/>
          <w:sz w:val="22"/>
          <w:szCs w:val="22"/>
          <w:color w:val="auto"/>
        </w:rPr>
        <w:t>Registration Statement (Form S-3 No. 333-231010 and 333-252169) of Salarius Pharmaceuticals, Inc. (formerly known as Flex Pharma, Inc.);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42"/>
        </w:numPr>
        <w:rPr>
          <w:rFonts w:ascii="Arial" w:cs="Arial" w:eastAsia="Arial" w:hAnsi="Arial"/>
          <w:sz w:val="20"/>
          <w:szCs w:val="20"/>
          <w:color w:val="auto"/>
        </w:rPr>
      </w:pPr>
      <w:r>
        <w:rPr>
          <w:rFonts w:ascii="Arial" w:cs="Arial" w:eastAsia="Arial" w:hAnsi="Arial"/>
          <w:sz w:val="22"/>
          <w:szCs w:val="22"/>
          <w:color w:val="auto"/>
        </w:rPr>
        <w:t>Registration Statement (Form S-1 No. 333-235879) of Salarius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of our report dated March 25, 2022, with respect to the consolidated financial statements of Salarius Pharmaceuticals, Inc.</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included in this Annual Report (Form 10-K) of Salarius Pharmaceuticals, Inc. for the year ended December 31, 2021.</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rPr>
          <w:sz w:val="20"/>
          <w:szCs w:val="20"/>
          <w:color w:val="auto"/>
        </w:rPr>
      </w:pPr>
      <w:r>
        <w:rPr>
          <w:rFonts w:ascii="Arial" w:cs="Arial" w:eastAsia="Arial" w:hAnsi="Arial"/>
          <w:sz w:val="22"/>
          <w:szCs w:val="22"/>
          <w:color w:val="auto"/>
        </w:rPr>
        <w:t>March 25, 2022</w:t>
      </w:r>
    </w:p>
    <w:p>
      <w:pPr>
        <w:sectPr>
          <w:pgSz w:w="11900" w:h="16838" w:orient="portrait"/>
          <w:cols w:equalWidth="0" w:num="1">
            <w:col w:w="11240"/>
          </w:cols>
          <w:pgMar w:left="320" w:top="142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certify that:</w:t>
      </w:r>
    </w:p>
    <w:p>
      <w:pPr>
        <w:spacing w:after="0" w:line="21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Salarius Pharmaceuticals, Inc. for the year ended December 31, 2021;</w:t>
      </w:r>
    </w:p>
    <w:p>
      <w:pPr>
        <w:spacing w:after="0" w:line="103" w:lineRule="exact"/>
        <w:rPr>
          <w:rFonts w:ascii="Arial" w:cs="Arial" w:eastAsia="Arial" w:hAnsi="Arial"/>
          <w:sz w:val="18"/>
          <w:szCs w:val="18"/>
          <w:color w:val="auto"/>
        </w:rPr>
      </w:pPr>
    </w:p>
    <w:p>
      <w:pPr>
        <w:jc w:val="both"/>
        <w:ind w:left="660" w:right="140" w:hanging="328"/>
        <w:spacing w:after="0" w:line="24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20" w:hanging="328"/>
        <w:spacing w:after="0" w:line="291"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4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60" w:hanging="320"/>
        <w:spacing w:after="0" w:line="248"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220" w:hanging="320"/>
        <w:spacing w:after="0" w:line="324"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240" w:hanging="320"/>
        <w:spacing w:after="0" w:line="248"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40" w:hanging="328"/>
        <w:spacing w:after="0" w:line="324"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rFonts w:ascii="Arial" w:cs="Arial" w:eastAsia="Arial" w:hAnsi="Arial"/>
          <w:sz w:val="16"/>
          <w:szCs w:val="16"/>
          <w:color w:val="auto"/>
        </w:rPr>
      </w:pPr>
    </w:p>
    <w:p>
      <w:pPr>
        <w:ind w:left="1300" w:right="660" w:hanging="320"/>
        <w:spacing w:after="0" w:line="324"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200" w:hanging="320"/>
        <w:spacing w:after="0" w:line="261"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540"/>
        <w:spacing w:after="0"/>
        <w:tabs>
          <w:tab w:leader="none" w:pos="6100" w:val="left"/>
          <w:tab w:leader="none" w:pos="6600" w:val="left"/>
        </w:tabs>
        <w:rPr>
          <w:sz w:val="20"/>
          <w:szCs w:val="20"/>
          <w:color w:val="auto"/>
        </w:rPr>
      </w:pPr>
      <w:r>
        <w:rPr>
          <w:rFonts w:ascii="Arial" w:cs="Arial" w:eastAsia="Arial" w:hAnsi="Arial"/>
          <w:sz w:val="18"/>
          <w:szCs w:val="18"/>
          <w:color w:val="auto"/>
        </w:rPr>
        <w:t>Dated: March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23495</wp:posOffset>
            </wp:positionV>
            <wp:extent cx="26142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David J. Arthur</w:t>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Executive Officer</w:t>
      </w:r>
    </w:p>
    <w:p>
      <w:pPr>
        <w:ind w:left="7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Rosenblum,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Salarius Pharmaceuticals, Inc.;</w:t>
      </w:r>
    </w:p>
    <w:p>
      <w:pPr>
        <w:spacing w:after="0" w:line="117"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000"/>
        <w:spacing w:after="0"/>
        <w:tabs>
          <w:tab w:leader="none" w:pos="5520" w:val="left"/>
          <w:tab w:leader="none" w:pos="6040" w:val="left"/>
        </w:tabs>
        <w:rPr>
          <w:sz w:val="20"/>
          <w:szCs w:val="20"/>
          <w:color w:val="auto"/>
        </w:rPr>
      </w:pPr>
      <w:r>
        <w:rPr>
          <w:rFonts w:ascii="Arial" w:cs="Arial" w:eastAsia="Arial" w:hAnsi="Arial"/>
          <w:sz w:val="18"/>
          <w:szCs w:val="18"/>
          <w:color w:val="auto"/>
        </w:rPr>
        <w:t>Dated: March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2143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Rosenblum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2021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ind w:left="680"/>
        <w:spacing w:after="0"/>
        <w:tabs>
          <w:tab w:leader="none" w:pos="6380" w:val="left"/>
          <w:tab w:leader="none" w:pos="7380" w:val="left"/>
        </w:tabs>
        <w:rPr>
          <w:sz w:val="20"/>
          <w:szCs w:val="20"/>
          <w:color w:val="auto"/>
        </w:rPr>
      </w:pPr>
      <w:r>
        <w:rPr>
          <w:rFonts w:ascii="Arial" w:cs="Arial" w:eastAsia="Arial" w:hAnsi="Arial"/>
          <w:sz w:val="22"/>
          <w:szCs w:val="22"/>
          <w:color w:val="auto"/>
        </w:rPr>
        <w:t>Dated: March 25, 2022</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15875</wp:posOffset>
            </wp:positionV>
            <wp:extent cx="2717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717800" cy="8890"/>
                    </a:xfrm>
                    <a:prstGeom prst="rect">
                      <a:avLst/>
                    </a:prstGeom>
                    <a:noFill/>
                  </pic:spPr>
                </pic:pic>
              </a:graphicData>
            </a:graphic>
          </wp:anchor>
        </w:drawing>
      </w:r>
    </w:p>
    <w:p>
      <w:pPr>
        <w:spacing w:after="0" w:line="11"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Name: David J. Arthur</w:t>
      </w:r>
    </w:p>
    <w:p>
      <w:pPr>
        <w:spacing w:after="0" w:line="44"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Title: Chief Executive Officer</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22"/>
          <w:szCs w:val="22"/>
          <w:color w:val="auto"/>
        </w:rPr>
        <w:t>(Principal Executive Officer)</w:t>
      </w:r>
    </w:p>
    <w:p>
      <w:pPr>
        <w:sectPr>
          <w:pgSz w:w="11900" w:h="16838" w:orient="portrait"/>
          <w:cols w:equalWidth="0" w:num="1">
            <w:col w:w="11240"/>
          </w:cols>
          <w:pgMar w:left="320" w:top="36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2021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ind w:left="680"/>
        <w:spacing w:after="0"/>
        <w:tabs>
          <w:tab w:leader="none" w:pos="6400" w:val="left"/>
          <w:tab w:leader="none" w:pos="7400" w:val="left"/>
        </w:tabs>
        <w:rPr>
          <w:sz w:val="20"/>
          <w:szCs w:val="20"/>
          <w:color w:val="auto"/>
        </w:rPr>
      </w:pPr>
      <w:r>
        <w:rPr>
          <w:rFonts w:ascii="Arial" w:cs="Arial" w:eastAsia="Arial" w:hAnsi="Arial"/>
          <w:sz w:val="22"/>
          <w:szCs w:val="22"/>
          <w:color w:val="auto"/>
        </w:rPr>
        <w:t>Dated: March 25, 2022</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15875</wp:posOffset>
            </wp:positionV>
            <wp:extent cx="27089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8"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Name: Mark Rosenblum</w:t>
      </w:r>
    </w:p>
    <w:p>
      <w:pPr>
        <w:spacing w:after="0" w:line="58"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Title: Chief Financial Officer</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22"/>
          <w:szCs w:val="22"/>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7"/>
    </w:lvl>
  </w:abstractNum>
  <w:abstractNum w:abstractNumId="38">
    <w:nsid w:val="6A2342EC"/>
    <w:multiLevelType w:val="hybridMultilevel"/>
    <w:lvl w:ilvl="0">
      <w:lvlJc w:val="left"/>
      <w:lvlText w:val="%1."/>
      <w:numFmt w:val="decimal"/>
      <w:start w:val="8"/>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90" Type="http://schemas.openxmlformats.org/officeDocument/2006/relationships/hyperlink" Target="http://www.sec.gov/Archives/edgar/data/1615219/000110465915007801/a15-4061_1ex3d1.htm" TargetMode="External"/><Relationship Id="rId91" Type="http://schemas.openxmlformats.org/officeDocument/2006/relationships/hyperlink" Target="https://www.sec.gov/Archives/edgar/data/1615219/000110465915007801/a15-4061_1ex3d1.htm" TargetMode="External"/><Relationship Id="rId92" Type="http://schemas.openxmlformats.org/officeDocument/2006/relationships/hyperlink" Target="https://www.sec.gov/Archives/edgar/data/1615219/000119312519199074/d754556dex31.htm" TargetMode="External"/><Relationship Id="rId93" Type="http://schemas.openxmlformats.org/officeDocument/2006/relationships/hyperlink" Target="http://www.sec.gov/Archives/edgar/data/1615219/000119312519199074/d754556dex31.htm" TargetMode="External"/><Relationship Id="rId94" Type="http://schemas.openxmlformats.org/officeDocument/2006/relationships/hyperlink" Target="https://www.sec.gov/Archives/edgar/data/1615219/000119312519199074/d754556dex32.htm" TargetMode="External"/><Relationship Id="rId95" Type="http://schemas.openxmlformats.org/officeDocument/2006/relationships/hyperlink" Target="http://www.sec.gov/Archives/edgar/data/1615219/000104746915000197/a2222689zex-4_1.htm" TargetMode="External"/><Relationship Id="rId96" Type="http://schemas.openxmlformats.org/officeDocument/2006/relationships/hyperlink" Target="http://www.sec.gov/Archives/edgar/data/1615219/000119312520025727/d857822dex48.htm" TargetMode="External"/><Relationship Id="rId97" Type="http://schemas.openxmlformats.org/officeDocument/2006/relationships/hyperlink" Target="http://www.sec.gov/Archives/edgar/data/1615219/000119312520033412/d863520dex41.htm" TargetMode="External"/><Relationship Id="rId98" Type="http://schemas.openxmlformats.org/officeDocument/2006/relationships/hyperlink" Target="http://www.sec.gov/Archives/edgar/data/1615219/000161521920000129/slrxaformofinducementw.htm" TargetMode="External"/><Relationship Id="rId99" Type="http://schemas.openxmlformats.org/officeDocument/2006/relationships/hyperlink" Target="https://www.sec.gov/Archives/edgar/data/1615219/000161521921000070/salarius-formofwarranttopu.htm" TargetMode="External"/><Relationship Id="rId100" Type="http://schemas.openxmlformats.org/officeDocument/2006/relationships/hyperlink" Target="https://www.sec.gov/Archives/edgar/data/1615219/000161521921000026/slrx12312019descriptionofr.htm" TargetMode="External"/><Relationship Id="rId101" Type="http://schemas.openxmlformats.org/officeDocument/2006/relationships/hyperlink" Target="http://www.sec.gov/Archives/edgar/data/1615219/000119312519199074/d754556dex101.htm" TargetMode="External"/><Relationship Id="rId102" Type="http://schemas.openxmlformats.org/officeDocument/2006/relationships/hyperlink" Target="http://www.sec.gov/Archives/edgar/data/1615219/000119312519038620/d675806dex101.htm" TargetMode="External"/><Relationship Id="rId103" Type="http://schemas.openxmlformats.org/officeDocument/2006/relationships/hyperlink" Target="http://www.sec.gov/Archives/edgar/data/1615219/000119312519038620/d675806dex103.htm" TargetMode="External"/><Relationship Id="rId104" Type="http://schemas.openxmlformats.org/officeDocument/2006/relationships/hyperlink" Target="http://www.sec.gov/Archives/edgar/data/1615219/000119312519038620/d675806dex105.htm" TargetMode="External"/><Relationship Id="rId106" Type="http://schemas.openxmlformats.org/officeDocument/2006/relationships/hyperlink" Target="http://www.sec.gov/Archives/edgar/data/1615219/000161521919000043/exhibit105salariusdavidj.htm" TargetMode="External"/><Relationship Id="rId107" Type="http://schemas.openxmlformats.org/officeDocument/2006/relationships/hyperlink" Target="https://www.sec.gov/Archives/edgar/data/1615219/000161521920000050/mrosenblum-executiveem.htm" TargetMode="External"/><Relationship Id="rId108" Type="http://schemas.openxmlformats.org/officeDocument/2006/relationships/hyperlink" Target="https://www.sec.gov/Archives/edgar/data/1615219/000161521920000072/salarius-2015equityinc.htm" TargetMode="External"/><Relationship Id="rId109" Type="http://schemas.openxmlformats.org/officeDocument/2006/relationships/hyperlink" Target="https://www.sec.gov/Archives/edgar/data/1615219/000161521915000004/flks20141231ex-104.htm" TargetMode="External"/><Relationship Id="rId110" Type="http://schemas.openxmlformats.org/officeDocument/2006/relationships/hyperlink" Target="https://www.sec.gov/Archives/edgar/data/1615219/000161521920000072/salarius-2015employees.htm" TargetMode="External"/><Relationship Id="rId111" Type="http://schemas.openxmlformats.org/officeDocument/2006/relationships/hyperlink" Target="https://www.sec.gov/Archives/edgar/data/1615219/000161521921000013/salarius-ex11conformedsale.htm" TargetMode="External"/><Relationship Id="rId112" Type="http://schemas.openxmlformats.org/officeDocument/2006/relationships/hyperlink" Target="https://www.sec.gov/Archives/edgar/data/1615219/000119312520005401/d85782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2022-03-25T16:07:41Z</dcterms:created>
  <dcterms:modified xsi:type="dcterms:W3CDTF">2022-03-25T16:07:41Z</dcterms:modified>
</cp:coreProperties>
</file>