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354965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3860" w:right="1060" w:hanging="3744"/>
        <w:spacing w:after="0" w:line="273" w:lineRule="auto"/>
        <w:tabs>
          <w:tab w:leader="none" w:pos="1414"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jc w:val="center"/>
        <w:ind w:left="4360" w:right="1060" w:hanging="4244"/>
        <w:spacing w:after="0" w:line="306"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2600" w:type="dxa"/>
        <w:tblCellMar>
          <w:top w:w="0" w:type="dxa"/>
          <w:left w:w="0" w:type="dxa"/>
          <w:bottom w:w="0" w:type="dxa"/>
          <w:right w:w="0" w:type="dxa"/>
        </w:tblCellMar>
      </w:tblPr>
      <w:tr>
        <w:trPr>
          <w:trHeight w:val="196"/>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1"/>
        </w:trPr>
        <w:tc>
          <w:tcPr>
            <w:tcW w:w="3120" w:type="dxa"/>
            <w:vAlign w:val="bottom"/>
          </w:tcPr>
          <w:p>
            <w:pPr>
              <w:jc w:val="center"/>
              <w:ind w:right="1168"/>
              <w:spacing w:after="0" w:line="151"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51" w:lineRule="exact"/>
              <w:rPr>
                <w:sz w:val="20"/>
                <w:szCs w:val="20"/>
                <w:color w:val="auto"/>
              </w:rPr>
            </w:pPr>
            <w:r>
              <w:rPr>
                <w:rFonts w:ascii="Arial" w:cs="Arial" w:eastAsia="Arial" w:hAnsi="Arial"/>
                <w:sz w:val="14"/>
                <w:szCs w:val="14"/>
                <w:color w:val="auto"/>
              </w:rPr>
              <w:t>(I.R.S. Employer</w:t>
            </w:r>
          </w:p>
        </w:tc>
      </w:t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(713)913-5608</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59"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-48895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10"/>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9" w:lineRule="exact"/>
        <w:rPr>
          <w:sz w:val="24"/>
          <w:szCs w:val="24"/>
          <w:color w:val="auto"/>
        </w:rPr>
      </w:pPr>
    </w:p>
    <w:p>
      <w:pPr>
        <w:spacing w:after="0" w:line="161" w:lineRule="exact"/>
        <w:tabs>
          <w:tab w:leader="none" w:pos="10860" w:val="left"/>
        </w:tabs>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pacing w:after="0" w:line="29" w:lineRule="exact"/>
        <w:rPr>
          <w:sz w:val="24"/>
          <w:szCs w:val="24"/>
          <w:color w:val="auto"/>
        </w:rPr>
      </w:pPr>
    </w:p>
    <w:p>
      <w:pPr>
        <w:spacing w:after="0" w:line="161" w:lineRule="exact"/>
        <w:tabs>
          <w:tab w:leader="none" w:pos="9400" w:val="left"/>
        </w:tabs>
        <w:rPr>
          <w:sz w:val="20"/>
          <w:szCs w:val="20"/>
          <w:color w:val="auto"/>
        </w:rPr>
      </w:pP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99" w:lineRule="exact"/>
        <w:rPr>
          <w:sz w:val="24"/>
          <w:szCs w:val="24"/>
          <w:color w:val="auto"/>
        </w:rPr>
      </w:pPr>
    </w:p>
    <w:p>
      <w:pPr>
        <w:ind w:right="28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line="184" w:lineRule="exact"/>
        <w:tabs>
          <w:tab w:leader="none" w:pos="7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As of May 9, 2025, there were 2,127,286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5"/>
              </w:rPr>
              <w:t>PART I.</w:t>
            </w:r>
          </w:p>
        </w:tc>
        <w:tc>
          <w:tcPr>
            <w:tcW w:w="740" w:type="dxa"/>
            <w:vAlign w:val="bottom"/>
            <w:gridSpan w:val="4"/>
          </w:tcPr>
          <w:p>
            <w:pPr>
              <w:spacing w:after="0"/>
              <w:rPr>
                <w:sz w:val="24"/>
                <w:szCs w:val="24"/>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Financial Information</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12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Financial Statements (Unaudited)</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Arial" w:cs="Arial" w:eastAsia="Arial" w:hAnsi="Arial"/>
                <w:sz w:val="18"/>
                <w:szCs w:val="18"/>
                <w:color w:val="0000FF"/>
                <w:w w:val="99"/>
              </w:rPr>
              <w:t>Condensed Consolidated Balance Sheets</w:t>
            </w:r>
          </w:p>
        </w:tc>
        <w:tc>
          <w:tcPr>
            <w:tcW w:w="5380" w:type="dxa"/>
            <w:vAlign w:val="bottom"/>
            <w:gridSpan w:val="6"/>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460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7"/>
              </w:rPr>
              <w:t>Condensed Consolidated Statements of Cash Flows</w:t>
            </w:r>
          </w:p>
        </w:tc>
        <w:tc>
          <w:tcPr>
            <w:tcW w:w="460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80" w:type="dxa"/>
            <w:vAlign w:val="bottom"/>
            <w:gridSpan w:val="2"/>
          </w:tcPr>
          <w:p>
            <w:pPr>
              <w:spacing w:after="0"/>
              <w:rPr>
                <w:sz w:val="18"/>
                <w:szCs w:val="18"/>
                <w:color w:val="auto"/>
              </w:rPr>
            </w:pP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2.</w:t>
            </w:r>
          </w:p>
        </w:tc>
        <w:tc>
          <w:tcPr>
            <w:tcW w:w="86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3.</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Quantitative and Qualitative Disclosures about Market Risk</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4.</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Controls and Procedures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16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Legal Proceedings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1A.</w:t>
            </w:r>
          </w:p>
        </w:tc>
        <w:tc>
          <w:tcPr>
            <w:tcW w:w="680" w:type="dxa"/>
            <w:vAlign w:val="bottom"/>
            <w:gridSpan w:val="2"/>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Risk Factors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680" w:type="dxa"/>
            <w:vAlign w:val="bottom"/>
            <w:gridSpan w:val="2"/>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Unregistered Sales of Equity Securities and Use of Proceeds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3</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Defaults Upon Senior Securities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Mine Safety Disclosures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Other Information</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6.</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Exhibits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spacing w:after="0" w:line="20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ability to continue as a going concern and support our operations into the later part of the second quarter of 2025;</w:t>
      </w:r>
    </w:p>
    <w:p>
      <w:pPr>
        <w:spacing w:after="0" w:line="19"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expectations regarding the timing, likelihood, expected benefits of, and potential value created by, the proposed merger (the “Merger”) between us and Decoy Therapeutics Inc. (“Decoy”);</w:t>
      </w:r>
    </w:p>
    <w:p>
      <w:pPr>
        <w:spacing w:after="0" w:line="20" w:lineRule="exact"/>
        <w:rPr>
          <w:rFonts w:ascii="Arial" w:cs="Arial" w:eastAsia="Arial" w:hAnsi="Arial"/>
          <w:sz w:val="22"/>
          <w:szCs w:val="22"/>
          <w:color w:val="auto"/>
        </w:rPr>
      </w:pPr>
    </w:p>
    <w:p>
      <w:pPr>
        <w:jc w:val="both"/>
        <w:ind w:left="660" w:hanging="328"/>
        <w:spacing w:after="0"/>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expectations regarding the satisfaction of certain conditions to the completion of the Merger, including the conditions related to consummation of financing transactions with aggregate minimum proceeds of at least $6.0 million (the “Qualified Financing”), whether and when the Merger will be consummated and that our common stock remains listed on Nasdaq;</w:t>
      </w:r>
    </w:p>
    <w:p>
      <w:pPr>
        <w:spacing w:after="0" w:line="21" w:lineRule="exact"/>
        <w:rPr>
          <w:rFonts w:ascii="Times New Roman" w:cs="Times New Roman" w:eastAsia="Times New Roman" w:hAnsi="Times New Roman"/>
          <w:sz w:val="22"/>
          <w:szCs w:val="22"/>
          <w:color w:val="auto"/>
        </w:rPr>
      </w:pPr>
    </w:p>
    <w:p>
      <w:pPr>
        <w:ind w:left="660" w:hanging="328"/>
        <w:spacing w:after="0" w:line="243"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potential effects of the Merger on the ownership percentages of Decoy’s stockholders and Salarius’ stockholders in the combined company;</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expectations regarding our clinical trials and any investigator-initiated clinical trials;</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expectations as to revenue, cash flow, and expenses;</w:t>
      </w:r>
    </w:p>
    <w:p>
      <w:pPr>
        <w:spacing w:after="0" w:line="8"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liquidity position, the expected sufficiency of such position for anticipated operating and capital requirements; and</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our ability to regain compliance and remain listed on Nasdaq.</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Forward-looking statements also include statements other than statements of current or historical fact, including, without limitation, all statements related to any expectations of revenues, expenses, cash flows, earnings or losses from operations, cash required to maintain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“will,” “estimate,” “continue,” “anticipate,” “intend,” “expect,” “indicate,” “seek,” “should,” “would,” “target”, “potential,” “evaluate,” “proceeding.”</w:t>
      </w:r>
    </w:p>
    <w:p>
      <w:pPr>
        <w:spacing w:after="0" w:line="22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are some of the factors that could cause actual results to differ materially from the anticipated results or other expectations expressed, anticipated or implied in our forward-looking statements:</w:t>
      </w:r>
    </w:p>
    <w:p>
      <w:pPr>
        <w:spacing w:after="0" w:line="196" w:lineRule="exact"/>
        <w:rPr>
          <w:sz w:val="20"/>
          <w:szCs w:val="20"/>
          <w:color w:val="auto"/>
        </w:rPr>
      </w:pPr>
    </w:p>
    <w:p>
      <w:pPr>
        <w:ind w:left="660" w:hanging="328"/>
        <w:spacing w:after="0" w:line="23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risk that if we do not regain compliance with the Nasdaq continued listing standards and successfully complete the Merger or obtain additional financing in the near term, the company will need to pursue a dissolution and liquidation of our company;</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we are delisted from Nasdaq;</w:t>
      </w:r>
    </w:p>
    <w:p>
      <w:pPr>
        <w:spacing w:after="0" w:line="33"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our stockholders may not realize a benefit from the Merger commensurate with the ownership dilution they will experience in connection with the Merger and the Qualified Financing;</w:t>
      </w:r>
    </w:p>
    <w:p>
      <w:pPr>
        <w:spacing w:after="0" w:line="20"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Merger consideration may have greater or lesser value at the closing of the Merger than at the time the merger agreement was signed;</w:t>
      </w:r>
    </w:p>
    <w:p>
      <w:pPr>
        <w:spacing w:after="0" w:line="20"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failure to complete the Merger may result in Salarius paying a termination fee or expenses to Decoy and could harm the financial condition and operations of Salarius;</w:t>
      </w:r>
    </w:p>
    <w:p>
      <w:pPr>
        <w:spacing w:after="0" w:line="20"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if the conditions to the Merger are not met, including failure to consummate a Qualified Financing, or failure to comply with the continued listing standards of Nasdaq, the Merger may not occur;</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timing of the consummation of the Merger is uncertain as is the ability of each of Salarius and Decoy to consummate the Merger;</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Merger may be completed even though material adverse changes may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hanging="328"/>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Salarius may not be able to correctly estimate its operating expenses and its expenses associated with the Merger and may have a significantly lower cash balance on the closing date of the Merger than currently estimated;</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Salarius may not be able to maintain its Nasdaq listing following the Merger Closing;</w:t>
      </w:r>
    </w:p>
    <w:p>
      <w:pPr>
        <w:spacing w:after="0" w:line="19"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as a result of any adjustments in the exchange ratio and Qualified Financing, Salarius’ stockholders may own less of the combined company than is currently anticipated;</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market price of Salarius’ common stock may decline following the Merger;</w:t>
      </w:r>
    </w:p>
    <w:p>
      <w:pPr>
        <w:spacing w:after="0" w:line="19"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restrictions in the Merger Agreement may prevent Salarius from entering into a business combination with another party at a favorable price;</w:t>
      </w:r>
    </w:p>
    <w:p>
      <w:pPr>
        <w:spacing w:after="0" w:line="20"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20" w:lineRule="exact"/>
        <w:rPr>
          <w:rFonts w:ascii="Times New Roman" w:cs="Times New Roman" w:eastAsia="Times New Roman" w:hAnsi="Times New Roman"/>
          <w:sz w:val="22"/>
          <w:szCs w:val="22"/>
          <w:color w:val="auto"/>
        </w:rPr>
      </w:pPr>
    </w:p>
    <w:p>
      <w:pPr>
        <w:ind w:left="660" w:hanging="328"/>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the Merger, even if it is consummated, may not enhance stockholder value and may create a distraction or uncertainty that may adversely affect our operating results, business or investor perceptions;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combined company may not be able to raise additional funds when necessary, and/or on acceptable terms;</w:t>
      </w:r>
    </w:p>
    <w:p>
      <w:pPr>
        <w:spacing w:after="0" w:line="19"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potential adverse impacts regarding our continued implementation of cost-savings measures designed to extend our expected cash runway;</w:t>
      </w:r>
    </w:p>
    <w:p>
      <w:pPr>
        <w:spacing w:after="0" w:line="20"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the Company’s cost saving initiatives and exploration of strategic alternatives are not successful and do not increase stockholder value;</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unanticipated difficulties with preserving capital;</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unanticipated charges not currently contemplated that may occur as a result of the Company’s cost savings plan;</w:t>
      </w:r>
    </w:p>
    <w:p>
      <w:pPr>
        <w:spacing w:after="0" w:line="33"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uncertainties about the paths of our programs and our ability to evaluate and identify a path forward for those programs, particularly given the constraints we have as a small company with limited financial, personnel and other operating resources;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adequacy of our capital to support our future operations;</w:t>
      </w:r>
    </w:p>
    <w:p>
      <w:pPr>
        <w:spacing w:after="0" w:line="7"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fluctuations in our operating results; and</w:t>
      </w: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described in our filings with the SEC.</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2024,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2025</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1,798,380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2,434,528</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506,706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553,034</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2,305,086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2,987,562</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35,412</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2,339,392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3,022,974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1,470,671</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936,994</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694,625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352,419</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Notes payable</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112,230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221,866</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2,277,526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1,511,279</w:t>
            </w:r>
          </w:p>
        </w:tc>
        <w:tc>
          <w:tcPr>
            <w:tcW w:w="0" w:type="dxa"/>
            <w:vAlign w:val="bottom"/>
          </w:tcPr>
          <w:p>
            <w:pPr>
              <w:spacing w:after="0"/>
              <w:rPr>
                <w:sz w:val="1"/>
                <w:szCs w:val="1"/>
                <w:color w:val="auto"/>
              </w:rPr>
            </w:pPr>
          </w:p>
        </w:tc>
      </w:tr>
      <w:tr>
        <w:trPr>
          <w:trHeight w:val="196"/>
        </w:trPr>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4)</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18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$0.0001 par value; 100,000,000 shares authorized; 2,081,839 and</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1,441,157 shares issued and outstanding at March 31, 2025 and December 31, 2024,</w:t>
            </w:r>
          </w:p>
        </w:tc>
        <w:tc>
          <w:tcPr>
            <w:tcW w:w="18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83,694,809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83,435,169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(83,633,151)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(81,923,618)</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1,511,695</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2,339,392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3,022,974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4"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600" w:right="640"/>
        <w:spacing w:after="0" w:line="284" w:lineRule="auto"/>
        <w:rPr>
          <w:sz w:val="20"/>
          <w:szCs w:val="20"/>
          <w:color w:val="auto"/>
        </w:rPr>
      </w:pPr>
      <w:r>
        <w:rPr>
          <w:rFonts w:ascii="Arial" w:cs="Arial" w:eastAsia="Arial" w:hAnsi="Arial"/>
          <w:sz w:val="18"/>
          <w:szCs w:val="18"/>
          <w:b w:val="1"/>
          <w:bCs w:val="1"/>
          <w:color w:val="auto"/>
        </w:rPr>
        <w:t>SALARIUS PHARMACEUTICALS, INC. CONDENSED CONSOLIDATED STATEMENTS OF OPERATIONS (Unaudited)</w:t>
      </w:r>
    </w:p>
    <w:p>
      <w:pPr>
        <w:spacing w:after="0" w:line="186" w:lineRule="exact"/>
        <w:rPr>
          <w:sz w:val="20"/>
          <w:szCs w:val="20"/>
          <w:color w:val="auto"/>
        </w:rPr>
      </w:pPr>
    </w:p>
    <w:p>
      <w:pPr>
        <w:jc w:val="center"/>
        <w:ind w:left="2740"/>
        <w:spacing w:after="0"/>
        <w:rPr>
          <w:sz w:val="20"/>
          <w:szCs w:val="20"/>
          <w:color w:val="auto"/>
        </w:rPr>
      </w:pPr>
      <w:r>
        <w:rPr>
          <w:rFonts w:ascii="Arial" w:cs="Arial" w:eastAsia="Arial" w:hAnsi="Arial"/>
          <w:sz w:val="20"/>
          <w:szCs w:val="20"/>
          <w:b w:val="1"/>
          <w:bCs w:val="1"/>
          <w:color w:val="auto"/>
        </w:rPr>
        <w:t>Three Months Ended</w:t>
      </w:r>
    </w:p>
    <w:p>
      <w:pPr>
        <w:jc w:val="center"/>
        <w:ind w:left="2740"/>
        <w:spacing w:after="0"/>
        <w:rPr>
          <w:sz w:val="20"/>
          <w:szCs w:val="20"/>
          <w:color w:val="auto"/>
        </w:rPr>
      </w:pPr>
      <w:r>
        <w:rPr>
          <w:rFonts w:ascii="Arial" w:cs="Arial" w:eastAsia="Arial" w:hAnsi="Arial"/>
          <w:sz w:val="20"/>
          <w:szCs w:val="20"/>
          <w:b w:val="1"/>
          <w:bCs w:val="1"/>
          <w:color w:val="auto"/>
        </w:rPr>
        <w:t>March 31,</w:t>
      </w:r>
    </w:p>
    <w:p>
      <w:pPr>
        <w:spacing w:after="0" w:line="23" w:lineRule="exact"/>
        <w:rPr>
          <w:sz w:val="20"/>
          <w:szCs w:val="20"/>
          <w:color w:val="auto"/>
        </w:rPr>
      </w:pPr>
    </w:p>
    <w:tbl>
      <w:tblPr>
        <w:tblLayout w:type="fixed"/>
        <w:tblInd w:w="2300" w:type="dxa"/>
        <w:tblCellMar>
          <w:top w:w="0" w:type="dxa"/>
          <w:left w:w="0" w:type="dxa"/>
          <w:bottom w:w="0" w:type="dxa"/>
          <w:right w:w="0" w:type="dxa"/>
        </w:tblCellMar>
      </w:tblPr>
      <w:tr>
        <w:trPr>
          <w:trHeight w:val="210"/>
        </w:trPr>
        <w:tc>
          <w:tcPr>
            <w:tcW w:w="2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80" w:type="dxa"/>
            <w:vAlign w:val="bottom"/>
            <w:shd w:val="clear" w:color="auto" w:fill="CCEEFF"/>
          </w:tcPr>
          <w:p>
            <w:pPr>
              <w:spacing w:after="0"/>
              <w:rPr>
                <w:sz w:val="18"/>
                <w:szCs w:val="18"/>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243,002</w:t>
            </w:r>
          </w:p>
        </w:tc>
        <w:tc>
          <w:tcPr>
            <w:tcW w:w="180" w:type="dxa"/>
            <w:vAlign w:val="bottom"/>
            <w:shd w:val="clear" w:color="auto" w:fill="CCEEFF"/>
          </w:tcPr>
          <w:p>
            <w:pPr>
              <w:spacing w:after="0"/>
              <w:rPr>
                <w:sz w:val="19"/>
                <w:szCs w:val="19"/>
                <w:color w:val="auto"/>
              </w:rPr>
            </w:pPr>
          </w:p>
        </w:tc>
      </w:tr>
      <w:tr>
        <w:trPr>
          <w:trHeight w:val="229"/>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1,643,163</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1,528,613</w:t>
            </w:r>
          </w:p>
        </w:tc>
        <w:tc>
          <w:tcPr>
            <w:tcW w:w="180" w:type="dxa"/>
            <w:vAlign w:val="bottom"/>
            <w:tcBorders>
              <w:bottom w:val="single" w:sz="8" w:color="CCEEFF"/>
            </w:tcBorders>
          </w:tcPr>
          <w:p>
            <w:pPr>
              <w:spacing w:after="0"/>
              <w:rPr>
                <w:sz w:val="19"/>
                <w:szCs w:val="19"/>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1,718,695</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1,771,615</w:t>
            </w:r>
          </w:p>
        </w:tc>
        <w:tc>
          <w:tcPr>
            <w:tcW w:w="180" w:type="dxa"/>
            <w:vAlign w:val="bottom"/>
            <w:shd w:val="clear" w:color="auto" w:fill="CCEEFF"/>
          </w:tcPr>
          <w:p>
            <w:pPr>
              <w:spacing w:after="0"/>
              <w:rPr>
                <w:sz w:val="19"/>
                <w:szCs w:val="19"/>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(1,718,695)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(1,771,615)</w:t>
            </w:r>
          </w:p>
        </w:tc>
        <w:tc>
          <w:tcPr>
            <w:tcW w:w="180" w:type="dxa"/>
            <w:vAlign w:val="bottom"/>
          </w:tcPr>
          <w:p>
            <w:pPr>
              <w:spacing w:after="0"/>
              <w:rPr>
                <w:sz w:val="19"/>
                <w:szCs w:val="19"/>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56,325</w:t>
            </w:r>
          </w:p>
        </w:tc>
        <w:tc>
          <w:tcPr>
            <w:tcW w:w="180" w:type="dxa"/>
            <w:vAlign w:val="bottom"/>
            <w:shd w:val="clear" w:color="auto" w:fill="CCEEFF"/>
          </w:tcPr>
          <w:p>
            <w:pPr>
              <w:spacing w:after="0"/>
              <w:rPr>
                <w:sz w:val="19"/>
                <w:szCs w:val="19"/>
                <w:color w:val="auto"/>
              </w:rPr>
            </w:pPr>
          </w:p>
        </w:tc>
      </w:tr>
      <w:tr>
        <w:trPr>
          <w:trHeight w:val="22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(1,709,533)</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(1,715,290)</w:t>
            </w:r>
          </w:p>
        </w:tc>
        <w:tc>
          <w:tcPr>
            <w:tcW w:w="180" w:type="dxa"/>
            <w:vAlign w:val="bottom"/>
            <w:tcBorders>
              <w:bottom w:val="single" w:sz="8" w:color="CCEEFF"/>
            </w:tcBorders>
          </w:tcPr>
          <w:p>
            <w:pPr>
              <w:spacing w:after="0"/>
              <w:rPr>
                <w:sz w:val="19"/>
                <w:szCs w:val="19"/>
                <w:color w:val="auto"/>
              </w:rPr>
            </w:pP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(1,709,533)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(1,715,290)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74" w:right="1440" w:bottom="1440" w:gutter="0" w:footer="0" w:header="0"/>
        </w:sectPr>
      </w:pPr>
    </w:p>
    <w:p>
      <w:pPr>
        <w:spacing w:after="0" w:line="20"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2860" w:type="dxa"/>
            <w:vAlign w:val="bottom"/>
          </w:tcPr>
          <w:p>
            <w:pPr>
              <w:spacing w:after="0"/>
              <w:rPr>
                <w:sz w:val="20"/>
                <w:szCs w:val="20"/>
                <w:color w:val="auto"/>
              </w:rPr>
            </w:pPr>
            <w:r>
              <w:rPr>
                <w:rFonts w:ascii="Arial" w:cs="Arial" w:eastAsia="Arial" w:hAnsi="Arial"/>
                <w:sz w:val="18"/>
                <w:szCs w:val="18"/>
                <w:b w:val="1"/>
                <w:bCs w:val="1"/>
                <w:color w:val="auto"/>
              </w:rPr>
              <w:t>Loss per common share — basic</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2860" w:type="dxa"/>
            <w:vAlign w:val="bottom"/>
          </w:tcPr>
          <w:p>
            <w:pPr>
              <w:spacing w:after="0"/>
              <w:rPr>
                <w:sz w:val="20"/>
                <w:szCs w:val="20"/>
                <w:color w:val="auto"/>
              </w:rPr>
            </w:pPr>
            <w:r>
              <w:rPr>
                <w:rFonts w:ascii="Arial" w:cs="Arial" w:eastAsia="Arial" w:hAnsi="Arial"/>
                <w:sz w:val="18"/>
                <w:szCs w:val="18"/>
                <w:b w:val="1"/>
                <w:bCs w:val="1"/>
                <w:color w:val="auto"/>
              </w:rPr>
              <w:t>and diluted (1)</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-272415</wp:posOffset>
            </wp:positionV>
            <wp:extent cx="4225925"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25925" cy="265430"/>
                    </a:xfrm>
                    <a:prstGeom prst="rect">
                      <a:avLst/>
                    </a:prstGeom>
                    <a:noFill/>
                  </pic:spPr>
                </pic:pic>
              </a:graphicData>
            </a:graphic>
          </wp:anchor>
        </w:drawing>
      </w:r>
    </w:p>
    <w:p>
      <w:pPr>
        <w:ind w:left="2320"/>
        <w:spacing w:after="0" w:line="219" w:lineRule="auto"/>
        <w:rPr>
          <w:sz w:val="20"/>
          <w:szCs w:val="20"/>
          <w:color w:val="auto"/>
        </w:rPr>
      </w:pPr>
      <w:r>
        <w:rPr>
          <w:rFonts w:ascii="Arial" w:cs="Arial" w:eastAsia="Arial" w:hAnsi="Arial"/>
          <w:sz w:val="18"/>
          <w:szCs w:val="18"/>
          <w:color w:val="auto"/>
        </w:rPr>
        <w:t>Weighted-average number of</w:t>
      </w:r>
    </w:p>
    <w:p>
      <w:pPr>
        <w:ind w:left="2400"/>
        <w:spacing w:after="0" w:line="204" w:lineRule="auto"/>
        <w:rPr>
          <w:sz w:val="20"/>
          <w:szCs w:val="20"/>
          <w:color w:val="auto"/>
        </w:rPr>
      </w:pPr>
      <w:r>
        <w:rPr>
          <w:rFonts w:ascii="Arial" w:cs="Arial" w:eastAsia="Arial" w:hAnsi="Arial"/>
          <w:sz w:val="18"/>
          <w:szCs w:val="18"/>
          <w:color w:val="auto"/>
        </w:rPr>
        <w:t>common shares outstanding —</w:t>
      </w:r>
    </w:p>
    <w:p>
      <w:pPr>
        <w:ind w:left="2400"/>
        <w:spacing w:after="0"/>
        <w:rPr>
          <w:sz w:val="20"/>
          <w:szCs w:val="20"/>
          <w:color w:val="auto"/>
        </w:rPr>
      </w:pPr>
      <w:r>
        <w:rPr>
          <w:rFonts w:ascii="Arial" w:cs="Arial" w:eastAsia="Arial" w:hAnsi="Arial"/>
          <w:sz w:val="18"/>
          <w:szCs w:val="18"/>
          <w:color w:val="auto"/>
        </w:rPr>
        <w:t>basic and diluted (1)</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ind w:right="1399"/>
        <w:spacing w:after="0"/>
        <w:tabs>
          <w:tab w:leader="none" w:pos="1580" w:val="left"/>
          <w:tab w:leader="none" w:pos="440" w:val="left"/>
        </w:tabs>
        <w:rPr>
          <w:sz w:val="20"/>
          <w:szCs w:val="20"/>
          <w:color w:val="auto"/>
        </w:rPr>
      </w:pPr>
      <w:r>
        <w:rPr>
          <w:rFonts w:ascii="Arial" w:cs="Arial" w:eastAsia="Arial" w:hAnsi="Arial"/>
          <w:sz w:val="18"/>
          <w:szCs w:val="18"/>
          <w:b w:val="1"/>
          <w:bCs w:val="1"/>
          <w:color w:val="auto"/>
        </w:rPr>
        <w:t>(1.03)</w:t>
        <w:tab/>
        <w:t>$</w:t>
      </w:r>
      <w:r>
        <w:rPr>
          <w:sz w:val="20"/>
          <w:szCs w:val="20"/>
          <w:color w:val="auto"/>
        </w:rPr>
        <w:tab/>
      </w:r>
      <w:r>
        <w:rPr>
          <w:rFonts w:ascii="Arial" w:cs="Arial" w:eastAsia="Arial" w:hAnsi="Arial"/>
          <w:sz w:val="17"/>
          <w:szCs w:val="17"/>
          <w:b w:val="1"/>
          <w:bCs w:val="1"/>
          <w:color w:val="auto"/>
        </w:rPr>
        <w:t>(3.27)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17780</wp:posOffset>
            </wp:positionV>
            <wp:extent cx="2254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40"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1,663,922</w:t>
      </w:r>
      <w:r>
        <w:rPr>
          <w:sz w:val="20"/>
          <w:szCs w:val="20"/>
          <w:color w:val="auto"/>
        </w:rPr>
        <w:tab/>
      </w:r>
      <w:r>
        <w:rPr>
          <w:rFonts w:ascii="Arial" w:cs="Arial" w:eastAsia="Arial" w:hAnsi="Arial"/>
          <w:sz w:val="18"/>
          <w:szCs w:val="18"/>
          <w:color w:val="auto"/>
        </w:rPr>
        <w:t>524,326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17780</wp:posOffset>
            </wp:positionV>
            <wp:extent cx="225425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54250" cy="342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5340" w:space="680"/>
            <w:col w:w="4119"/>
          </w:cols>
          <w:pgMar w:left="320" w:top="274" w:right="1440" w:bottom="1440" w:gutter="0" w:footer="0" w:header="0"/>
          <w:type w:val="continuous"/>
        </w:sectPr>
      </w:pPr>
    </w:p>
    <w:p>
      <w:pPr>
        <w:spacing w:after="0" w:line="156" w:lineRule="exact"/>
        <w:rPr>
          <w:sz w:val="20"/>
          <w:szCs w:val="20"/>
          <w:color w:val="auto"/>
        </w:rPr>
      </w:pPr>
    </w:p>
    <w:p>
      <w:pPr>
        <w:ind w:left="660" w:right="1079" w:hanging="4"/>
        <w:spacing w:after="0" w:line="282" w:lineRule="auto"/>
        <w:tabs>
          <w:tab w:leader="none" w:pos="9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and per share amounts have been restated to reflect the 1-for-8 reverse stock split effected in June 14, 2024 on retroactive basis for all periods presented.</w:t>
      </w:r>
    </w:p>
    <w:p>
      <w:pPr>
        <w:spacing w:after="0" w:line="16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Three Months Ended</w:t>
      </w:r>
    </w:p>
    <w:p>
      <w:pPr>
        <w:jc w:val="center"/>
        <w:ind w:left="78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(1,715,290)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77,508</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46,328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175,052</w:t>
            </w: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111,104</w:t>
            </w:r>
          </w:p>
        </w:tc>
      </w:tr>
      <w:tr>
        <w:trPr>
          <w:trHeight w:val="229"/>
        </w:trPr>
        <w:tc>
          <w:tcPr>
            <w:tcW w:w="7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(1,353,955)</w:t>
            </w:r>
          </w:p>
        </w:tc>
      </w:tr>
      <w:tr>
        <w:trPr>
          <w:trHeight w:val="270"/>
        </w:trPr>
        <w:tc>
          <w:tcPr>
            <w:tcW w:w="7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655,202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(172,788)</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545,566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(172,750)</w:t>
            </w:r>
          </w:p>
        </w:tc>
      </w:tr>
      <w:tr>
        <w:trPr>
          <w:trHeight w:val="270"/>
        </w:trPr>
        <w:tc>
          <w:tcPr>
            <w:tcW w:w="7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(636,148)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(1,526,705)</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2,434,528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5,899,910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1,798,380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4,373,205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4,094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4,019</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issuance costs for issuance of equity securities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740" w:type="dxa"/>
            <w:vAlign w:val="bottom"/>
            <w:gridSpan w:val="10"/>
          </w:tcPr>
          <w:p>
            <w:pPr>
              <w:jc w:val="center"/>
              <w:ind w:left="91"/>
              <w:spacing w:after="0"/>
              <w:rPr>
                <w:sz w:val="20"/>
                <w:szCs w:val="20"/>
                <w:color w:val="auto"/>
              </w:rPr>
            </w:pPr>
            <w:r>
              <w:rPr>
                <w:rFonts w:ascii="Arial" w:cs="Arial" w:eastAsia="Arial" w:hAnsi="Arial"/>
                <w:sz w:val="18"/>
                <w:szCs w:val="18"/>
                <w:b w:val="1"/>
                <w:bCs w:val="1"/>
                <w:color w:val="auto"/>
                <w:w w:val="99"/>
              </w:rPr>
              <w:t>SALARIUS PHARMACEUTICALS, INC.</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13"/>
          </w:tcPr>
          <w:p>
            <w:pPr>
              <w:jc w:val="center"/>
              <w:ind w:left="197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0" w:type="dxa"/>
            <w:vAlign w:val="bottom"/>
          </w:tcPr>
          <w:p>
            <w:pPr>
              <w:spacing w:after="0"/>
              <w:rPr>
                <w:sz w:val="1"/>
                <w:szCs w:val="1"/>
                <w:color w:val="auto"/>
              </w:rPr>
            </w:pPr>
          </w:p>
        </w:tc>
      </w:tr>
      <w:tr>
        <w:trPr>
          <w:trHeight w:val="247"/>
        </w:trPr>
        <w:tc>
          <w:tcPr>
            <w:tcW w:w="3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(Unaudited)</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160" w:type="dxa"/>
            <w:vAlign w:val="bottom"/>
          </w:tcPr>
          <w:p>
            <w:pPr>
              <w:spacing w:after="0"/>
              <w:rPr>
                <w:sz w:val="23"/>
                <w:szCs w:val="23"/>
                <w:color w:val="auto"/>
              </w:rPr>
            </w:pPr>
          </w:p>
        </w:tc>
        <w:tc>
          <w:tcPr>
            <w:tcW w:w="1940" w:type="dxa"/>
            <w:vAlign w:val="bottom"/>
            <w:gridSpan w:val="4"/>
          </w:tcPr>
          <w:p>
            <w:pPr>
              <w:jc w:val="right"/>
              <w:ind w:right="150"/>
              <w:spacing w:after="0"/>
              <w:rPr>
                <w:sz w:val="20"/>
                <w:szCs w:val="20"/>
                <w:color w:val="auto"/>
              </w:rPr>
            </w:pPr>
            <w:r>
              <w:rPr>
                <w:rFonts w:ascii="Arial" w:cs="Arial" w:eastAsia="Arial" w:hAnsi="Arial"/>
                <w:sz w:val="16"/>
                <w:szCs w:val="16"/>
                <w:b w:val="1"/>
                <w:bCs w:val="1"/>
                <w:color w:val="auto"/>
              </w:rPr>
              <w:t>Common Stock (1)</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center"/>
              <w:ind w:right="7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rPr>
              <w:t>Additional</w:t>
            </w:r>
          </w:p>
        </w:tc>
        <w:tc>
          <w:tcPr>
            <w:tcW w:w="1360" w:type="dxa"/>
            <w:vAlign w:val="bottom"/>
            <w:gridSpan w:val="2"/>
            <w:vMerge w:val="restart"/>
          </w:tcPr>
          <w:p>
            <w:pPr>
              <w:jc w:val="center"/>
              <w:ind w:right="60"/>
              <w:spacing w:after="0" w:line="108" w:lineRule="exact"/>
              <w:rPr>
                <w:sz w:val="20"/>
                <w:szCs w:val="20"/>
                <w:color w:val="auto"/>
              </w:rPr>
            </w:pPr>
            <w:r>
              <w:rPr>
                <w:rFonts w:ascii="Arial" w:cs="Arial" w:eastAsia="Arial" w:hAnsi="Arial"/>
                <w:sz w:val="12"/>
                <w:szCs w:val="12"/>
                <w:b w:val="1"/>
                <w:bCs w:val="1"/>
                <w:color w:val="auto"/>
              </w:rPr>
              <w:t>Accumulated</w:t>
            </w:r>
          </w:p>
        </w:tc>
        <w:tc>
          <w:tcPr>
            <w:tcW w:w="128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Paid-In Capital</w:t>
            </w: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492,304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8"/>
              </w:rPr>
              <w:t>$ 81,635,074</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$(76,347,841)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5,287,282</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47,000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77,508</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77,508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(1,715,290)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(1,715,290)</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539,304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8"/>
              </w:rPr>
              <w:t>$ 81,712,615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$(78,063,131)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3,649,538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1,441,157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8"/>
              </w:rPr>
              <w:t>$ 83,435,169</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$(81,923,618)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1,511,695</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640,682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226,106</w:t>
            </w:r>
          </w:p>
        </w:tc>
        <w:tc>
          <w:tcPr>
            <w:tcW w:w="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226,170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33,534</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33,534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(1,709,533)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(1,709,533)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2,081,839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8"/>
              </w:rPr>
              <w:t>$ 83,694,809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$(83,633,151)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61,866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and per share amounts have been restated to reflect the 1-for-8 reverse stock split effected in June 14, 2024 on retroactive basis for all periods presented.</w:t>
      </w:r>
    </w:p>
    <w:p>
      <w:pPr>
        <w:spacing w:after="0" w:line="16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4" w:right="67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40" w:right="2680"/>
        <w:spacing w:after="0" w:line="284"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that has been focused on developing effective treatments for patients with cancer with high, unmet medical need. Specifically, Salarius has been concentrated on developing treatments for cancers caused by dysregulated gene expression (i.e., genes which are incorrectly turned on or off). Salarius has two classes of drugs that address gene dysregulation: targeted protein inhibitors and targeted protein degraders. Salarius’ technologies have the potential to work in both liquid and solid tumors. Salarius’ current pipeline consists of two small molecule drugs: (1) SP-3164, a targeted protein degrader, and (2) seclidemstat (“SP-2577”), a targeted protein inhibitor. The Company is located in Houston, Texas. On August 8, 2023, the Company announced that it retained Canaccord Genuity, LLC to lead a comprehensive review of strategic alternatives focusing on maximizing stockholder value, including but not limited to, an acquisition, merger, reverse merger, divestiture of assets, licensing, or other strategic transactions involving the Company. In connection with the evaluation of strategic alternatives and in order to extend Company resources,</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implemented multiple cost-savings plans to extend the Company’s expected cash runway into the later part of the second quarter of 2025.</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10, 2025, Salarius entered into an Agreement and Plan of Merger (the “Merger Agreement”) with Decoy Therapeutics MergerSub I, Inc., a Delaware corporation and a wholly owned subsidiary of Salarius (“First Merger Sub”), Decoy Therapeutics MergerSub II, LLC, a Delaware limited liability company and wholly owned subsidiary of Salarius (“Second Merger Sub”), and Decoy. Pursuant to the Merger Agreement, and subject to the satisfaction and waiver of certain conditions set forth in the Merger Agreement, Salarius will combine with Decoy (the “Merger”) by causing First Merger Sub to be merged with and into Decoy, with Decoy surviving the merger as a wholly owned subsidiary of Salarius (the “First Merger”). Immediately following the First Merger, Decoy will merge with and into Second Merger Sub, with Second Merger Sub being the surviving entity and continuing under the name “Decoy Therapeutics, LLC” as a wholly owned subsidiary of Salarius.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the Company is unable to consummate the Merger or obtain additional capital in the very near term, it will be forced to cease operations, liquidate its assets and pursue the winding down and dissolution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14, 2024, the Company filed a Certificate of Amendment to the Company’s restated certificate of incorporation, as amended, with the Secretary of State of the State of Delaware to effect a 1-for-8 reverse stock split of the Company’s issued and outstanding shares of common stock, par value $0.0001 per share (the “Reverse Stock Split”) which became effective as of June 14, 2024. All historical share and per share amounts reflected throughout this report have been adjusted to reflect the Reverse Stock Split.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All historical share and per share amounts reflected throughout this report have been adjusted to reflect the 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2024 included elsewhere in the Company's Annual Report on Form 10-K filed with the SEC on March 21, 2025. In the opinion of management, the unaudited interim financial statements reflect all the adjustments (consisting of normal recurring adjustments) necessary to state fairly the Company’s financial position as of March 31, 2025 and the results of operations for the three months ended March 31, 2025 and 2024. The interim results of operations are not necessarily indicative of the results that may occur for the full fiscal year. The December 31, 2024 balance sheet included herein was derived from the audited financial statements, but does not include all disclosures, including notes, required by GAAP for complete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 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stock options granted to employees and directors. Assumptions utilized in these models include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number of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118,280 and 1,337,721 shares as of March 31, 2025 and 2024,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therefore, a valuation allowance has been established for the full amount of the deferred tax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2025 and December 31, 2024,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360" w:type="dxa"/>
            <w:vAlign w:val="bottom"/>
          </w:tcPr>
          <w:p>
            <w:pPr>
              <w:spacing w:after="0"/>
              <w:rPr>
                <w:sz w:val="20"/>
                <w:szCs w:val="20"/>
                <w:color w:val="auto"/>
              </w:rPr>
            </w:pPr>
            <w:r>
              <w:rPr>
                <w:rFonts w:ascii="Arial" w:cs="Arial" w:eastAsia="Arial" w:hAnsi="Arial"/>
                <w:sz w:val="18"/>
                <w:szCs w:val="18"/>
                <w:b w:val="1"/>
                <w:bCs w:val="1"/>
                <w:color w:val="auto"/>
              </w:rPr>
              <w:t>NOTE 3. PREPAID EXPENSES AND OTHER CURRENT ASSETS</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357"/>
        </w:trPr>
        <w:tc>
          <w:tcPr>
            <w:tcW w:w="934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 at March 31, 2025 and December 31, 2024 consisted of the following:</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3"/>
        </w:trPr>
        <w:tc>
          <w:tcPr>
            <w:tcW w:w="7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2025</w:t>
            </w: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2024</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287,785</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286,241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221,580</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prepaid and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43,669</w:t>
            </w: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506,706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553,034</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Insurance is mainly comprised of prepaid directors' and officers' insurance. In July 2024, the Company financed its directors and officers' insurance premium with a short term note, the principal amount of which is approximately $0.4 million bearing interest at a rate of 9.74%. The note payable balance, which was included within Current Liabilities on the Condensed Consolidated Balance Sheet was $0.1 million and $0.2 million at March 31, 2025 and December 31, 2024,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 ("CPRIT")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further modified to $16.1 million to fund development of LSD 1 inhibitor. The grant expired in 2023.</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on a fully diluted basis at the effective date of the agreement subject to certain adjustments specified in the agreement, such as granted revenue sharing rights 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resulting products or processes to commence on first commercial sale, and milestone payments based upon regulatory approval of any resulting product or process as well as on the second anniversary of first commercial sale.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month-to-month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68"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February 5, 2021, the Company entered into an At the Market Offering Agreement ("ATM") with Ladenburg Thalmann &amp; Co. Inc. Under this agreement the Company is able to issue and sell, from time to time, shares of its common stock. During the three months ended March 31, 2025, the Company sold 353,844 shares of common stock in an "at the market offering" with gross proceeds of $0.4 million. The Company did not sell any shares pursuant to the ATM during the three months ended March 31, 2024.</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December 12, 2024, the Company entered into a securities purchase agreement (the “ELOC Agreement”) with C/M Capital Master Fund, LP (the “Purchaser”), pursuant to which the Company, subject to the restrictions and satisfaction of the conditions in the ELOC Agreement,</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has the right, but not the obligation, to sell to the Purchaser, and the Purchaser is obligated to purchase, up to the lesser of (i) $10 million of newly issued shares (the “Purchase Shares”) of the Company’s common stock, $0.0001 par value per share (the “Common Stock”) and (ii) a</w:t>
      </w:r>
    </w:p>
    <w:p>
      <w:pPr>
        <w:spacing w:after="0" w:line="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specified cap dictated by the rules of the Nasdaq Stock Market. As consideration for the Purchaser’s execution and delivery of the ELOC Agreement, the Company has agreed to issue to the Purchaser, simultaneously with the delivery of any and all Purchase Shares purchased under the ELOC Agreement, a number of shares of Common Stock equal to one percent (1%) of the number of Purchase Shares actually sold in each sale under the ELOC Agreement (the “Commitment Shares” and, together with the Purchase Shares, the “Securities”).The Company issued 286,772 shares of common stock with proceeds of $0.7 million during the three months ended March 31, 2025 pursuant to the ELOC Agreement.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11, 2023, the Company entered into a Securities Purchase Agreement (the “Purchase Agreement”) with an accredited investor (the “Investor”), pursuant to which the Company agreed to issue and sell to the Investor in a private placement (the “Offering”) (i) 41,250 shares (the “Shares”) of the Company’s common stock, par value $0.0001 per share (the “Common Stock”), (ii) pre-funded warrants (the “Pre-Funded Warrants”) to purchase up to 413,296 shares of Common Stock, (iii) Series A-1 warrants (the “Series A-1 Warrants”) to purchase up to 454,546 shares of Common Stock and (iv) Series A-2 warrants (the “Series A-2 Warrants”) and together with the Series A-1 Warrants, the “Common Stock Warrants,” and together with the Pre-Funded Warrants, the “Warrants”) to purchase up to 454,546 shares of Common Stock, at a purchase price of (a) $13.20 per Share and accompanying Common Stock Warrants and (b) $13.1992 per Pre-Funded Warrant and accompanying Common Stock Warrants. The aggregate gross proceeds from the Offering were approximately $6.0 million, exclusive of placement agent fees and expenses and other offering expenses. The Offering closed on May 16, 2023. All of the Series A-2 Warrants expired during the fiscal year ended December 31, 2024.</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2024 , the Company issued 47,000 shares of its Common Stock upon the exercise of Pre-Funded Warrants. All of the Pre-Funded Warrants were fully exercised as of December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Exercisable for Cash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five-year (5) warrants outstanding that were issued in February 2020 and subsequently modified in December 2020 in connection with the issuance of additional inducement warrants. The initial warrants were exercisable at a price per share of $230 and expired during the first quarter of 2025. The inducement warrants expire on June 11, 2026, and are exercisable at a price per share of $236.40. The Company has five-and-one-half-year (5.5) year warrants outstanding that were issued in April 2022, with an exercise price of $67.98 per share. The warrants became exercisable six months following the issuance date and will expire five and one-half years from the issuance date.</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Series A-1 Warrants are exercisable for a period of five and one-half (5.5) years from the issuance date at an exercise price of $11.20 per share, expiring on November 16, 2028. Series A-2 Warrants expired on November 18, 2024. Each Pre-Funded Warrant was sold in lieu of shares of Common Stock, are exercisable immediately upon issuance, have an exercise price of $0.0008 per share and expire when exercised in full. On January 10, 2025, the Company entered into a Warrant Cancellation Agreement. Pursuant to the agreement, a Series A-1 Common Stock Purchase Warrant exercisable for 454,546 shares of the Company's common stock was canceled in exchange for cash of $0.35 million. As of March 31, 2025, there were zero A-1 and A-2 warrants outstanding.</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above mentioned Offering, the Company issued warrants to representatives to purchase up to 31,818 shares of common stock at an exercise price per share of $16.50 and a term of five and one-half (5.5)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and 2024, approximately 86,661 and 1,308,600 warrants remain outstanding, respectively.</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In addition, certain of our outstanding warrants provide that, in the event of a fundamental transaction that is approved by our board of directors, the holders of such warrants have the option to require us to pay to such holders an amount of cash equal to the Black-Scholes value of the warrants. Such amount could be significantly more than the warrant holders would otherwise receive if they were to exercise their warrants and receive the same consideration as the other holders of common stock, which in turn could reduce the consideration that holders of common stock would be concurrently entitled to receive in such fundamental transaction. The terms of the warrants could also impede the Company's ability to enter into certain transactions or obtain additional financing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The 2015 Plan expired in accordance with its terms in January 2025 and there are no shares remaining available for the grant of future awards under the 2015 Plan.</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three-month periods ended March 31, 2025 and 2024, the Company awarded 0 </w:t>
      </w:r>
      <w:r>
        <w:rPr>
          <w:rFonts w:ascii="Times New Roman" w:cs="Times New Roman" w:eastAsia="Times New Roman" w:hAnsi="Times New Roman"/>
          <w:sz w:val="18"/>
          <w:szCs w:val="18"/>
          <w:color w:val="auto"/>
        </w:rPr>
        <w:t>and</w:t>
      </w:r>
      <w:r>
        <w:rPr>
          <w:rFonts w:ascii="Arial" w:cs="Arial" w:eastAsia="Arial" w:hAnsi="Arial"/>
          <w:sz w:val="18"/>
          <w:szCs w:val="18"/>
          <w:color w:val="auto"/>
        </w:rPr>
        <w:t xml:space="preserve"> 18,566 stock options, respectively,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the three - month period ended March 31, 2024 was $0.1 million, which has been estimated with the following assumptions on the grant date.</w:t>
      </w:r>
    </w:p>
    <w:p>
      <w:pPr>
        <w:spacing w:after="0" w:line="200" w:lineRule="exact"/>
        <w:rPr>
          <w:sz w:val="20"/>
          <w:szCs w:val="20"/>
          <w:color w:val="auto"/>
        </w:rPr>
      </w:pPr>
    </w:p>
    <w:p>
      <w:pPr>
        <w:spacing w:after="0" w:line="317" w:lineRule="exact"/>
        <w:rPr>
          <w:sz w:val="20"/>
          <w:szCs w:val="20"/>
          <w:color w:val="auto"/>
        </w:rPr>
      </w:pPr>
    </w:p>
    <w:tbl>
      <w:tblPr>
        <w:tblLayout w:type="fixed"/>
        <w:tblInd w:w="2900" w:type="dxa"/>
        <w:tblCellMar>
          <w:top w:w="0" w:type="dxa"/>
          <w:left w:w="0" w:type="dxa"/>
          <w:bottom w:w="0" w:type="dxa"/>
          <w:right w:w="0" w:type="dxa"/>
        </w:tblCellMar>
      </w:tblPr>
      <w:tr>
        <w:trPr>
          <w:trHeight w:val="207"/>
        </w:trPr>
        <w:tc>
          <w:tcPr>
            <w:tcW w:w="29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Three Months Ended March</w:t>
            </w:r>
          </w:p>
        </w:tc>
      </w:tr>
      <w:tr>
        <w:trPr>
          <w:trHeight w:val="235"/>
        </w:trPr>
        <w:tc>
          <w:tcPr>
            <w:tcW w:w="2900" w:type="dxa"/>
            <w:vAlign w:val="bottom"/>
            <w:shd w:val="clear" w:color="auto" w:fill="CCEEFF"/>
          </w:tcPr>
          <w:p>
            <w:pPr>
              <w:spacing w:after="0"/>
              <w:rPr>
                <w:sz w:val="20"/>
                <w:szCs w:val="20"/>
                <w:color w:val="auto"/>
              </w:rPr>
            </w:pPr>
          </w:p>
        </w:tc>
        <w:tc>
          <w:tcPr>
            <w:tcW w:w="238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31</w:t>
            </w:r>
          </w:p>
        </w:tc>
        <w:tc>
          <w:tcPr>
            <w:tcW w:w="180" w:type="dxa"/>
            <w:vAlign w:val="bottom"/>
            <w:shd w:val="clear" w:color="auto" w:fill="CCEEFF"/>
          </w:tcPr>
          <w:p>
            <w:pPr>
              <w:spacing w:after="0"/>
              <w:rPr>
                <w:sz w:val="20"/>
                <w:szCs w:val="20"/>
                <w:color w:val="auto"/>
              </w:rPr>
            </w:pPr>
          </w:p>
        </w:tc>
      </w:tr>
      <w:tr>
        <w:trPr>
          <w:trHeight w:val="229"/>
        </w:trPr>
        <w:tc>
          <w:tcPr>
            <w:tcW w:w="290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2024</w:t>
            </w:r>
          </w:p>
        </w:tc>
        <w:tc>
          <w:tcPr>
            <w:tcW w:w="180" w:type="dxa"/>
            <w:vAlign w:val="bottom"/>
            <w:shd w:val="clear" w:color="auto" w:fill="CCEEFF"/>
          </w:tcPr>
          <w:p>
            <w:pPr>
              <w:spacing w:after="0"/>
              <w:rPr>
                <w:sz w:val="19"/>
                <w:szCs w:val="19"/>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4.25%-4.27%</w:t>
            </w:r>
          </w:p>
        </w:tc>
        <w:tc>
          <w:tcPr>
            <w:tcW w:w="180" w:type="dxa"/>
            <w:vAlign w:val="bottom"/>
          </w:tcPr>
          <w:p>
            <w:pPr>
              <w:spacing w:after="0"/>
              <w:rPr>
                <w:sz w:val="19"/>
                <w:szCs w:val="19"/>
                <w:color w:val="auto"/>
              </w:rPr>
            </w:pPr>
          </w:p>
        </w:tc>
      </w:tr>
      <w:tr>
        <w:trPr>
          <w:trHeight w:val="22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3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123.31%</w:t>
            </w:r>
          </w:p>
        </w:tc>
        <w:tc>
          <w:tcPr>
            <w:tcW w:w="180" w:type="dxa"/>
            <w:vAlign w:val="bottom"/>
            <w:shd w:val="clear" w:color="auto" w:fill="CCEEFF"/>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5.00-6.00</w:t>
            </w:r>
          </w:p>
        </w:tc>
        <w:tc>
          <w:tcPr>
            <w:tcW w:w="180" w:type="dxa"/>
            <w:vAlign w:val="bottom"/>
          </w:tcPr>
          <w:p>
            <w:pPr>
              <w:spacing w:after="0"/>
              <w:rPr>
                <w:sz w:val="19"/>
                <w:szCs w:val="19"/>
                <w:color w:val="auto"/>
              </w:rPr>
            </w:pPr>
          </w:p>
        </w:tc>
      </w:tr>
      <w:tr>
        <w:trPr>
          <w:trHeight w:val="22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three months ended March 31, 2025 and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1"/>
        </w:trPr>
        <w:tc>
          <w:tcPr>
            <w:tcW w:w="5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Weighted-</w:t>
            </w:r>
          </w:p>
        </w:tc>
        <w:tc>
          <w:tcPr>
            <w:tcW w:w="15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4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6"/>
                <w:szCs w:val="16"/>
                <w:color w:val="auto"/>
              </w:rPr>
            </w:pPr>
          </w:p>
        </w:tc>
        <w:tc>
          <w:tcPr>
            <w:tcW w:w="148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8"/>
              </w:rPr>
              <w:t>Average</w:t>
            </w:r>
          </w:p>
        </w:tc>
        <w:tc>
          <w:tcPr>
            <w:tcW w:w="15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Contractual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rPr>
              <w:t>Exercise Price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190.00</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18,566</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Outstanding at March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30,465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72.32</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213.28</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66.75</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Outstanding at March 31, 2025</w:t>
            </w:r>
          </w:p>
        </w:tc>
        <w:tc>
          <w:tcPr>
            <w:tcW w:w="1420" w:type="dxa"/>
            <w:vAlign w:val="bottom"/>
          </w:tcPr>
          <w:p>
            <w:pPr>
              <w:jc w:val="right"/>
              <w:spacing w:after="0"/>
              <w:rPr>
                <w:sz w:val="20"/>
                <w:szCs w:val="20"/>
                <w:color w:val="auto"/>
              </w:rPr>
            </w:pPr>
            <w:r>
              <w:rPr>
                <w:rFonts w:ascii="Arial" w:cs="Arial" w:eastAsia="Arial" w:hAnsi="Arial"/>
                <w:sz w:val="18"/>
                <w:szCs w:val="18"/>
                <w:color w:val="auto"/>
              </w:rPr>
              <w:t>31,554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66.75</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2024:</w:t>
            </w: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77.67</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112"/>
        </w:trPr>
        <w:tc>
          <w:tcPr>
            <w:tcW w:w="500" w:type="dxa"/>
            <w:vAlign w:val="bottom"/>
            <w:vMerge w:val="continue"/>
          </w:tcPr>
          <w:p>
            <w:pPr>
              <w:spacing w:after="0"/>
              <w:rPr>
                <w:sz w:val="9"/>
                <w:szCs w:val="9"/>
                <w:color w:val="auto"/>
              </w:rPr>
            </w:pPr>
          </w:p>
        </w:tc>
        <w:tc>
          <w:tcPr>
            <w:tcW w:w="4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2025 and 2024, there was approximately $0.1 million and $0.3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0.28 years.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REPORTING</w:t>
      </w:r>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been concentrated on developing treatments for cancers caused by dysregulated gene expression. The current pipeline consists of two small molecule drugs: (1) SP-3164, a targeted protein degrader, and (2) seclidemstat (“SP-2577”), a targeted protein inhibitor. The Company does not have any revenue generating products.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three months ended March 31, 2025 and 2024, the Company identified one operating and reportable segment relating to its operations. The Company defines its operating segment based on internally reported financial information that is regularly reviewed by the Chief Operating Decision Maker (the "CODM"), its Chief Executive Officer. The CODM reviews the segment’s loss based on net loss reported on the consolidated statement of operations.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CODM views specific categories within research and development expenses and general and administrative expenses as significant given the direct correlation between cash burn as a pre-revenue company. The table below is a summary of the segment loss, including significant segment expenses: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980"/>
        <w:spacing w:after="0"/>
        <w:rPr>
          <w:sz w:val="20"/>
          <w:szCs w:val="20"/>
          <w:color w:val="auto"/>
        </w:rPr>
      </w:pPr>
      <w:r>
        <w:rPr>
          <w:rFonts w:ascii="Arial" w:cs="Arial" w:eastAsia="Arial" w:hAnsi="Arial"/>
          <w:sz w:val="18"/>
          <w:szCs w:val="18"/>
          <w:b w:val="1"/>
          <w:bCs w:val="1"/>
          <w:color w:val="auto"/>
        </w:rPr>
        <w:t>Three-Month Ended</w:t>
      </w:r>
    </w:p>
    <w:p>
      <w:pPr>
        <w:spacing w:after="0" w:line="27" w:lineRule="exact"/>
        <w:rPr>
          <w:sz w:val="20"/>
          <w:szCs w:val="20"/>
          <w:color w:val="auto"/>
        </w:rPr>
      </w:pPr>
    </w:p>
    <w:p>
      <w:pPr>
        <w:jc w:val="center"/>
        <w:ind w:left="3980"/>
        <w:spacing w:after="0"/>
        <w:rPr>
          <w:sz w:val="20"/>
          <w:szCs w:val="20"/>
          <w:color w:val="auto"/>
        </w:rPr>
      </w:pPr>
      <w:r>
        <w:rPr>
          <w:rFonts w:ascii="Arial" w:cs="Arial" w:eastAsia="Arial" w:hAnsi="Arial"/>
          <w:sz w:val="18"/>
          <w:szCs w:val="18"/>
          <w:b w:val="1"/>
          <w:bCs w:val="1"/>
          <w:color w:val="auto"/>
        </w:rPr>
        <w:t>March 31</w:t>
      </w:r>
    </w:p>
    <w:p>
      <w:pPr>
        <w:spacing w:after="0" w:line="32" w:lineRule="exact"/>
        <w:rPr>
          <w:sz w:val="20"/>
          <w:szCs w:val="20"/>
          <w:color w:val="auto"/>
        </w:rPr>
      </w:pPr>
    </w:p>
    <w:p>
      <w:pPr>
        <w:ind w:left="6680"/>
        <w:spacing w:after="0"/>
        <w:tabs>
          <w:tab w:leader="none" w:pos="816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32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Expenses:</w:t>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Research and development:</w:t>
      </w:r>
    </w:p>
    <w:p>
      <w:pPr>
        <w:spacing w:after="0" w:line="320" w:lineRule="exact"/>
        <w:rPr>
          <w:sz w:val="20"/>
          <w:szCs w:val="20"/>
          <w:color w:val="auto"/>
        </w:rPr>
      </w:pPr>
    </w:p>
    <w:tbl>
      <w:tblPr>
        <w:tblLayout w:type="fixed"/>
        <w:tblInd w:w="234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r>
              <w:rPr>
                <w:rFonts w:ascii="Arial" w:cs="Arial" w:eastAsia="Arial" w:hAnsi="Arial"/>
                <w:sz w:val="18"/>
                <w:szCs w:val="18"/>
                <w:color w:val="auto"/>
              </w:rPr>
              <w:t>SP-3164</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21,037</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86,886</w:t>
            </w: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SP-2577</w:t>
            </w:r>
          </w:p>
        </w:tc>
        <w:tc>
          <w:tcPr>
            <w:tcW w:w="6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54,495</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156,116</w:t>
            </w:r>
          </w:p>
        </w:tc>
      </w:tr>
      <w:tr>
        <w:trPr>
          <w:trHeight w:val="264"/>
        </w:trPr>
        <w:tc>
          <w:tcPr>
            <w:tcW w:w="33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519"/>
        </w:trPr>
        <w:tc>
          <w:tcPr>
            <w:tcW w:w="3340" w:type="dxa"/>
            <w:vAlign w:val="bottom"/>
          </w:tcPr>
          <w:p>
            <w:pPr>
              <w:spacing w:after="0"/>
              <w:rPr>
                <w:sz w:val="20"/>
                <w:szCs w:val="20"/>
                <w:color w:val="auto"/>
              </w:rPr>
            </w:pPr>
            <w:r>
              <w:rPr>
                <w:rFonts w:ascii="Arial" w:cs="Arial" w:eastAsia="Arial" w:hAnsi="Arial"/>
                <w:sz w:val="18"/>
                <w:szCs w:val="18"/>
                <w:color w:val="auto"/>
              </w:rPr>
              <w:t>Professional services and Consulting</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1,233,695</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568,465</w:t>
            </w:r>
          </w:p>
        </w:tc>
      </w:tr>
      <w:tr>
        <w:trPr>
          <w:trHeight w:val="256"/>
        </w:trPr>
        <w:tc>
          <w:tcPr>
            <w:tcW w:w="3340" w:type="dxa"/>
            <w:vAlign w:val="bottom"/>
          </w:tcPr>
          <w:p>
            <w:pPr>
              <w:spacing w:after="0"/>
              <w:rPr>
                <w:sz w:val="20"/>
                <w:szCs w:val="20"/>
                <w:color w:val="auto"/>
              </w:rPr>
            </w:pPr>
            <w:r>
              <w:rPr>
                <w:rFonts w:ascii="Arial" w:cs="Arial" w:eastAsia="Arial" w:hAnsi="Arial"/>
                <w:sz w:val="18"/>
                <w:szCs w:val="18"/>
                <w:color w:val="auto"/>
              </w:rPr>
              <w:t>Personnel cost</w:t>
            </w:r>
          </w:p>
        </w:tc>
        <w:tc>
          <w:tcPr>
            <w:tcW w:w="6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251,108</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841,441</w:t>
            </w:r>
          </w:p>
        </w:tc>
      </w:tr>
      <w:tr>
        <w:trPr>
          <w:trHeight w:val="259"/>
        </w:trPr>
        <w:tc>
          <w:tcPr>
            <w:tcW w:w="3340" w:type="dxa"/>
            <w:vAlign w:val="bottom"/>
          </w:tcPr>
          <w:p>
            <w:pPr>
              <w:spacing w:after="0"/>
              <w:rPr>
                <w:sz w:val="20"/>
                <w:szCs w:val="20"/>
                <w:color w:val="auto"/>
              </w:rPr>
            </w:pPr>
            <w:r>
              <w:rPr>
                <w:rFonts w:ascii="Arial" w:cs="Arial" w:eastAsia="Arial" w:hAnsi="Arial"/>
                <w:sz w:val="18"/>
                <w:szCs w:val="18"/>
                <w:color w:val="auto"/>
              </w:rPr>
              <w:t>Facility cost</w:t>
            </w:r>
          </w:p>
        </w:tc>
        <w:tc>
          <w:tcPr>
            <w:tcW w:w="64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158,360</w:t>
            </w:r>
          </w:p>
        </w:tc>
        <w:tc>
          <w:tcPr>
            <w:tcW w:w="4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118,707</w:t>
            </w:r>
          </w:p>
        </w:tc>
      </w:tr>
      <w:tr>
        <w:trPr>
          <w:trHeight w:val="250"/>
        </w:trPr>
        <w:tc>
          <w:tcPr>
            <w:tcW w:w="33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64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1,718,695</w:t>
            </w:r>
          </w:p>
        </w:tc>
        <w:tc>
          <w:tcPr>
            <w:tcW w:w="4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1,771,615</w:t>
            </w:r>
          </w:p>
        </w:tc>
      </w:tr>
      <w:tr>
        <w:trPr>
          <w:trHeight w:val="250"/>
        </w:trPr>
        <w:tc>
          <w:tcPr>
            <w:tcW w:w="3340" w:type="dxa"/>
            <w:vAlign w:val="bottom"/>
          </w:tcPr>
          <w:p>
            <w:pPr>
              <w:spacing w:after="0"/>
              <w:rPr>
                <w:sz w:val="20"/>
                <w:szCs w:val="20"/>
                <w:color w:val="auto"/>
              </w:rPr>
            </w:pPr>
            <w:r>
              <w:rPr>
                <w:rFonts w:ascii="Arial" w:cs="Arial" w:eastAsia="Arial" w:hAnsi="Arial"/>
                <w:sz w:val="18"/>
                <w:szCs w:val="18"/>
                <w:color w:val="auto"/>
              </w:rPr>
              <w:t>Interest income, net</w:t>
            </w:r>
          </w:p>
        </w:tc>
        <w:tc>
          <w:tcPr>
            <w:tcW w:w="64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w:t>
            </w:r>
          </w:p>
        </w:tc>
        <w:tc>
          <w:tcPr>
            <w:tcW w:w="4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56,325</w:t>
            </w: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1,709,533</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1,715,290</w:t>
            </w:r>
          </w:p>
        </w:tc>
      </w:tr>
      <w:tr>
        <w:trPr>
          <w:trHeight w:val="21"/>
        </w:trPr>
        <w:tc>
          <w:tcPr>
            <w:tcW w:w="3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26, 2025, the Company received a letter from Nasdaq notifying the Company that, based on the financial statements contained in its Annual Report on Form 10-K for the year ended December 31, 2024, the Company is no longer in compliance with the requirement under Nasdaq Listing Rule 5550(b)(1) to maintain a minimum of $2.5 million in stockholders’ equity for continued listing on The Nasdaq Capital Market (the “Equity Standard”). The letter indicated that we had until May 12, 2025 to either regain compliance with the Equity Standard or submit a plan to Nasdaq to regain compliance with the Equity Standard (a “Compliance Plan”). However, pursuant to Nasdaq listing rule 5810(d)(2), our failure to comply with the Minimum Bid Price Requirement served as a separate and additional reason for delisting and, as such, the Notice indicated that Nasdaq will not entertain a Compliance Plan, and the Company should also address our noncompliance with the Equity Standard before a Hearings Panel if we appeal Nasdaq’s determination.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April 23, 2025, the Company received written notice (the “Notice”) from The Nasdaq Stock Market LLC (“Nasdaq”) notifying that the Company is not in compliance with Nasdaq listing rule 5550(a)(2) because the closing bid price of our common stock for the last 30 consecutive business days was lower than the minimum bid price requirement of $1.00 per share (the “Minimum Bid Price Requirement”).</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Normally, a company would be afforded a 180-calendar day period to demonstrate compliance with the Minimum Bid Price Requirement. However, pursuant to Nasdaq listing rule 5810(c)(3)(A)(iv), the Company is not eligible for any compliance period specified in Nasdaq listing rule 5810(c)(3)(A) because the Company effected a reverse stock split during the prior one-year period.</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Accordingly, unless the Company requested an appeal of the delisting determination by April 30, 2025, Nasdaq had determined that our securities will be scheduled for delisting from The Nasdaq Capital Market and would have been suspended at the opening of business on May 2, 2025. In addition, a Form 25-NSE would have been filed with the Securities and Exchange Commission (the “SEC”), which would have removed our securities from listing and registration on The Nasdaq Stock Market.</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appealed the delisting determination before April 30, 2025 by requesting an appeal with a Nasdaq Hearings Panel (the “Hearings Panel”). The request for an appeal stayed the suspension of our securities and the filing of the Form 25-NSE pending the Hearings Panel’s decision. The Company intends to present our plans to regain compliance with the Minimum Bid Price Requirement and the Equity Standard in connection with our planned merger transaction with Decoy Therapeutics Inc. However, there are no assurances a favorable decision from the Hearing Panel will be obtained or that its securities will remain listed on The Nasdaq Capital Market.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2024, filed with the SEC on March 21, 2025.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2024,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clinical-stage biopharmaceutical company that has been focused on developing effective treatments for patients with cancer with high, unmet medical need. Specifically, we have been concentrated on developing treatments for cancers caused by dysregulated gene expression (i.e., genes which are incorrectly turned on or off). We have two classes of drugs that address gene dysregulation: targeted protein inhibitors and targeted protein degraders. Our technologies have the potential to work in both liquid and solid tumors. Our current pipeline consists of two small molecule drugs: (1) SP-3164, a targeted protein degrader, and (2) seclidemstat (SP-2577), a targeted protein inhibitor. We are located in Houston, Texas. On August 8, 2023, we announced that we retained Canaccord Genuity, LLC to lead a comprehensive review of strategic alternatives focusing on maximizing stockholder value, including but not limited to, an acquisition, merger, reverse merger, divestiture of assets, licensing, or other strategic transactions involving our company.</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$83.6 million as of March 31, 2025. Substantially all of our operating losses resulted from expenses incurred in connection with our research and development programs and from general and administrative costs associated with our operations. As of March 31, 2025, we had cash and cash equivalents of $1.8 million. During the three month ended March 31, 2025, we sold 353,844 shares of our common stock in an ATM offering with gross proceeds of $0.4 million and 286,772 shares with gross proceeds of $0.7 million under the ELOC agreement, respectively.</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there is presently insufficient funding available to allow us to continue our current and planned clinical programs for a period exceeding 12 months from the date of this filing with the SEC.</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operations and any clinical development activities that we determine to advance and will need such additional capital within the next several months to continue to fund our operations beyond the later part of the second quarter of 2025. The amount and timing of our future funding requirements will depend on many factors, including the result of strategic alternatives process, our ability to raise additional capital on commercially reasonable terms, the pace and results of clinical development activities, and market conditions. Failure to raise capital as and when needed, on favorable terms or at all, would have a material negative impact on our financial condition and our ability to continue our operations.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attempt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we do not raise capital in the next several months, we will be forced to cease operations, liquidate our assets and possibly seek bankruptcy protection or engage in a similar process.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Merger Agreement with Decoy Therapeutics, Inc. (“Decoy”)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8, 2023, Salarius announced that it retained Canaccord Genuity, LLC to lead a comprehensive review of strategic alternatives focusing on maximizing stockholder value, including but not limited to, an acquisition, merger, reverse merger, divestiture of assets, licensing, or other strategic transactions involving the company. On January 10, 2025, Salarius entered into an Agreement and Plan of Merger (the “Merger Agreement”) with Decoy Therapeutics MergerSub I, Inc., a Delaware corporation and a wholly owned subsidiary of Salarius (“First Merger Sub”), Decoy Therapeutics MergerSub II, LLC, a Delaware limited liability company and wholly owned subsidiary of Salarius (“Second Merger Sub”), and Decoy. Pursuant to the Merger Agreement, Salarius will combine with Decoy (the “Merger”) by causing First Merger Sub to be merged with and into Decoy, with Decoy surviving the merger as a wholly owned subsidiary of Salarius (the “First Merger”). Immediately following the First Merger, Decoy will merge with and into Second Merger Sub, with Second Merger Sub being the surviving entity and continuing under the name “Decoy Therapeutics, LLC” as a wholly owned subsidiary of Salarius.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is structured as a stock-for-stock transaction pursuant to which all of Decoy’s outstanding equity interests will be exchanged based on an exchange ratio for consideration of a combination of (a) shares of Salarius’ common stock par value $0.0001 (the “Common Stock”) in an amount up to (i) 19.9% of Salarius’ total shares outstanding as of January 10, 2025 minus (ii) any shares of Salarius Common Stock issued in any private placement between January 10, 2025 and the effective time of the First Merger (the “First Effective Time”), and</w:t>
      </w:r>
    </w:p>
    <w:p>
      <w:pPr>
        <w:spacing w:after="0" w:line="2" w:lineRule="exact"/>
        <w:rPr>
          <w:sz w:val="20"/>
          <w:szCs w:val="20"/>
          <w:color w:val="auto"/>
        </w:rPr>
      </w:pPr>
    </w:p>
    <w:p>
      <w:pPr>
        <w:jc w:val="both"/>
        <w:ind w:firstLine="8"/>
        <w:spacing w:after="0" w:line="252" w:lineRule="auto"/>
        <w:tabs>
          <w:tab w:leader="none" w:pos="28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Series A Preferred Stock, which is a newly designated series of preferred stock (“Preferred Stock”) that is intended to have economic rights equivalent to the Common Stock, but with only limited voting rights, in addition to the assumption of outstanding and unexercised stock options to purchase shares of Common Stock from the Decoy Therapeutics Inc. 2020 Equity Incentive Plan. The number of shares of Common Stock to be issued at Merger Closing (as defined below) and the number of shares of Common stock underlying the Series A Preferred Stock to be issued at closing of the Merger (the “Merger Closing”) is based on an exchange ratio which assumes a base value of $28.0 million for Decoy and $4.6 million for Salarius, subject in each case to adjustment based on the balance sheet cash available to each of Salarius and Decoy at Merger Closing (excluding any proceeds raised the “Qualified Financing,” as defined below). Based on these relative values, before taking into account the dilutive effects of the Qualified Financing, Salarius’ legacy stockholders would retain approximately 14.1% of Salarius on an as-converted-to-common basis and, after giving effect to the exchange ratio and the conversion of the Series A Preferred Stock, Decoy stockholders would own approximately 85.9% of Salarius.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rights of the Series A Preferred Stock will be set forth in a Certificate of Designation of Preferences, Rights and Limitations that Salarius will file with the Secretary of State of the State of Delaware (the “Certificate of Designation”). The Certificate of Designation provides that the preferred stock will be convertible into shares of Common Stock on a 1-for-1000 basis, subject to stockholder approval. The Merger was approved by Salarius’ board of directors and the board of directors of Decoy, and currently not closed. In addition, following the consummation of the Merger, Salarius has agreed to call a special stockholder meeting to approve (i) the conversion of the preferred stock to be issued at Merger Closing into shares of Common Stock (the “Conversion Proposal”), (ii) a new equity incentive plan in form reasonably agreed to by the parties (the “Equity Plan Proposal”), and (iii) if necessary and advisable, a reverse stock split in a ratio to be approved by Salarius’ board of directors (the “Reverse Stock Split Proposal” and together with the Conversion Proposal and the Equity Plan Proposal, the “Company Stockholder Matters”).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Agreement contains customary representations and warranties by each of Salarius and Decoy, as well as covenants relating to operating each respective business in the ordinary course prior to Merger Closing. The Merger Closing is conditioned upon, among other things, minimum proceeds from future offerings of at least $6.0 million (collectively, the “Qualified Financing”) and the continued listing of Salarius Common Stock on Nasdaq. On January 17, 2025, Nasdaq notified Salarius that the proposed transaction with Decoy constitutes a business combination that will result in a “Change of Control” pursuant to Listing Rule 5110(a) and, accordingly, the post-transaction entity will be required to satisfy all of Nasdaq’s initial listing criteria and to complete Nasdaq’s initial listing process, including the payment of all applicable fees. Salarius intends to commence the process prior to seeking the Company’s stockholder approval for the issuance of 20% or more of the Company’s pre-transaction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shares and must complete the process prior to the conversion of the preferred shares issued at the Merger Closing into shares of common stock of the Company.</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execution of the Merger Agreement, Salarius entered into stockholder support agreements (the “Salarius Support Agreements”) with certain of its officers and directors, who collectively own an aggregate of approximately 1.38% of the outstanding shares of the Common Stock. The Salarius Support Agreements provide that, among other things, each of the parties thereto has agreed to vote or cause to be voted all of the shares of Common Stock owned by such stockholder in favor of the Company Stockholder Matters at a special or annual meeting of Salarius’ stockholders to be held in connection therewith. In addition, Decoy officers and directors, in their capacities as stockholders of Decoy, entered into stockholder support agreements (the “Decoy Support Agreements”) with Decoy. The Decoy Support Agreements provide that, among other things, each of the parties thereto has agreed to vote or cause to be voted all of the shares of Common Stock owned by such stockholder in favor of the proposed Merger.</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Concurrently and in connection with the execution of the Merger Agreement, certain Decoy officers and directors, and certain of Salarius’ directors and officers entered into lock-up agreements with Salarius and Decoy, pursuant to which each such stockholder will be subject to a 180-day lockup on the sale or transfer of shares of Common Stock held by each such stockholder at the Merger Closing, including those shares received by Decoy stockholders in the Merger.</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entered into the Merger Agreement and intend to consummate the Merger, there is no assurance that we will be able to successfully consummate the Merger on a timely basis, or at all. If, for any reason, the Merger does not close, our board of directors may elect to, among other things, attempt to complete another strategic transaction like the Merger, attempt to sell or otherwise dispose of our various assets, resume our research and development activities and continue to operate our business or dissolve and liquidate our assets. If we decide to dissolve and liquidate our assets, we would be required to pay all of our debts and contractual obligations, and to set aside certain reserves for potential future claims, and there can be no assurances as to the amount or timing of available cash left, if any, to distribute to stockholders after paying our debts and other obligations and setting aside funds for reserves. If we were to continue our business, we would need to raise a substantial amount of cash to fund ongoing operations and future development activities for our existing product candidates and any new product candidates that we acquire.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Cancellation Agreement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2025, Salarius entered into a Warrant Cancellation Agreement (the “Warrant Cancellation Agreement”) with an accredited investor. Salarius previously issued to the investor a Series A-1 Common Stock Purchase Warrant to purchase 454,546 shares of its common stock pursuant to the offering described in Salarius’ Current Report on Form 8-K filed with the Securities and Exchange Commission (“SEC”) on May 16, 2023 (the “Warrant”). Pursuant to the Warrant Cancellation Agreement, on January 10, 2025, Salarius paid the investor an aggregate amount in cash of $350,000 in exchange for the surrender and cancellation of the Warrant.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ELOC Agreement</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12, 2024, Salarius entered into a securities purchase agreement (the “ELOC Agreement”) with C/M Capital Master Fund, LP (the “Purchaser”), pursuant to which Salarius, subject to the restrictions and satisfaction of the conditions in the ELOC Agreement, has the right, but not the obligation, to sell to the Purchaser, and the Purchaser is obligated to purchase, up to the lesser of (i) $10 million of newly issued shares (the “Purchase Shares”) of Salarius’ common stock and (ii) the Exchange Cap (as defined in the ELOC Agreement). As consideration for the Purchaser’s execution and delivery of the ELOC Agreement, Salarius has agreed to issue to the Purchaser, simultaneously with the delivery of any and all Purchase Shares purchased under the ELOC Agreement, a number of shares of Salarius common stock equal to one percent (1%) of the number of Purchase Shares actually sold in each sale under the ELOC Agreement.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Between January 13, 2025 and March 7, 2025, Salarius issued and sold 283,933 Purchase Shares to the Purchaser pursuant to the ELOC Agreement at a weighted average exercise price of $2.61 for an aggregate purchase price of $740,500. These issuances and sales were made following written notice delivered by Salarius to Investor, directing Investor to purchase the Purchase Shares. Salarius also issued 2,839 shares of its common stock to the Purchaser as commitment shares pursuant to the terms of the ELOC Agreement.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$81.9 million as of December 31, 2024. Substantially all of our operating losses resulted from expenses incurred in connection with our research and development programs and from general and administrative costs associated with our operations.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operation and clinical development activities and may need such additional capital sooner than 12 months. As of December 31, 2024, we had cash and cash equivalents of $2.4 million. Accordingly, we will need to raise substantial additional capital to continue to fund our operations beyond the later part of the second quarter of 2025. The amount and timing of our future funding requirements will depend on many factors, including the result of our strategic alternatives process, our ability to raise additional capital on commercially reasonable terms, the pace and results of clinical development activities, and market conditions. Failure to raise capital as and when needed, on favorable terms or at all, would have a negative impact on our financial condition and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 Notice</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April 23, 2025, we received written notice (the “Notice”) from The Nasdaq Stock Market LLC (“Nasdaq”) notifying us that we are not in compliance with Nasdaq listing rule 5550(a)(2) because the closing bid price of our common stock for the last 30 consecutive business days was lower than the minimum bid price requirement of $1.00 per share (the “Minimum Bid Price Requirement”). Normally, a company would be afforded a 180-calendar day period to demonstrate compliance with the Minimum Bid Price Requirement. However, pursuant to Nasdaq listing rule 5810(c)(3)(A)(iv), we are not eligible for any compliance period specified in Nasdaq listing rule 5810(c)(3)(A) because we effected a reverse stock split during the prior one-year period.</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as previously disclosed, on March 26, 2025, we received a letter from Nasdaq notifying us that, based on the financial statements contained in our Annual Report on Form 10-K for the year ended December 31, 2024, we are no longer complied with the requirement under Nasdaq Listing Rule 5550(b)(1) to maintain a minimum of $ 2.5 million in stockholders’ equity for continued listing on The Nasdaq Capital Market (the “Equity Standard”). The letter indicated that we had until May 12, 2025 to either regain compliance with the Equity Standard or submit a plan to Nasdaq to regain compliance with the Equity Standard (a “Compliance Plan”). However, pursuant to Nasdaq listing rule 5810(d)(2), our failure to comply with the Minimum Bid Price Requirement served as a separate and additional reason for delisting and, as such, the Notice indicated that Nasdaq will not entertain a Compliance Plan, and we should also address our noncompliance with the Equity Standard before a Hearings Panel if we appeal Nasdaq’s determination.</w:t>
      </w:r>
    </w:p>
    <w:p>
      <w:pPr>
        <w:jc w:val="both"/>
        <w:spacing w:after="0" w:line="255" w:lineRule="auto"/>
        <w:rPr>
          <w:sz w:val="20"/>
          <w:szCs w:val="20"/>
          <w:color w:val="auto"/>
        </w:rPr>
      </w:pPr>
      <w:r>
        <w:rPr>
          <w:rFonts w:ascii="Arial" w:cs="Arial" w:eastAsia="Arial" w:hAnsi="Arial"/>
          <w:sz w:val="18"/>
          <w:szCs w:val="18"/>
          <w:color w:val="auto"/>
        </w:rPr>
        <w:t>Accordingly, unless we requested an appeal of the delisting determination by April 30, 2025, Nasdaq had determined that our securities will be scheduled for delisting from The Nasdaq Capital Market and would have been suspended at the opening of business on May 2, 2025. In addition, a Form 25-NSE would have been filed with the Securities and Exchange Commission (the “SEC”), which would have removed our securities from listing and registration on The Nasdaq Stock Market.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appealed the delisting determination on or before April 30, 2025 by requesting an appeal with a Nasdaq Hearings Panel (the “Hearings Panel”). The request for an appeal stayed the suspension of our securities and the filing of the Form 25-NSE pending the Hearings Panel’s decision. We intend to present our plans to regain compliance with the Minimum Bid Price Requirement and the Equity Standard in connection with our planned merger transaction with Decoy Therapeutics Inc. However, there are no assurances a favorable decision from the Hearing Panel will be obtained or that our securities will remain listed on The Nasdaq Capital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2025 Compared to the Three months ended March 31, 2024</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March 31, 2025 compared to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920" w:type="dxa"/>
        <w:tblCellMar>
          <w:top w:w="0" w:type="dxa"/>
          <w:left w:w="0" w:type="dxa"/>
          <w:bottom w:w="0" w:type="dxa"/>
          <w:right w:w="0" w:type="dxa"/>
        </w:tblCellMar>
      </w:tblPr>
      <w:tr>
        <w:trPr>
          <w:trHeight w:val="247"/>
        </w:trPr>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1"/>
                <w:szCs w:val="21"/>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53"/>
        </w:trPr>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75,532</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243,002</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(167,470)</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1,643,163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1,528,613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114,550</w:t>
            </w: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Interest income, net and other</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9,162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(47,163)</w:t>
            </w: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1,709,533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1,715,290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(5,757)</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decreased during the three months ended March 31, 2025 compared to the same period in 2024 primarily related to the cost-savings plan implemented in the third quarter of 2023 which included a significant reduction in operating personnel.Lower research and development expenses will continue in 2025 as we have curtailed our sponsored clinical trials and intend to rely on clinical trial data from the investigator-initiated clinical trial conducted by MD Anderson Cancer Center before assessing next steps in our clinical development plans.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line="249" w:lineRule="auto"/>
        <w:rPr>
          <w:sz w:val="20"/>
          <w:szCs w:val="20"/>
          <w:color w:val="auto"/>
        </w:rPr>
      </w:pPr>
      <w:r>
        <w:rPr>
          <w:rFonts w:ascii="Arial" w:cs="Arial" w:eastAsia="Arial" w:hAnsi="Arial"/>
          <w:sz w:val="18"/>
          <w:szCs w:val="18"/>
          <w:b w:val="1"/>
          <w:bCs w:val="1"/>
          <w:color w:val="auto"/>
        </w:rPr>
        <w:t>Research and development costs by candidates and by categories:</w:t>
      </w:r>
    </w:p>
    <w:p>
      <w:pPr>
        <w:spacing w:after="0" w:line="3" w:lineRule="exact"/>
        <w:rPr>
          <w:sz w:val="20"/>
          <w:szCs w:val="20"/>
          <w:color w:val="auto"/>
        </w:rPr>
      </w:pPr>
    </w:p>
    <w:p>
      <w:pPr>
        <w:ind w:left="20" w:right="540"/>
        <w:spacing w:after="0" w:line="289" w:lineRule="auto"/>
        <w:rPr>
          <w:sz w:val="20"/>
          <w:szCs w:val="20"/>
          <w:color w:val="auto"/>
        </w:rPr>
      </w:pPr>
      <w:r>
        <w:rPr>
          <w:rFonts w:ascii="Arial" w:cs="Arial" w:eastAsia="Arial" w:hAnsi="Arial"/>
          <w:sz w:val="18"/>
          <w:szCs w:val="18"/>
          <w:color w:val="auto"/>
        </w:rPr>
        <w:t>Outsourced research and development costs Manufacturing and laboratory costs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research and development costs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gridSpan w:val="4"/>
          </w:tcPr>
          <w:p>
            <w:pPr>
              <w:spacing w:after="0"/>
              <w:rPr>
                <w:sz w:val="20"/>
                <w:szCs w:val="20"/>
                <w:color w:val="auto"/>
              </w:rPr>
            </w:pPr>
            <w:r>
              <w:rPr>
                <w:rFonts w:ascii="Arial" w:cs="Arial" w:eastAsia="Arial" w:hAnsi="Arial"/>
                <w:sz w:val="18"/>
                <w:szCs w:val="18"/>
                <w:b w:val="1"/>
                <w:bCs w:val="1"/>
                <w:color w:val="auto"/>
                <w:w w:val="99"/>
              </w:rPr>
              <w:t>SP-2577</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SP-3164</w:t>
            </w:r>
          </w:p>
        </w:tc>
        <w:tc>
          <w:tcPr>
            <w:tcW w:w="10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8"/>
        </w:trPr>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218"/>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44,785</w:t>
            </w:r>
          </w:p>
        </w:tc>
        <w:tc>
          <w:tcPr>
            <w:tcW w:w="2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140,846</w:t>
            </w:r>
          </w:p>
        </w:tc>
        <w:tc>
          <w:tcPr>
            <w:tcW w:w="2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36,537</w:t>
            </w:r>
          </w:p>
        </w:tc>
      </w:tr>
      <w:tr>
        <w:trPr>
          <w:trHeight w:val="235"/>
        </w:trPr>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21,037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50,349</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54,495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156,116</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21,037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86,886</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140" w:space="260"/>
            <w:col w:w="6840"/>
          </w:cols>
          <w:pgMar w:left="320" w:top="274"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 and administrative expenses were $1.6 million during the three months ended March 31, 2025, compared to $1.5 million for the three months ended March 31, 2024. The increase is related to higher professional expense associated with the Merger that offset by personnel cost, insurance expense, and facility costs.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We have not generated any cash inflows from product sales. We do not know when, or if, we will generate any revenue from product sales. We do not expect to generate any revenue from product sales unless and until we obtain regulatory approval for and commercializes any of our product candidates, all of which are in early stages of development. We have curtailed expenses and plan to use our two remaining full time employees and consultants to continue our operations.</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March 31, 2025, cash and cash equivalents totaled $1.8 million, which were held in bank deposit accounts and a money market account. Working capital totaled $0.03 million as of March 31, 2025. Our cash and cash equivalents balance decreased during the three months ended March 31, 2025, primarily due to cash used in operating activities offsetting buy the cash received from financing activities.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We believe that our $1.8 million in cash and cash equivalents on hand as of March 31, 2025 is sufficient to fund our current and restructured operations into the later part of the second quarter of 2025. Our stockholders' equity balance was $0.1 million </w:t>
      </w:r>
      <w:r>
        <w:rPr>
          <w:rFonts w:ascii="Times New Roman" w:cs="Times New Roman" w:eastAsia="Times New Roman" w:hAnsi="Times New Roman"/>
          <w:sz w:val="18"/>
          <w:szCs w:val="18"/>
          <w:color w:val="auto"/>
        </w:rPr>
        <w:t>at</w:t>
      </w:r>
      <w:r>
        <w:rPr>
          <w:rFonts w:ascii="Arial" w:cs="Arial" w:eastAsia="Arial" w:hAnsi="Arial"/>
          <w:sz w:val="18"/>
          <w:szCs w:val="18"/>
          <w:color w:val="auto"/>
        </w:rPr>
        <w:t xml:space="preserve"> March 31, 2025. If for any</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reason the Merger does not close in the next few months, we would need to raise additional capital to continue to fund the further development of product candidates and our operations. If we are unable to maintain sufficient financial resources, our business, financial condition and results of operations will be materially and adversely affected. Additionally, equity or debt financings may have a dilutive effect on the holdings of our existing stockholders. We have curtailed expenses and plan to use our two remaining full time employees and consultants to continue our operations. As a result, if we are unable to complete the Merger in the next few months, we will likely need to conduct a wind down of our operations.</w:t>
      </w:r>
    </w:p>
    <w:p>
      <w:pPr>
        <w:sectPr>
          <w:pgSz w:w="11900" w:h="16838" w:orient="portrait"/>
          <w:cols w:equalWidth="0" w:num="1">
            <w:col w:w="11240"/>
          </w:cols>
          <w:pgMar w:left="320" w:top="2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48"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2024</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400" w:type="dxa"/>
            <w:vAlign w:val="bottom"/>
            <w:shd w:val="clear" w:color="auto" w:fill="CCEEFF"/>
          </w:tcPr>
          <w:p>
            <w:pPr>
              <w:jc w:val="center"/>
              <w:ind w:right="449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(1,181,714)</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(1,353,955)</w:t>
            </w:r>
          </w:p>
        </w:tc>
      </w:tr>
      <w:tr>
        <w:trPr>
          <w:trHeight w:val="229"/>
        </w:trPr>
        <w:tc>
          <w:tcPr>
            <w:tcW w:w="6400" w:type="dxa"/>
            <w:vAlign w:val="bottom"/>
            <w:tcBorders>
              <w:bottom w:val="single" w:sz="8" w:color="CCEEFF"/>
            </w:tcBorders>
          </w:tcPr>
          <w:p>
            <w:pPr>
              <w:jc w:val="center"/>
              <w:ind w:right="4430"/>
              <w:spacing w:after="0"/>
              <w:rPr>
                <w:sz w:val="20"/>
                <w:szCs w:val="20"/>
                <w:color w:val="auto"/>
              </w:rPr>
            </w:pPr>
            <w:r>
              <w:rPr>
                <w:rFonts w:ascii="Arial" w:cs="Arial" w:eastAsia="Arial" w:hAnsi="Arial"/>
                <w:sz w:val="18"/>
                <w:szCs w:val="18"/>
                <w:color w:val="auto"/>
                <w:w w:val="99"/>
              </w:rPr>
              <w:t>Financing activities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545,566</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(172,750)</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(636,148)</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(1,526,705)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was $1.2 million in the current period, a decrease of approximately $0.2 million from the same period a</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year ago. The decrease is primarily due to lower operating expenses during the current period compared to the same period last year, and higher accounts payable and accrued expenses balances in the current period.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financing activities for the three months ended March 31, 2025 was $0.5 million, mainly resulting from the Company's sale of common shares under the ATM and ELOC program offset by the repayments on notes payable for D&amp;O insurance. Net cash used by financing activities for the three months ended March 31, 2024 was $(0.2) million, mainly resulting from the Company's repayments on notes payable for D&amp;O insurance.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21, 2025.</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Readers should refer to our Annual Report on Form 10-K, Note 2, Basis of Presentation and Significant Accounting Policies to the accompanying financial statements for descriptions of these policies and estimates.</w:t>
      </w: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2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March 31, 2025.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2025, our principal executive officer and principal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2025, there was no significant change in our internal control over financial reporting that has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46"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23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Except as set forth below, there have been no material changes in our risk factors set forth in Part I, “ Item 1A. Risk Factors” in our 2024 Form 10-K. The risk factors disclosed in Part I, “ Item 1A. Risk Factors” in our 2024 Form 10-K as supplemented by the risk factors below could materially adversely affect our business, financial condition, or results of operations. This Quarterly Report on Form 10-Q also contains forward-looking statements that involve risks and uncertainties. Our actual results could differ materially from those anticipated in these forward-looking statements as a result of certain factors, including these risks. Additional risks not currently known or currently material to us may also harm our business.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a Qualified Financing and the Merger are not completed in the next few months, Salarius will not be able to otherwise source adequate liquidity to fund its operations, meet its obligations, and continue as a going concern. Salarius’ board of directors will likely decide to pursue a dissolution and liquidation of Salarius. In such an event, there can be no assurances as to the amount or timing of available cash left, if any, to distribute to its stockholders after paying its debts and other obligations and setting aside funds for reserves.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Salarius has entered into the Merger Agreement with Decoy, the Merger Closing may be further delayed or may not occur at all and there can be no assurance that the Merger will deliver the anticipated benefits Salarius expects or enhance stockholder value. If the Merger is not completed and the Merger Agreement is terminated under certain circumstances, Salarius may be required to pay Decoy a termination fee of $ 300,000. Even if a termination fee is not payable in connection with a termination of the Merger Agreement, Salarius will have incurred significant fees and expenses, which must be paid whether or not the Merger is completed.</w:t>
      </w:r>
    </w:p>
    <w:p>
      <w:pPr>
        <w:spacing w:after="0" w:line="2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Salarius does not currently have adequate financial resources to fund its forecasted operating costs for at least twelve months from the filing of this prospectus. As of March 31, 2025, Salarius’ cash and cash equivalents totaled approximately $ 1.8 million, which were held in bank deposit accounts and a money market account. As of As a result, Salarius believes its existing cash resources are sufficient to meet its anticipated needs into the later part of the second quarter of 2025. If for any reason the Merger does not close in the next few months, Salarius would need to raise additional capital to continue to fund the further development of its product candidates and its operations thereafter. Salarius has based its cash sufficiency estimates on its current business plan and its assumptions may prove to be wrong. Salarius could utilize its available capital resources sooner than it currently expects, and it could need additional funding sooner than currently anticipated. Additionally, the process of advancing early stage product candidates and testing product candidates in clinical trials is costly, and the timing of progress in these clinical trials is uncertain. Even if Salarius raises sufficient funds and decides to continue the development of its product candidates, its ability to successfully transition to profitability will be dependent upon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achieving a level of product sales adequate to support its cost structure. Salarius cannot assure you that it will ever be profitable or generate positive cash flow from operating activities.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Failure to secure any necessary financing in a timely manner and on favorable terms or the failure of the proposed Merger to be consummated in a timely manner would require Salarius to further delay or abandon any potential future clinical development plans. If, for any reason, the Merger does not close, the Salarius board of directors may elect to, among other things, attempt to complete another strategic transaction like the Merger, attempt to sell or otherwise dispose of the various assets of Salarius, resume its research and development activities and continue to operate the business of Salarius. Any of these alternatives would be costly and time-consuming and would require that Salarius obtain additional funding. Salarius expects that it would be difficult to secure financing in a timely manner, on favorable terms or at all. Salarius can make no assurances that it would be able to obtain additional financing or find a partner and close an alternative transaction on terms that are as favorable or more favorable than the terms set forth in the Merger Agreement or that any such alternatives are possible or would be successful, if pursued. To the extent that Salarius seeks and is able to raise additional capital through the sale of equity or convertible debt securities, Salarius’ stockholders’ ownership interest will be diluted, and the terms of these securities may include liquidation or other preferences that adversely affect their rights as a common stockholder. Debt financing or preferred equity financing, if available, may involve agreements that include covenants limiting or restricting Salarius’ ability to take specific actions, such as incurring additional debt, making capital expenditures or declaring dividends. If Salarius raises funds through strategic transactions or marketing, distribution, or licensing arrangements with third parties, Salarius may have to relinquish valuable rights to its technologies, future revenue streams, research programs or product candidates or to grant licenses on terms that may not be favorable to it. Even if Salarius is able to pursue such alternatives, the failure to complete the Merger may result in negative publicity and/or a negative impression of Salarius in the investment community, could significantly harm the market price of Salarius common stock and may affect Salarius’ relationship with employees and other partners in the business community.</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the Salarius board of directors were to decide to dissolve and liquidate Salarius’ assets, Salarius would be required to pay all of its debts and contractual obligations, and to set aside certain reserves for potential future claims, and there can be no assurances as to the amount or timing of available cash left, if any, to distribute to stockholders after paying its debts and other obligations and setting aside funds for reserves. In addition, Salarius may be subject to litigation or other claims related to a dissolution and liquidation. If a dissolution and liquidation were pursued, the Salarius board of directors, in consultation with its advisors, would need to evaluate these matters and make a determination about a reasonable amount to reserve. Accordingly, Salarius’ stockholders would likely lose all or a significant portion of their investment in the event of a liquidation, dissolution or winding up of Salarius.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does not believe that its current expenses are indicative of the costs it may incur in the future in connection with the development and commercialization of any product candidate if it consummates the Merger or raises additional capital to continue its operations. Salarius’ future funding requirements will depend on many factors, including:</w:t>
      </w:r>
    </w:p>
    <w:p>
      <w:pPr>
        <w:spacing w:after="0" w:line="20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its ability to consummate the Merger with Decoy;</w:t>
      </w:r>
    </w:p>
    <w:p>
      <w:pPr>
        <w:spacing w:after="0" w:line="17"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the scope, rate of progress and cost of its preclinical and clinical trials for any product candidate in its future pipeline and results of future clinical trials;</w:t>
      </w:r>
    </w:p>
    <w:p>
      <w:pPr>
        <w:ind w:left="660" w:hanging="328"/>
        <w:spacing w:after="0" w:line="217" w:lineRule="auto"/>
        <w:tabs>
          <w:tab w:leader="none" w:pos="6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the cost and timing of regulatory filings and approvals for any product candidates that successfully complete clinical trials;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the timing and nature of any strategic transactions that Salarius undertakes, including potential partnerships;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the effect of competing technological and market developments;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the cost incurred in responding to actions by activist stockholders; and</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18"/>
          <w:szCs w:val="18"/>
          <w:color w:val="auto"/>
        </w:rPr>
        <w:t>the cost of filing, prosecuting, defending and enforcing its intellectual property rights.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amounts available under Salarius’ shelf registration statement on Form S-3 will be significantly limited as long as Salarius’ public float remains below $ 75 million, which, given its currently depressed stock price, limits its ability to obtain meaningful funding through a shelf registration statement at this time, although Salarius could still raise funds through a registration statement on Form S-1 or through private placements.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such, there is uncertainty regarding Salarius’ ability to maintain liquidity sufficient to operate its business effectively, which raises substantial doubt about its ability to continue as a going concern.</w:t>
      </w:r>
    </w:p>
    <w:p>
      <w:pPr>
        <w:spacing w:after="0" w:line="16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Salarius’ common stock is subject to delisting from Nasdaq, which would seriously harm the liquidity of Salarius’ common stock and its ability to raise capital or complete a strategic transaction.</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Salarius’ common stock is currently listed on the Nasdaq Capital Market (“Nasdaq”). To maintain its listing on Nasdaq, Salarius is required to maintain: (i) a minimum bid price of $1.00 per share; (ii) a market value of publicly held securities of $1 million; (iii) a certain number of round lot stockholders; and (iv) one of the following: a net income from continuing operations (in the latest fiscal year or two of the three last fiscal years) of at least $500,000, a market value of listed securities of at least $35 million or a stockholders’ equity of at least $2.5 million (the “Stockholders’ Equity Requirement”). Nasdaq has the authority to delist Salarius’ common stock if Salarius fails to maintain these minimum requirements. In addition, Nasdaq may delist Salarius if, based on Nasdaq’s review of Salarius’ operations and pursuant to Nasdaq Listing Rule 5101, Nasdaq believes that Salarius is a “public shell” and that the continued listing of its securities is no longer warranted. Salarius has no current plans to delist its shares of common stock from Nasdaq. However, following the decision to close the clinical development of seclidemstat for Ewing sarcoma, Salarius may be treated as a public shell under Nasdaq rules. Although Nasdaq evaluates whether a listed company is a public shell company based on a facts and circumstances determination, a Nasdaq-listed company with no or nominal operations and either no or nominal assets, assets consisting solely of cash and cash equivalents, or assets consisting of any amount of cash and cash equivalents and nominal other assets is generally considered to be a public shell company. Listed companies determined to be public shell companies by Nasdaq may be subject to delisting proceedings or additional and more stringent listing criteria.</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April 23, 2025, Salarius received written notice (the “Notice”) from The Nasdaq Stock Market LLC (“Nasdaq”) notifying the Company that it is not in compliance with Nasdaq listing rule 5550(a)(2) because the closing bid price of the Company’s common stock for the last 30 consecutive business days was lower than the minimum bid price requirement of $1.00 per share (the “Minimum Bid Price Requirement”). Normally, a company would be afforded a 180-calendar day period to demonstrate compliance with the Minimum Bid Price Requirement. However, pursuant to Nasdaq listing rule 5810(c)(3)(A)(iv), the Company is not eligible for any compliance period specified in Nasdaq listing rule 5810(c)(3)(A) because the Company has effected a reverse stock split during the prior one-year period.</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as previously disclosed, on March 26, 2025, the Company received a letter from Nasdaq notifying the Company that, based on the financial statements contained in its Annual Report on Form 10-K for the year ended December 31, 2024, the Company no longer complied with the requirement under Nasdaq Listing Rule 5550(b)(1) to maintain a minimum of $2.5 million in stockholders’ equity for continued listing on The Nasdaq Capital Market (the “Equity Standard”). The letter indicated that the Company had until May 12, 2025 to either regain compliance with the Equity Standard or submit a plan to Nasdaq to regain compliance with the Equity Standard (a “Compliance Plan”). However, pursuant to Nasdaq listing rule 5810(d)(2), the Company’s failure to comply with the Minimum Bid Price Requirement serves as a separate and additional reason for delisting and, as such, the Notice indicates that Nasdaq will not entertain a Compliance Plan, and the Company should also address the Company’s noncompliance with the Equity Standard before a Hearings Panel if the Company appeals Nasdaq’s determination.</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Accordingly, unless the Company requested an appeal of the delisting determination by April 30, 2025, Nasdaq had determined that the Company’s securities would have been scheduled for delisting from The Nasdaq Capital Market and suspended at the opening of business on May 2, 2025. In addition, a Form 25-NSE would have been filed with the Securities and Exchange Commission (the “SEC”), which would have removed the Company’s securities from listing and registration on The Nasdaq Stock Market.</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appealed the delisting determination on or before April 30, 2025 by requesting an appeal with a Nasdaq Hearings Panel (the “Hearings Panel”). The request for an appeal stayed the suspension of the Company’s securities and the filing of the Form 25-NSE pending the Hearings Panel’s decision. The Company intends to present its plans to regain compliance with the Minimum Bid Price Requirement and the Equity Standard in connection with the Company’s planned merger transaction with Decoy Therapeutics Inc. However, there are no assurances a favorable decision from the Hearing Panel will be obtained or that the Company’s securities will remain listed on The Nasdaq Capital Market.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Salarius’ common stock is delisted from Nasdaq, whether because Nasdaq determines Salarius is a “public shell” or Salarius fails to maintain compliance with the continued listed requirements, or otherwise, Salarius’ securities may qualify for trading over-the-counter (“OTC”), in the United States on a market colloquially referred to as the “Pink Sheets.” Securities quoted on OTC are generally subject to lesser requirements than securities listed for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trading on a U.S. national stock exchange, such as Nasdaq, including reduced corporate governance and public reporting standards. If Nasdaq should delist Salarius’ common stock from trading, a reduction in some or all of the following may occur, each of which could have a material adverse effect on holders of Salarius’ common stock: the liquidity of the common stock; the market price of the common stock; the number of institutional and general investors that will consider investing in the common stock; the number of investors in general that will consider investing in the common stock; the number of market makers in the common stock; the availability of information concerning the trading prices and volume of the common stock; and the number of broker-dealers willing to execute trades in the common stock. In addition to the foregoing, there are certain consequences under the Securities Act of 1933, as amended (the “Securities Act”), of being a public shell company, including the unavailability of Rule 144 thereunder for the resale of restricted securities and the inability to utilize Form S-8 for the registration of employee benefit plan securities.</w:t>
      </w:r>
    </w:p>
    <w:p>
      <w:pPr>
        <w:spacing w:after="0" w:line="191"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In addition, if Salarius ceases to be eligible to trade on Nasdaq, Salarius may have to pursue trading on a less recognized or accepted market, such as the over the counter markets, Salarius’ stock may be traded as a “penny stock” which would make transactions in Salarius stock more difficult and cumbersome, and Salarius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Salarius’ common stock to further decline.</w:t>
      </w:r>
    </w:p>
    <w:p>
      <w:pPr>
        <w:spacing w:after="0" w:line="260"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3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212529"/>
        </w:rPr>
        <w:t>On December 12, 2024, Salarius entered into a securities purchase agreement (the “ELOC Agreement”) with C/M Capital Master Fund, LP (the “Purchaser”), pursuant to which Salarius, subject to the restrictions and satisfaction of the conditions in the ELOC Agreement, has the right, but not the obligation, to sell to the Purchaser, and the Purchaser is obligated to purchase, up to the lesser of (i) $10 million of newly issued shares (the “Purchase Shares”) of Salarius’ common stock and (ii) the Exchange Cap (as defined in the ELOC Agreement). As consideration for the Purchaser’s execution and delivery of the ELOC Agreement, Salarius has agreed to issue to the Purchaser, simultaneously with the delivery of any and all Purchase Shares purchased under the ELOC Agreement, a number of shares of Salarius common stock equal to one percent (1%) of the number of Purchase Shares actually sold in each sale under the ELOC Agreement.</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12529"/>
        </w:rPr>
        <w:t>In the Purchase Agreement, the Purchaser represented to the Company, among other things, that it is an “accredited investor” (as such term is defined in Rule 501(a)(3) of Regulation D promulgated under the Securities Act of 1933, as amended (the “Securities Act”)). The securities are being issued and sold by the Company to the Purchaser in reliance upon the exemptions from the registration requirements of the Securities Act afforded by Section 4(a)(2) of the Securities Act and Rule 506(b) of Regulation D promulgated thereunder. The securities may not be offered or sold in the United States absent registration or an applicable exemption from registration requirements.</w:t>
      </w:r>
    </w:p>
    <w:p>
      <w:pPr>
        <w:spacing w:after="0" w:line="2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212529"/>
        </w:rPr>
        <w:t>Between January 13, 2025 and March 7, 2025, Salarius issued and sold 283,933 Purchase Shares to the Purchaser pursuant to the ELOC Agreement at a weighted average exercise price of $2.61 for an aggregate purchase price of $740,500. These issuances and sales were made following written notice delivered by Salarius to Investor, directing Investor to purchase the Purchase Shares. Salarius also issued 2,839 shares of its common stock to the Purchaser as commitment shares pursuant to the terms of the ELOC Agreement.</w:t>
      </w:r>
    </w:p>
    <w:p>
      <w:pPr>
        <w:spacing w:after="0" w:line="19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212529"/>
        </w:rPr>
        <w:t>Other than as described above or as previously disclosed on our Current Reports on Form 8-K or Quarterly Reports on Form 10-Q filed with the SEC, we did not issue any unregistered equity securities during the three months ended March 31, 2025.</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212529"/>
        </w:rPr>
        <w:t>None.</w:t>
      </w:r>
    </w:p>
    <w:p>
      <w:pPr>
        <w:spacing w:after="0" w:line="27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212529"/>
        </w:rPr>
        <w:t>Not Applicable</w:t>
      </w:r>
    </w:p>
    <w:p>
      <w:pPr>
        <w:spacing w:after="0" w:line="293"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35"/>
          </w:tcPr>
          <w:p>
            <w:pPr>
              <w:ind w:left="2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25"/>
            <w:vMerge w:val="restart"/>
          </w:tcPr>
          <w:p>
            <w:pPr>
              <w:ind w:left="2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6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80" w:type="dxa"/>
            <w:vAlign w:val="bottom"/>
            <w:tcBorders>
              <w:bottom w:val="single" w:sz="8" w:color="auto"/>
            </w:tcBorders>
            <w:gridSpan w:val="2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tcBorders>
              <w:bottom w:val="single" w:sz="8" w:color="0000FF"/>
            </w:tcBorders>
            <w:gridSpan w:val="26"/>
          </w:tcPr>
          <w:p>
            <w:pPr>
              <w:spacing w:after="0"/>
              <w:rPr>
                <w:rFonts w:ascii="Arial" w:cs="Arial" w:eastAsia="Arial" w:hAnsi="Arial"/>
                <w:sz w:val="18"/>
                <w:szCs w:val="18"/>
                <w:color w:val="0000FF"/>
                <w:w w:val="99"/>
              </w:rPr>
            </w:pPr>
            <w:hyperlink r:id="rId42">
              <w:r>
                <w:rPr>
                  <w:rFonts w:ascii="Arial" w:cs="Arial" w:eastAsia="Arial" w:hAnsi="Arial"/>
                  <w:sz w:val="18"/>
                  <w:szCs w:val="18"/>
                  <w:color w:val="0000FF"/>
                  <w:w w:val="99"/>
                </w:rPr>
                <w:t>Agreement and Plan of Merger, dated as of January 10, 2025, by and among the Registrant, Decoy Therapeutics Inc.,</w:t>
              </w:r>
            </w:hyperlink>
          </w:p>
        </w:tc>
        <w:tc>
          <w:tcPr>
            <w:tcW w:w="2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33"/>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Decoy Therapeutics MergerSub I, Inc. and Decoy Therapeutics MergerSub II, LLL. (incorporated by reference to Exhibit</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with the SEC on January 13,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rPr>
            </w:pPr>
            <w:hyperlink r:id="rId43">
              <w:r>
                <w:rPr>
                  <w:rFonts w:ascii="Arial" w:cs="Arial" w:eastAsia="Arial" w:hAnsi="Arial"/>
                  <w:sz w:val="18"/>
                  <w:szCs w:val="18"/>
                  <w:color w:val="0000FF"/>
                </w:rPr>
                <w:t>Amended and Restated Certificate of Incorporation of the Registrant, incorporated by reference to Exhibit 3.1 of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Form 8-K filed on February 9, 2015</w:t>
              </w:r>
            </w:hyperlink>
          </w:p>
        </w:tc>
        <w:tc>
          <w:tcPr>
            <w:tcW w:w="63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3"/>
        </w:trPr>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FF"/>
              </w:rPr>
            </w:pPr>
            <w:hyperlink r:id="rId44">
              <w:r>
                <w:rPr>
                  <w:rFonts w:ascii="Arial" w:cs="Arial" w:eastAsia="Arial" w:hAnsi="Arial"/>
                  <w:sz w:val="18"/>
                  <w:szCs w:val="18"/>
                  <w:color w:val="0000FF"/>
                </w:rPr>
                <w:t>Certificate of Amendment to the Amended and Restated Certificate of Incorporation of the Registrant filed with the</w:t>
              </w:r>
            </w:hyperlink>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6"/>
          </w:tcPr>
          <w:p>
            <w:pPr>
              <w:spacing w:after="0" w:line="162" w:lineRule="exact"/>
              <w:rPr>
                <w:rFonts w:ascii="Arial" w:cs="Arial" w:eastAsia="Arial" w:hAnsi="Arial"/>
                <w:sz w:val="18"/>
                <w:szCs w:val="18"/>
                <w:color w:val="0000FF"/>
              </w:rPr>
            </w:pPr>
            <w:hyperlink r:id="rId44">
              <w:r>
                <w:rPr>
                  <w:rFonts w:ascii="Arial" w:cs="Arial" w:eastAsia="Arial" w:hAnsi="Arial"/>
                  <w:sz w:val="18"/>
                  <w:szCs w:val="18"/>
                  <w:color w:val="0000FF"/>
                </w:rPr>
                <w:t>Secretary of State of Delaware on July 18, 2019, incorporated by reference to Exhibit 3.1 of the Form 8-K filed on</w:t>
              </w:r>
            </w:hyperlink>
          </w:p>
        </w:tc>
        <w:tc>
          <w:tcPr>
            <w:tcW w:w="560" w:type="dxa"/>
            <w:vAlign w:val="bottom"/>
            <w:gridSpan w:val="17"/>
          </w:tcPr>
          <w:p>
            <w:pPr>
              <w:spacing w:after="0" w:line="162" w:lineRule="exact"/>
              <w:rPr>
                <w:rFonts w:ascii="Arial" w:cs="Arial" w:eastAsia="Arial" w:hAnsi="Arial"/>
                <w:sz w:val="18"/>
                <w:szCs w:val="18"/>
                <w:color w:val="0000FF"/>
              </w:rPr>
            </w:pPr>
            <w:hyperlink r:id="rId44">
              <w:r>
                <w:rPr>
                  <w:rFonts w:ascii="Arial" w:cs="Arial" w:eastAsia="Arial" w:hAnsi="Arial"/>
                  <w:sz w:val="18"/>
                  <w:szCs w:val="18"/>
                  <w:color w:val="0000FF"/>
                </w:rPr>
                <w:t>July</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22, 2019</w:t>
              </w:r>
            </w:hyperlink>
          </w:p>
        </w:tc>
        <w:tc>
          <w:tcPr>
            <w:tcW w:w="10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rPr>
            </w:pPr>
            <w:hyperlink r:id="rId45">
              <w:r>
                <w:rPr>
                  <w:rFonts w:ascii="Arial" w:cs="Arial" w:eastAsia="Arial" w:hAnsi="Arial"/>
                  <w:sz w:val="18"/>
                  <w:szCs w:val="18"/>
                  <w:color w:val="0000FF"/>
                </w:rPr>
                <w:t>Certificate of Amendment to the Amended and Restated Certificate of Incorporation filed with the Secretary of State of</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Delaware on October 14, 2022, incorporated by reference to Exhibit 3.1 of the Form 8-K filed on October 14, 2022</w:t>
              </w:r>
            </w:hyperlink>
          </w:p>
        </w:tc>
        <w:tc>
          <w:tcPr>
            <w:tcW w:w="3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Amended and Restated Bylaws of the Registrant, effective July 19, 2019, incorporated by reference to Exhibit 3.2 of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Form 8-K filed on July 22, 2019</w:t>
              </w:r>
            </w:hyperlink>
          </w:p>
        </w:tc>
        <w:tc>
          <w:tcPr>
            <w:tcW w:w="700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Amendment to Amended and Restated Bylaws of the Registrant, effective April 1, 2022, incorporated by reference to</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Exhibit 3.1 of the Form 8-K filed on April 1, 2022</w:t>
              </w:r>
            </w:hyperlink>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rPr>
            </w:pPr>
            <w:hyperlink r:id="rId48">
              <w:r>
                <w:rPr>
                  <w:rFonts w:ascii="Arial" w:cs="Arial" w:eastAsia="Arial" w:hAnsi="Arial"/>
                  <w:sz w:val="18"/>
                  <w:szCs w:val="18"/>
                  <w:color w:val="0000FF"/>
                </w:rPr>
                <w:t>Certificate of Amendment to the Amended and Restated Certificate of Incorporation of Salarius Pharmaceuticals, Inc.,</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effective June 14, 2024, incorporated by reference to Exhibit 3.1 of the Form 8-K filed on June 14, 2024</w:t>
              </w:r>
            </w:hyperlink>
          </w:p>
        </w:tc>
        <w:tc>
          <w:tcPr>
            <w:tcW w:w="112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rPr>
            </w:pPr>
            <w:hyperlink r:id="rId49">
              <w:r>
                <w:rPr>
                  <w:rFonts w:ascii="Arial" w:cs="Arial" w:eastAsia="Arial" w:hAnsi="Arial"/>
                  <w:sz w:val="18"/>
                  <w:szCs w:val="18"/>
                  <w:color w:val="0000FF"/>
                </w:rPr>
                <w:t>Form of Certificate of Designation of Series A Non-Voting Convertible Preferred Stock (incorporated by reference to</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Exhibit 4.1 to the Registrant’s Current Report on Form 8-K filed with the SEC on January 13, 2025)</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rPr>
            </w:pPr>
            <w:hyperlink r:id="rId50">
              <w:r>
                <w:rPr>
                  <w:rFonts w:ascii="Arial" w:cs="Arial" w:eastAsia="Arial" w:hAnsi="Arial"/>
                  <w:sz w:val="18"/>
                  <w:szCs w:val="18"/>
                  <w:color w:val="0000FF"/>
                </w:rPr>
                <w:t>Form of Salarius Support Agreement (incorporated by reference to Exhibit 10.1 to the Registrant’s Current Report on</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Form 8-K filed with the SEC on January 13, 2025).</w:t>
              </w:r>
            </w:hyperlink>
          </w:p>
        </w:tc>
        <w:tc>
          <w:tcPr>
            <w:tcW w:w="5240" w:type="dxa"/>
            <w:vAlign w:val="bottom"/>
            <w:tcBorders>
              <w:top w:val="single" w:sz="8" w:color="0000FF"/>
            </w:tcBorders>
            <w:gridSpan w:val="11"/>
          </w:tcPr>
          <w:p>
            <w:pPr>
              <w:spacing w:after="0"/>
              <w:rPr>
                <w:sz w:val="13"/>
                <w:szCs w:val="13"/>
                <w:color w:val="auto"/>
              </w:rPr>
            </w:pPr>
          </w:p>
        </w:tc>
        <w:tc>
          <w:tcPr>
            <w:tcW w:w="14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Form of Decoy Support Agreement (incorporated by reference to Exhibit 10.2 to the Registrant’s Current Report on Form</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8-K filed with the SEC on January 13,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rPr>
            </w:pPr>
            <w:hyperlink r:id="rId52">
              <w:r>
                <w:rPr>
                  <w:rFonts w:ascii="Arial" w:cs="Arial" w:eastAsia="Arial" w:hAnsi="Arial"/>
                  <w:sz w:val="18"/>
                  <w:szCs w:val="18"/>
                  <w:color w:val="0000FF"/>
                </w:rPr>
                <w:t>Form of Lock-Up Agreement (incorporated by reference to Exhibit 10.3 to the Registrant’s Current Report on Form 8-K</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filed with the SEC on January 13, 2025).</w:t>
              </w:r>
            </w:hyperlink>
          </w:p>
        </w:tc>
        <w:tc>
          <w:tcPr>
            <w:tcW w:w="6180" w:type="dxa"/>
            <w:vAlign w:val="bottom"/>
            <w:tcBorders>
              <w:top w:val="single" w:sz="8" w:color="0000FF"/>
            </w:tcBorders>
            <w:gridSpan w:val="2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40" w:type="dxa"/>
            <w:vAlign w:val="bottom"/>
            <w:tcBorders>
              <w:bottom w:val="single" w:sz="8" w:color="0000FF"/>
            </w:tcBorders>
            <w:gridSpan w:val="15"/>
          </w:tcPr>
          <w:p>
            <w:pPr>
              <w:spacing w:after="0"/>
              <w:rPr>
                <w:rFonts w:ascii="Arial" w:cs="Arial" w:eastAsia="Arial" w:hAnsi="Arial"/>
                <w:sz w:val="18"/>
                <w:szCs w:val="18"/>
                <w:color w:val="0000FF"/>
                <w:w w:val="99"/>
              </w:rPr>
            </w:pPr>
            <w:hyperlink r:id="rId53">
              <w:r>
                <w:rPr>
                  <w:rFonts w:ascii="Arial" w:cs="Arial" w:eastAsia="Arial" w:hAnsi="Arial"/>
                  <w:sz w:val="18"/>
                  <w:szCs w:val="18"/>
                  <w:color w:val="0000FF"/>
                  <w:w w:val="99"/>
                </w:rPr>
                <w:t>Warrant Cancellation Agreement, dated as of January 10, 2025, by and among the Registrant and an Investor</w:t>
              </w:r>
            </w:hyperlink>
          </w:p>
        </w:tc>
        <w:tc>
          <w:tcPr>
            <w:tcW w:w="88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33"/>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(incorporated by reference to Exhibit 10.4 to the Registrant’s Current Report on Form 8-K filed with the SEC on January</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8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13, 2025).</w:t>
              </w:r>
            </w:hyperlink>
          </w:p>
        </w:tc>
        <w:tc>
          <w:tcPr>
            <w:tcW w:w="1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Amendment 1 to Consulting Agreement, effective February 20, 2024, by and between the Registrant and David J. Arthur</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(incorporated by reference to Exhibit 10.25 to the Registrant’s Annual Report on Form 10-K for the fiscal year ended</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December 31, 2024 filed with the SEC on March 21, 2025).</w:t>
              </w:r>
            </w:hyperlink>
          </w:p>
        </w:tc>
        <w:tc>
          <w:tcPr>
            <w:tcW w:w="2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78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sz w:val="20"/>
                <w:szCs w:val="20"/>
                <w:color w:val="auto"/>
              </w:rPr>
            </w:pPr>
            <w:r>
              <w:rPr>
                <w:rFonts w:ascii="Arial" w:cs="Arial" w:eastAsia="Arial" w:hAnsi="Arial"/>
                <w:sz w:val="18"/>
                <w:szCs w:val="18"/>
                <w:color w:val="0000FF"/>
              </w:rPr>
              <w:t>Certification of the Principal Executive Officer pursuant to Rule 13a-14(a) or 15d-14(a) of the Securities Exchange Act of</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4"/>
              </w:rPr>
              <w:t>1934</w:t>
            </w: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sz w:val="20"/>
                <w:szCs w:val="20"/>
                <w:color w:val="auto"/>
              </w:rPr>
            </w:pPr>
            <w:r>
              <w:rPr>
                <w:rFonts w:ascii="Arial" w:cs="Arial" w:eastAsia="Arial" w:hAnsi="Arial"/>
                <w:sz w:val="18"/>
                <w:szCs w:val="18"/>
                <w:color w:val="0000FF"/>
              </w:rPr>
              <w:t>Certification of the Principal Financial Officer pursuant to Rule 13a-14(a) or 15d-14(a) of the Securities Exchange Act of</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4"/>
              </w:rPr>
              <w:t>1934</w:t>
            </w: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33"/>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Rule 13a-14(b) or 15d-14(b) of the</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7"/>
          </w:tcPr>
          <w:p>
            <w:pPr>
              <w:spacing w:after="0" w:line="156" w:lineRule="exact"/>
              <w:rPr>
                <w:sz w:val="20"/>
                <w:szCs w:val="20"/>
                <w:color w:val="auto"/>
              </w:rPr>
            </w:pPr>
            <w:r>
              <w:rPr>
                <w:rFonts w:ascii="Arial" w:cs="Arial" w:eastAsia="Arial" w:hAnsi="Arial"/>
                <w:sz w:val="18"/>
                <w:szCs w:val="18"/>
                <w:color w:val="0000FF"/>
              </w:rPr>
              <w:t>Exchange Act and 18 U.S.C. Section 1350</w:t>
            </w: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624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101.0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3"/>
          </w:tcPr>
          <w:p>
            <w:pPr>
              <w:spacing w:after="0"/>
              <w:rPr>
                <w:sz w:val="20"/>
                <w:szCs w:val="20"/>
                <w:color w:val="auto"/>
              </w:rPr>
            </w:pPr>
            <w:r>
              <w:rPr>
                <w:rFonts w:ascii="Arial" w:cs="Arial" w:eastAsia="Arial" w:hAnsi="Arial"/>
                <w:sz w:val="18"/>
                <w:szCs w:val="18"/>
                <w:color w:val="auto"/>
              </w:rPr>
              <w:t>The following materials from Salarius Pharmaceuticals, Inc.'s Quarterly Report on Form 10-Q for the quarter ended</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3"/>
          </w:tcPr>
          <w:p>
            <w:pPr>
              <w:spacing w:after="0" w:line="176" w:lineRule="exact"/>
              <w:rPr>
                <w:sz w:val="20"/>
                <w:szCs w:val="20"/>
                <w:color w:val="auto"/>
              </w:rPr>
            </w:pPr>
            <w:r>
              <w:rPr>
                <w:rFonts w:ascii="Arial" w:cs="Arial" w:eastAsia="Arial" w:hAnsi="Arial"/>
                <w:sz w:val="18"/>
                <w:szCs w:val="18"/>
                <w:color w:val="auto"/>
              </w:rPr>
              <w:t>March 31, 2025, formatted in XBRL (eXtensible Business Reporting Language):(i) Unaudited Condensed Consolidated</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33"/>
          </w:tcPr>
          <w:p>
            <w:pPr>
              <w:spacing w:after="0" w:line="201" w:lineRule="exact"/>
              <w:rPr>
                <w:sz w:val="20"/>
                <w:szCs w:val="20"/>
                <w:color w:val="auto"/>
              </w:rPr>
            </w:pPr>
            <w:r>
              <w:rPr>
                <w:rFonts w:ascii="Arial" w:cs="Arial" w:eastAsia="Arial" w:hAnsi="Arial"/>
                <w:sz w:val="18"/>
                <w:szCs w:val="18"/>
                <w:color w:val="auto"/>
              </w:rPr>
              <w:t>Balance Sheets, (ii) Unaudited Condensed Consolidated Statements of Operations (iii) Unaudited Condensed</w:t>
            </w:r>
          </w:p>
        </w:tc>
        <w:tc>
          <w:tcPr>
            <w:tcW w:w="0" w:type="dxa"/>
            <w:vAlign w:val="bottom"/>
          </w:tcPr>
          <w:p>
            <w:pPr>
              <w:spacing w:after="0"/>
              <w:rPr>
                <w:sz w:val="1"/>
                <w:szCs w:val="1"/>
                <w:color w:val="auto"/>
              </w:rPr>
            </w:pPr>
          </w:p>
        </w:tc>
      </w:tr>
    </w:tbl>
    <w:p>
      <w:pPr>
        <w:ind w:left="1620" w:right="140"/>
        <w:spacing w:after="0" w:line="229" w:lineRule="auto"/>
        <w:rPr>
          <w:sz w:val="20"/>
          <w:szCs w:val="20"/>
          <w:color w:val="auto"/>
        </w:rPr>
      </w:pPr>
      <w:r>
        <w:rPr>
          <w:rFonts w:ascii="Arial" w:cs="Arial" w:eastAsia="Arial" w:hAnsi="Arial"/>
          <w:sz w:val="18"/>
          <w:szCs w:val="18"/>
          <w:color w:val="auto"/>
        </w:rPr>
        <w:t>Consolidated Statements of Stockholders' Equity (Deficit), (iv) Unaudited Condensed Consolidated Statements of Cash Flows, and (v) Notes to Condensed Unaudited Consolidated Financial Statements.</w:t>
      </w:r>
    </w:p>
    <w:p>
      <w:pPr>
        <w:spacing w:after="0" w:line="6" w:lineRule="exact"/>
        <w:rPr>
          <w:sz w:val="20"/>
          <w:szCs w:val="20"/>
          <w:color w:val="auto"/>
        </w:rPr>
      </w:pPr>
    </w:p>
    <w:p>
      <w:pPr>
        <w:ind w:left="1620" w:hanging="995"/>
        <w:spacing w:after="0"/>
        <w:tabs>
          <w:tab w:leader="none" w:pos="16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27343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hanging="172"/>
        <w:spacing w:after="0" w:line="273" w:lineRule="auto"/>
        <w:tabs>
          <w:tab w:leader="none" w:pos="114"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6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77"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17780</wp:posOffset>
            </wp:positionV>
            <wp:extent cx="3300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13"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17780</wp:posOffset>
            </wp:positionV>
            <wp:extent cx="33000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Mark J. Rosenblum</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Financial Officer and Executive Vice President of Finance</w:t>
      </w: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2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May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274" w:right="4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8" w:lineRule="auto"/>
        <w:tabs>
          <w:tab w:leader="none" w:pos="8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4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5"/>
        </w:trPr>
        <w:tc>
          <w:tcPr>
            <w:tcW w:w="4800" w:type="dxa"/>
            <w:vAlign w:val="bottom"/>
          </w:tcPr>
          <w:p>
            <w:pPr>
              <w:spacing w:after="0"/>
              <w:rPr>
                <w:sz w:val="20"/>
                <w:szCs w:val="20"/>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18"/>
        </w:trPr>
        <w:tc>
          <w:tcPr>
            <w:tcW w:w="48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189"/>
        </w:trPr>
        <w:tc>
          <w:tcPr>
            <w:tcW w:w="4800" w:type="dxa"/>
            <w:vAlign w:val="bottom"/>
            <w:vMerge w:val="restart"/>
          </w:tcPr>
          <w:p>
            <w:pPr>
              <w:spacing w:after="0"/>
              <w:rPr>
                <w:sz w:val="20"/>
                <w:szCs w:val="20"/>
                <w:color w:val="auto"/>
              </w:rPr>
            </w:pPr>
            <w:r>
              <w:rPr>
                <w:rFonts w:ascii="Arial" w:cs="Arial" w:eastAsia="Arial" w:hAnsi="Arial"/>
                <w:sz w:val="18"/>
                <w:szCs w:val="18"/>
                <w:color w:val="auto"/>
              </w:rPr>
              <w:t>May 14, 2025</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9"/>
        </w:trPr>
        <w:tc>
          <w:tcPr>
            <w:tcW w:w="480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8" w:lineRule="auto"/>
        <w:tabs>
          <w:tab w:leader="none" w:pos="8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520" w:hanging="216"/>
        <w:spacing w:after="0"/>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27" w:lineRule="exact"/>
        <w:rPr>
          <w:rFonts w:ascii="Arial" w:cs="Arial" w:eastAsia="Arial" w:hAnsi="Arial"/>
          <w:sz w:val="18"/>
          <w:szCs w:val="18"/>
          <w:color w:val="auto"/>
        </w:rPr>
      </w:pPr>
    </w:p>
    <w:p>
      <w:pPr>
        <w:ind w:left="130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8"/>
          <w:szCs w:val="18"/>
          <w:color w:val="auto"/>
        </w:rPr>
      </w:pPr>
    </w:p>
    <w:p>
      <w:pPr>
        <w:jc w:val="both"/>
        <w:ind w:left="1300" w:right="540" w:firstLine="4"/>
        <w:spacing w:after="0" w:line="291" w:lineRule="auto"/>
        <w:tabs>
          <w:tab w:leader="none" w:pos="151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300" w:right="360" w:firstLine="4"/>
        <w:spacing w:after="0" w:line="268"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200" w:firstLine="4"/>
        <w:spacing w:after="0" w:line="268" w:lineRule="auto"/>
        <w:tabs>
          <w:tab w:leader="none" w:pos="15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140" w:hanging="4"/>
        <w:spacing w:after="0" w:line="268"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1300" w:right="220" w:firstLine="4"/>
        <w:spacing w:after="0" w:line="268" w:lineRule="auto"/>
        <w:tabs>
          <w:tab w:leader="none" w:pos="15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9"/>
        </w:trPr>
        <w:tc>
          <w:tcPr>
            <w:tcW w:w="3240" w:type="dxa"/>
            <w:vAlign w:val="bottom"/>
            <w:vMerge w:val="restart"/>
          </w:tcPr>
          <w:p>
            <w:pPr>
              <w:spacing w:after="0"/>
              <w:rPr>
                <w:sz w:val="20"/>
                <w:szCs w:val="20"/>
                <w:color w:val="auto"/>
              </w:rPr>
            </w:pPr>
            <w:r>
              <w:rPr>
                <w:rFonts w:ascii="Arial" w:cs="Arial" w:eastAsia="Arial" w:hAnsi="Arial"/>
                <w:sz w:val="18"/>
                <w:szCs w:val="18"/>
                <w:color w:val="auto"/>
              </w:rPr>
              <w:t>May 14, 2025</w:t>
            </w:r>
          </w:p>
        </w:tc>
        <w:tc>
          <w:tcPr>
            <w:tcW w:w="506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9"/>
        </w:trPr>
        <w:tc>
          <w:tcPr>
            <w:tcW w:w="324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March 31, 2025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0" w:lineRule="exact"/>
        <w:rPr>
          <w:sz w:val="20"/>
          <w:szCs w:val="20"/>
          <w:color w:val="auto"/>
        </w:rPr>
      </w:pPr>
    </w:p>
    <w:p>
      <w:pPr>
        <w:spacing w:after="0" w:line="221" w:lineRule="exact"/>
        <w:rPr>
          <w:sz w:val="20"/>
          <w:szCs w:val="20"/>
          <w:color w:val="auto"/>
        </w:rPr>
      </w:pPr>
    </w:p>
    <w:p>
      <w:pPr>
        <w:ind w:left="660" w:right="220" w:hanging="4"/>
        <w:spacing w:after="0" w:line="287" w:lineRule="auto"/>
        <w:tabs>
          <w:tab w:leader="none" w:pos="9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9" w:lineRule="exact"/>
        <w:rPr>
          <w:rFonts w:ascii="Arial" w:cs="Arial" w:eastAsia="Arial" w:hAnsi="Arial"/>
          <w:sz w:val="18"/>
          <w:szCs w:val="18"/>
          <w:color w:val="auto"/>
        </w:rPr>
      </w:pPr>
    </w:p>
    <w:p>
      <w:pPr>
        <w:ind w:left="660" w:right="40" w:hanging="4"/>
        <w:spacing w:after="0" w:line="287" w:lineRule="auto"/>
        <w:tabs>
          <w:tab w:leader="none" w:pos="9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May 14, 2025</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0" w:type="dxa"/>
            <w:vAlign w:val="bottom"/>
          </w:tcPr>
          <w:p>
            <w:pPr>
              <w:spacing w:after="0"/>
              <w:rPr>
                <w:sz w:val="1"/>
                <w:szCs w:val="1"/>
                <w:color w:val="auto"/>
              </w:rPr>
            </w:pPr>
          </w:p>
        </w:tc>
      </w:tr>
      <w:tr>
        <w:trPr>
          <w:trHeight w:val="333"/>
        </w:trPr>
        <w:tc>
          <w:tcPr>
            <w:tcW w:w="544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9"/>
        </w:trPr>
        <w:tc>
          <w:tcPr>
            <w:tcW w:w="5440" w:type="dxa"/>
            <w:vAlign w:val="bottom"/>
            <w:vMerge w:val="restart"/>
          </w:tcPr>
          <w:p>
            <w:pPr>
              <w:spacing w:after="0"/>
              <w:rPr>
                <w:sz w:val="20"/>
                <w:szCs w:val="20"/>
                <w:color w:val="auto"/>
              </w:rPr>
            </w:pPr>
            <w:r>
              <w:rPr>
                <w:rFonts w:ascii="Arial" w:cs="Arial" w:eastAsia="Arial" w:hAnsi="Arial"/>
                <w:sz w:val="18"/>
                <w:szCs w:val="18"/>
                <w:color w:val="auto"/>
              </w:rPr>
              <w:t>May 14, 2025</w:t>
            </w: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9"/>
        </w:trPr>
        <w:tc>
          <w:tcPr>
            <w:tcW w:w="5440" w:type="dxa"/>
            <w:vAlign w:val="bottom"/>
            <w:vMerge w:val="continue"/>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42" Type="http://schemas.openxmlformats.org/officeDocument/2006/relationships/hyperlink" Target="https://www.sec.gov/Archives/edgar/data/1615219/000161521925000004/markedex21agreementandplan.htm" TargetMode="External"/><Relationship Id="rId43" Type="http://schemas.openxmlformats.org/officeDocument/2006/relationships/hyperlink" Target="https://www.sec.gov/Archives/edgar/data/1615219/000110465915007801/a15-4061_1ex3d1.htm" TargetMode="External"/><Relationship Id="rId44" Type="http://schemas.openxmlformats.org/officeDocument/2006/relationships/hyperlink" Target="https://www.sec.gov/Archives/edgar/data/1615219/000119312519199074/d754556dex31.htm" TargetMode="External"/><Relationship Id="rId45" Type="http://schemas.openxmlformats.org/officeDocument/2006/relationships/hyperlink" Target="https://www.sec.gov/Archives/edgar/data/1615219/000161521922000135/exhibit31.htm" TargetMode="External"/><Relationship Id="rId46" Type="http://schemas.openxmlformats.org/officeDocument/2006/relationships/hyperlink" Target="https://www.sec.gov/Archives/edgar/data/1615219/000119312519199074/d754556dex32.htm" TargetMode="External"/><Relationship Id="rId47" Type="http://schemas.openxmlformats.org/officeDocument/2006/relationships/hyperlink" Target="https://www.sec.gov/Archives/edgar/data/1615219/000161521922000034/salarius-bylawsamendment33.htm" TargetMode="External"/><Relationship Id="rId48" Type="http://schemas.openxmlformats.org/officeDocument/2006/relationships/hyperlink" Target="https://www.sec.gov/Archives/edgar/data/1615219/000161521924000045/slrx-certificateofamendm.htm" TargetMode="External"/><Relationship Id="rId49" Type="http://schemas.openxmlformats.org/officeDocument/2006/relationships/hyperlink" Target="https://www.sec.gov/Archives/edgar/data/1615219/000161521925000004/ex41formofcertificateofdes.htm" TargetMode="External"/><Relationship Id="rId50" Type="http://schemas.openxmlformats.org/officeDocument/2006/relationships/hyperlink" Target="https://www.sec.gov/Archives/edgar/data/1615219/000161521925000004/ex101parentsupportagreement.htm" TargetMode="External"/><Relationship Id="rId51" Type="http://schemas.openxmlformats.org/officeDocument/2006/relationships/hyperlink" Target="https://www.sec.gov/Archives/edgar/data/1615219/000161521925000004/ex102formofdecoysupportagr.htm" TargetMode="External"/><Relationship Id="rId52" Type="http://schemas.openxmlformats.org/officeDocument/2006/relationships/hyperlink" Target="https://www.sec.gov/Archives/edgar/data/1615219/000161521925000004/ex103lock-upagreement.htm" TargetMode="External"/><Relationship Id="rId53" Type="http://schemas.openxmlformats.org/officeDocument/2006/relationships/hyperlink" Target="https://www.sec.gov/Archives/edgar/data/1615219/000161521925000004/ex104slrx-warrantcancellat.htm" TargetMode="External"/><Relationship Id="rId54" Type="http://schemas.openxmlformats.org/officeDocument/2006/relationships/hyperlink" Target="https://www.sec.gov/Archives/edgar/data/1615219/000161521925000037/amendment1davidarthurcons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2025-05-14T16:12:00Z</dcterms:created>
  <dcterms:modified xsi:type="dcterms:W3CDTF">2025-05-14T16:12:00Z</dcterms:modified>
</cp:coreProperties>
</file>