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271780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49" w:lineRule="exact"/>
        <w:rPr>
          <w:sz w:val="24"/>
          <w:szCs w:val="24"/>
          <w:color w:val="auto"/>
        </w:rPr>
      </w:pPr>
    </w:p>
    <w:p>
      <w:pPr>
        <w:ind w:left="3760" w:right="2260" w:hanging="3721"/>
        <w:spacing w:after="0" w:line="304" w:lineRule="auto"/>
        <w:tabs>
          <w:tab w:leader="none" w:pos="378"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49" w:lineRule="exact"/>
        <w:rPr>
          <w:sz w:val="24"/>
          <w:szCs w:val="24"/>
          <w:color w:val="auto"/>
        </w:rPr>
      </w:pPr>
    </w:p>
    <w:p>
      <w:pPr>
        <w:ind w:left="380" w:hanging="341"/>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270" w:right="259" w:bottom="1440" w:gutter="0" w:footer="0" w:header="0"/>
        </w:sectPr>
      </w:pPr>
    </w:p>
    <w:p>
      <w:pPr>
        <w:spacing w:after="0" w:line="58"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840" w:space="720"/>
            <w:col w:w="3840"/>
          </w:cols>
          <w:pgMar w:left="240" w:top="270" w:right="259" w:bottom="1440" w:gutter="0" w:footer="0" w:header="0"/>
          <w:type w:val="continuous"/>
        </w:sectPr>
      </w:pP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ectPr>
          <w:pgSz w:w="11900" w:h="16838" w:orient="portrait"/>
          <w:cols w:equalWidth="0" w:num="1">
            <w:col w:w="11400"/>
          </w:cols>
          <w:pgMar w:left="240" w:top="270" w:right="25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0" w:lineRule="exact"/>
        <w:rPr>
          <w:sz w:val="24"/>
          <w:szCs w:val="24"/>
          <w:color w:val="auto"/>
        </w:rPr>
      </w:pPr>
    </w:p>
    <w:tbl>
      <w:tblPr>
        <w:tblLayout w:type="fixed"/>
        <w:tblInd w:w="2680" w:type="dxa"/>
        <w:tblCellMar>
          <w:top w:w="0" w:type="dxa"/>
          <w:left w:w="0" w:type="dxa"/>
          <w:bottom w:w="0" w:type="dxa"/>
          <w:right w:w="0" w:type="dxa"/>
        </w:tblCellMar>
      </w:tblPr>
      <w:tr>
        <w:trPr>
          <w:trHeight w:val="202"/>
        </w:trPr>
        <w:tc>
          <w:tcPr>
            <w:tcW w:w="3200" w:type="dxa"/>
            <w:vAlign w:val="bottom"/>
          </w:tcPr>
          <w:p>
            <w:pPr>
              <w:jc w:val="center"/>
              <w:ind w:right="1208"/>
              <w:spacing w:after="0"/>
              <w:rPr>
                <w:sz w:val="20"/>
                <w:szCs w:val="20"/>
                <w:color w:val="auto"/>
              </w:rPr>
            </w:pPr>
            <w:r>
              <w:rPr>
                <w:rFonts w:ascii="Arial" w:cs="Arial" w:eastAsia="Arial" w:hAnsi="Arial"/>
                <w:sz w:val="14"/>
                <w:szCs w:val="14"/>
                <w:b w:val="1"/>
                <w:bCs w:val="1"/>
                <w:color w:val="auto"/>
              </w:rPr>
              <w:t>Delaware</w:t>
            </w:r>
          </w:p>
        </w:tc>
        <w:tc>
          <w:tcPr>
            <w:tcW w:w="268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1"/>
        </w:trPr>
        <w:tc>
          <w:tcPr>
            <w:tcW w:w="3200" w:type="dxa"/>
            <w:vAlign w:val="bottom"/>
          </w:tcPr>
          <w:p>
            <w:pPr>
              <w:jc w:val="center"/>
              <w:ind w:right="1208"/>
              <w:spacing w:after="0" w:line="151" w:lineRule="exact"/>
              <w:rPr>
                <w:sz w:val="20"/>
                <w:szCs w:val="20"/>
                <w:color w:val="auto"/>
              </w:rPr>
            </w:pPr>
            <w:r>
              <w:rPr>
                <w:rFonts w:ascii="Arial" w:cs="Arial" w:eastAsia="Arial" w:hAnsi="Arial"/>
                <w:sz w:val="14"/>
                <w:szCs w:val="14"/>
                <w:color w:val="auto"/>
              </w:rPr>
              <w:t>(State or Other Jurisdiction of</w:t>
            </w:r>
          </w:p>
        </w:tc>
        <w:tc>
          <w:tcPr>
            <w:tcW w:w="2680" w:type="dxa"/>
            <w:vAlign w:val="bottom"/>
          </w:tcPr>
          <w:p>
            <w:pPr>
              <w:jc w:val="center"/>
              <w:ind w:left="1188"/>
              <w:spacing w:after="0" w:line="151" w:lineRule="exact"/>
              <w:rPr>
                <w:sz w:val="20"/>
                <w:szCs w:val="20"/>
                <w:color w:val="auto"/>
              </w:rPr>
            </w:pPr>
            <w:r>
              <w:rPr>
                <w:rFonts w:ascii="Arial" w:cs="Arial" w:eastAsia="Arial" w:hAnsi="Arial"/>
                <w:sz w:val="14"/>
                <w:szCs w:val="14"/>
                <w:color w:val="auto"/>
              </w:rPr>
              <w:t>(I.R.S. Employer</w:t>
            </w:r>
          </w:p>
        </w:tc>
      </w:tr>
      <w:tr>
        <w:trPr>
          <w:trHeight w:val="194"/>
        </w:trPr>
        <w:tc>
          <w:tcPr>
            <w:tcW w:w="3200" w:type="dxa"/>
            <w:vAlign w:val="bottom"/>
          </w:tcPr>
          <w:p>
            <w:pPr>
              <w:jc w:val="center"/>
              <w:ind w:right="1208"/>
              <w:spacing w:after="0"/>
              <w:rPr>
                <w:sz w:val="20"/>
                <w:szCs w:val="20"/>
                <w:color w:val="auto"/>
              </w:rPr>
            </w:pPr>
            <w:r>
              <w:rPr>
                <w:rFonts w:ascii="Arial" w:cs="Arial" w:eastAsia="Arial" w:hAnsi="Arial"/>
                <w:sz w:val="14"/>
                <w:szCs w:val="14"/>
                <w:color w:val="auto"/>
              </w:rPr>
              <w:t>Incorporation or Organization)</w:t>
            </w:r>
          </w:p>
        </w:tc>
        <w:tc>
          <w:tcPr>
            <w:tcW w:w="268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9"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2450 Holcombe Blvd., Suite J 608, Houston, TX 77021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 (346) 772-0346</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66040</wp:posOffset>
            </wp:positionV>
            <wp:extent cx="42367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8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77"/>
        </w:trPr>
        <w:tc>
          <w:tcPr>
            <w:tcW w:w="2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24"/>
                <w:szCs w:val="24"/>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20" w:type="dxa"/>
            <w:vAlign w:val="bottom"/>
          </w:tcPr>
          <w:p>
            <w:pPr>
              <w:spacing w:after="0"/>
              <w:rPr>
                <w:sz w:val="17"/>
                <w:szCs w:val="17"/>
                <w:color w:val="auto"/>
              </w:rPr>
            </w:pPr>
          </w:p>
        </w:tc>
        <w:tc>
          <w:tcPr>
            <w:tcW w:w="38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$ 0.0001 par value</w:t>
            </w:r>
          </w:p>
        </w:tc>
        <w:tc>
          <w:tcPr>
            <w:tcW w:w="3500" w:type="dxa"/>
            <w:vAlign w:val="bottom"/>
            <w:gridSpan w:val="2"/>
          </w:tcPr>
          <w:p>
            <w:pPr>
              <w:jc w:val="center"/>
              <w:ind w:right="120"/>
              <w:spacing w:after="0"/>
              <w:rPr>
                <w:sz w:val="20"/>
                <w:szCs w:val="20"/>
                <w:color w:val="auto"/>
              </w:rPr>
            </w:pPr>
            <w:r>
              <w:rPr>
                <w:rFonts w:ascii="Arial" w:cs="Arial" w:eastAsia="Arial" w:hAnsi="Arial"/>
                <w:sz w:val="14"/>
                <w:szCs w:val="14"/>
                <w:color w:val="auto"/>
              </w:rPr>
              <w:t>SLRX</w:t>
            </w:r>
          </w:p>
        </w:tc>
        <w:tc>
          <w:tcPr>
            <w:tcW w:w="406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400" w:lineRule="exact"/>
        <w:rPr>
          <w:sz w:val="24"/>
          <w:szCs w:val="24"/>
          <w:color w:val="auto"/>
        </w:rPr>
      </w:pPr>
    </w:p>
    <w:p>
      <w:pPr>
        <w:ind w:right="280"/>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120"/>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620"/>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60"/>
        <w:spacing w:after="0" w:line="161" w:lineRule="exact"/>
        <w:tabs>
          <w:tab w:leader="none" w:pos="1980" w:val="left"/>
          <w:tab w:leader="none" w:pos="2400" w:val="left"/>
          <w:tab w:leader="none" w:pos="3680" w:val="left"/>
          <w:tab w:leader="none" w:pos="4300" w:val="left"/>
          <w:tab w:leader="none" w:pos="6040" w:val="left"/>
          <w:tab w:leader="none" w:pos="6520" w:val="left"/>
          <w:tab w:leader="none" w:pos="8540" w:val="left"/>
          <w:tab w:leader="none" w:pos="9100" w:val="left"/>
          <w:tab w:leader="none" w:pos="11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20" w:lineRule="exact"/>
        <w:rPr>
          <w:sz w:val="24"/>
          <w:szCs w:val="24"/>
          <w:color w:val="auto"/>
        </w:rPr>
      </w:pPr>
    </w:p>
    <w:p>
      <w:pPr>
        <w:ind w:right="4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29"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11, 2019, there were 4,068,520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gridSpan w:val="5"/>
          </w:tcPr>
          <w:p>
            <w:pPr>
              <w:ind w:left="160"/>
              <w:spacing w:after="0"/>
              <w:rPr>
                <w:sz w:val="20"/>
                <w:szCs w:val="20"/>
                <w:color w:val="auto"/>
              </w:rPr>
            </w:pPr>
            <w:r>
              <w:rPr>
                <w:rFonts w:ascii="Arial" w:cs="Arial" w:eastAsia="Arial" w:hAnsi="Arial"/>
                <w:sz w:val="14"/>
                <w:szCs w:val="14"/>
                <w:b w:val="1"/>
                <w:bCs w:val="1"/>
                <w:color w:val="auto"/>
              </w:rPr>
              <w:t>Page</w:t>
            </w:r>
          </w:p>
        </w:tc>
      </w:tr>
      <w:tr>
        <w:trPr>
          <w:trHeight w:val="482"/>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82"/>
              </w:rPr>
            </w:pPr>
            <w:hyperlink w:anchor="page3">
              <w:r>
                <w:rPr>
                  <w:rFonts w:ascii="Arial" w:cs="Arial" w:eastAsia="Arial" w:hAnsi="Arial"/>
                  <w:sz w:val="18"/>
                  <w:szCs w:val="18"/>
                  <w:color w:val="0000FF"/>
                  <w:w w:val="82"/>
                </w:rPr>
                <w:t>PART I.</w:t>
              </w:r>
            </w:hyperlink>
          </w:p>
        </w:tc>
        <w:tc>
          <w:tcPr>
            <w:tcW w:w="1060" w:type="dxa"/>
            <w:vAlign w:val="bottom"/>
            <w:gridSpan w:val="4"/>
          </w:tcPr>
          <w:p>
            <w:pPr>
              <w:spacing w:after="0"/>
              <w:rPr>
                <w:sz w:val="24"/>
                <w:szCs w:val="24"/>
                <w:color w:val="auto"/>
              </w:rPr>
            </w:pPr>
          </w:p>
        </w:tc>
        <w:tc>
          <w:tcPr>
            <w:tcW w:w="90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Item 1.</w:t>
              </w:r>
            </w:hyperlink>
          </w:p>
        </w:tc>
        <w:tc>
          <w:tcPr>
            <w:tcW w:w="1060" w:type="dxa"/>
            <w:vAlign w:val="bottom"/>
            <w:gridSpan w:val="4"/>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6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6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w:t>
              </w:r>
            </w:hyperlink>
          </w:p>
        </w:tc>
        <w:tc>
          <w:tcPr>
            <w:tcW w:w="6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6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gridSpan w:val="15"/>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 xml:space="preserve">Condensed Consolidated Statement of Stockholders' Equity </w:t>
              </w:r>
            </w:hyperlink>
            <w:r>
              <w:rPr>
                <w:rFonts w:ascii="Arial" w:cs="Arial" w:eastAsia="Arial" w:hAnsi="Arial"/>
                <w:sz w:val="18"/>
                <w:szCs w:val="18"/>
                <w:color w:val="0000FF"/>
                <w:w w:val="99"/>
              </w:rPr>
              <w:t>(Deficit)</w:t>
            </w:r>
          </w:p>
        </w:tc>
        <w:tc>
          <w:tcPr>
            <w:tcW w:w="3420" w:type="dxa"/>
            <w:vAlign w:val="bottom"/>
            <w:gridSpan w:val="2"/>
          </w:tcPr>
          <w:p>
            <w:pPr>
              <w:spacing w:after="0"/>
              <w:rPr>
                <w:sz w:val="18"/>
                <w:szCs w:val="18"/>
                <w:color w:val="auto"/>
              </w:rPr>
            </w:pPr>
          </w:p>
        </w:tc>
        <w:tc>
          <w:tcPr>
            <w:tcW w:w="6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420" w:type="dxa"/>
            <w:vAlign w:val="bottom"/>
            <w:gridSpan w:val="2"/>
          </w:tcPr>
          <w:p>
            <w:pPr>
              <w:spacing w:after="0"/>
              <w:rPr>
                <w:sz w:val="18"/>
                <w:szCs w:val="18"/>
                <w:color w:val="auto"/>
              </w:rPr>
            </w:pPr>
          </w:p>
        </w:tc>
        <w:tc>
          <w:tcPr>
            <w:tcW w:w="68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Item 2.</w:t>
              </w:r>
            </w:hyperlink>
          </w:p>
        </w:tc>
        <w:tc>
          <w:tcPr>
            <w:tcW w:w="106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8840" w:type="dxa"/>
            <w:vAlign w:val="bottom"/>
            <w:gridSpan w:val="1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3.</w:t>
              </w:r>
            </w:hyperlink>
          </w:p>
        </w:tc>
        <w:tc>
          <w:tcPr>
            <w:tcW w:w="1060" w:type="dxa"/>
            <w:vAlign w:val="bottom"/>
            <w:gridSpan w:val="4"/>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Quantitative and Qualitative Disclosures about Market Risk</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7">
              <w:r>
                <w:rPr>
                  <w:rFonts w:ascii="Arial" w:cs="Arial" w:eastAsia="Arial" w:hAnsi="Arial"/>
                  <w:sz w:val="18"/>
                  <w:szCs w:val="18"/>
                  <w:color w:val="0000FF"/>
                  <w:w w:val="94"/>
                </w:rPr>
                <w:t>Item 4.</w:t>
              </w:r>
            </w:hyperlink>
          </w:p>
        </w:tc>
        <w:tc>
          <w:tcPr>
            <w:tcW w:w="1060" w:type="dxa"/>
            <w:vAlign w:val="bottom"/>
            <w:gridSpan w:val="4"/>
          </w:tcPr>
          <w:p>
            <w:pPr>
              <w:spacing w:after="0"/>
              <w:rPr>
                <w:sz w:val="18"/>
                <w:szCs w:val="18"/>
                <w:color w:val="auto"/>
              </w:rPr>
            </w:pPr>
          </w:p>
        </w:tc>
        <w:tc>
          <w:tcPr>
            <w:tcW w:w="4680" w:type="dxa"/>
            <w:vAlign w:val="bottom"/>
            <w:gridSpan w:val="1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380" w:type="dxa"/>
            <w:vAlign w:val="bottom"/>
            <w:gridSpan w:val="4"/>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620" w:type="dxa"/>
            <w:vAlign w:val="bottom"/>
            <w:gridSpan w:val="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PART II.</w:t>
              </w:r>
            </w:hyperlink>
          </w:p>
        </w:tc>
        <w:tc>
          <w:tcPr>
            <w:tcW w:w="90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1.</w:t>
              </w:r>
            </w:hyperlink>
          </w:p>
        </w:tc>
        <w:tc>
          <w:tcPr>
            <w:tcW w:w="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3"/>
          </w:tcPr>
          <w:p>
            <w:pPr>
              <w:spacing w:after="0"/>
              <w:rPr>
                <w:rFonts w:ascii="Arial" w:cs="Arial" w:eastAsia="Arial" w:hAnsi="Arial"/>
                <w:sz w:val="18"/>
                <w:szCs w:val="18"/>
                <w:color w:val="0000FF"/>
                <w:w w:val="98"/>
              </w:rPr>
            </w:pPr>
            <w:hyperlink w:anchor="page28">
              <w:r>
                <w:rPr>
                  <w:rFonts w:ascii="Arial" w:cs="Arial" w:eastAsia="Arial" w:hAnsi="Arial"/>
                  <w:sz w:val="18"/>
                  <w:szCs w:val="18"/>
                  <w:color w:val="0000FF"/>
                  <w:w w:val="98"/>
                </w:rPr>
                <w:t>Item 1A.</w:t>
              </w:r>
            </w:hyperlink>
          </w:p>
        </w:tc>
        <w:tc>
          <w:tcPr>
            <w:tcW w:w="940" w:type="dxa"/>
            <w:vAlign w:val="bottom"/>
            <w:gridSpan w:val="2"/>
          </w:tcPr>
          <w:p>
            <w:pPr>
              <w:spacing w:after="0"/>
              <w:rPr>
                <w:sz w:val="18"/>
                <w:szCs w:val="18"/>
                <w:color w:val="auto"/>
              </w:rPr>
            </w:pPr>
          </w:p>
        </w:tc>
        <w:tc>
          <w:tcPr>
            <w:tcW w:w="1000" w:type="dxa"/>
            <w:vAlign w:val="bottom"/>
            <w:tcBorders>
              <w:top w:val="single" w:sz="8" w:color="0000FF"/>
            </w:tcBorders>
            <w:gridSpan w:val="3"/>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Risk Factors</w:t>
              </w:r>
            </w:hyperlink>
          </w:p>
        </w:tc>
        <w:tc>
          <w:tcPr>
            <w:tcW w:w="480" w:type="dxa"/>
            <w:vAlign w:val="bottom"/>
            <w:tcBorders>
              <w:top w:val="single" w:sz="8" w:color="0000FF"/>
            </w:tcBorders>
            <w:gridSpan w:val="2"/>
          </w:tcPr>
          <w:p>
            <w:pPr>
              <w:spacing w:after="0"/>
              <w:rPr>
                <w:sz w:val="18"/>
                <w:szCs w:val="18"/>
                <w:color w:val="auto"/>
              </w:rPr>
            </w:pPr>
          </w:p>
        </w:tc>
        <w:tc>
          <w:tcPr>
            <w:tcW w:w="7580" w:type="dxa"/>
            <w:vAlign w:val="bottom"/>
            <w:gridSpan w:val="13"/>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2.</w:t>
              </w:r>
            </w:hyperlink>
          </w:p>
        </w:tc>
        <w:tc>
          <w:tcPr>
            <w:tcW w:w="1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90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3.</w:t>
              </w:r>
            </w:hyperlink>
          </w:p>
        </w:tc>
        <w:tc>
          <w:tcPr>
            <w:tcW w:w="1060" w:type="dxa"/>
            <w:vAlign w:val="bottom"/>
            <w:gridSpan w:val="4"/>
          </w:tcPr>
          <w:p>
            <w:pPr>
              <w:spacing w:after="0"/>
              <w:rPr>
                <w:sz w:val="18"/>
                <w:szCs w:val="18"/>
                <w:color w:val="auto"/>
              </w:rPr>
            </w:pPr>
          </w:p>
        </w:tc>
        <w:tc>
          <w:tcPr>
            <w:tcW w:w="4840" w:type="dxa"/>
            <w:vAlign w:val="bottom"/>
            <w:gridSpan w:val="1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4220" w:type="dxa"/>
            <w:vAlign w:val="bottom"/>
            <w:gridSpan w:val="3"/>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4.</w:t>
              </w:r>
            </w:hyperlink>
          </w:p>
        </w:tc>
        <w:tc>
          <w:tcPr>
            <w:tcW w:w="1060" w:type="dxa"/>
            <w:vAlign w:val="bottom"/>
            <w:gridSpan w:val="4"/>
          </w:tcPr>
          <w:p>
            <w:pPr>
              <w:spacing w:after="0"/>
              <w:rPr>
                <w:sz w:val="18"/>
                <w:szCs w:val="18"/>
                <w:color w:val="auto"/>
              </w:rPr>
            </w:pPr>
          </w:p>
        </w:tc>
        <w:tc>
          <w:tcPr>
            <w:tcW w:w="2540" w:type="dxa"/>
            <w:vAlign w:val="bottom"/>
            <w:gridSpan w:val="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6520" w:type="dxa"/>
            <w:vAlign w:val="bottom"/>
            <w:gridSpan w:val="10"/>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5.</w:t>
              </w:r>
            </w:hyperlink>
          </w:p>
        </w:tc>
        <w:tc>
          <w:tcPr>
            <w:tcW w:w="1060" w:type="dxa"/>
            <w:vAlign w:val="bottom"/>
            <w:gridSpan w:val="4"/>
          </w:tcPr>
          <w:p>
            <w:pPr>
              <w:spacing w:after="0"/>
              <w:rPr>
                <w:sz w:val="18"/>
                <w:szCs w:val="18"/>
                <w:color w:val="auto"/>
              </w:rPr>
            </w:pPr>
          </w:p>
        </w:tc>
        <w:tc>
          <w:tcPr>
            <w:tcW w:w="1400" w:type="dxa"/>
            <w:vAlign w:val="bottom"/>
            <w:gridSpan w:val="4"/>
          </w:tcPr>
          <w:p>
            <w:pPr>
              <w:spacing w:after="0"/>
              <w:rPr>
                <w:rFonts w:ascii="Arial" w:cs="Arial" w:eastAsia="Arial" w:hAnsi="Arial"/>
                <w:sz w:val="18"/>
                <w:szCs w:val="18"/>
                <w:color w:val="0000FF"/>
                <w:w w:val="98"/>
              </w:rPr>
            </w:pPr>
            <w:hyperlink w:anchor="page28">
              <w:r>
                <w:rPr>
                  <w:rFonts w:ascii="Arial" w:cs="Arial" w:eastAsia="Arial" w:hAnsi="Arial"/>
                  <w:sz w:val="18"/>
                  <w:szCs w:val="18"/>
                  <w:color w:val="0000FF"/>
                  <w:w w:val="98"/>
                </w:rPr>
                <w:t>Other Information</w:t>
              </w:r>
            </w:hyperlink>
          </w:p>
        </w:tc>
        <w:tc>
          <w:tcPr>
            <w:tcW w:w="520" w:type="dxa"/>
            <w:vAlign w:val="bottom"/>
            <w:gridSpan w:val="3"/>
          </w:tcPr>
          <w:p>
            <w:pPr>
              <w:spacing w:after="0"/>
              <w:rPr>
                <w:sz w:val="18"/>
                <w:szCs w:val="18"/>
                <w:color w:val="auto"/>
              </w:rPr>
            </w:pPr>
          </w:p>
        </w:tc>
        <w:tc>
          <w:tcPr>
            <w:tcW w:w="7140" w:type="dxa"/>
            <w:vAlign w:val="bottom"/>
            <w:gridSpan w:val="11"/>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Item 6.</w:t>
              </w:r>
            </w:hyperlink>
          </w:p>
        </w:tc>
        <w:tc>
          <w:tcPr>
            <w:tcW w:w="1060" w:type="dxa"/>
            <w:vAlign w:val="bottom"/>
            <w:gridSpan w:val="4"/>
          </w:tcPr>
          <w:p>
            <w:pPr>
              <w:spacing w:after="0"/>
              <w:rPr>
                <w:sz w:val="18"/>
                <w:szCs w:val="18"/>
                <w:color w:val="auto"/>
              </w:rPr>
            </w:pPr>
          </w:p>
        </w:tc>
        <w:tc>
          <w:tcPr>
            <w:tcW w:w="140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7660" w:type="dxa"/>
            <w:vAlign w:val="bottom"/>
            <w:gridSpan w:val="14"/>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18"/>
                <w:szCs w:val="18"/>
                <w:color w:val="auto"/>
              </w:rPr>
            </w:pPr>
          </w:p>
        </w:tc>
      </w:tr>
      <w:tr>
        <w:trPr>
          <w:trHeight w:val="1405"/>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related to present facts or current conditions or historical facts, contained in this Quarterly Report on Form 10-Q, including statements regarding our strategy, future operations, future financial position, projected costs, expectations regarding the timing and outcome of the strategic review process, the expectations regarding our research and development efforts, the plans and objectives of management, are forward looking statements. These factors also include, but are not limited to, those factors set forth in the sections entitled "Risk Factors," "Legal Proceedings," "Management's Discussion and Analysis of Financial Condition and Results of Operations," "Quantitative and Qualitative Disclosures about Market Risk," and "Controls and Procedures" in this Quarterly Report on Form 10-Q, all of which you should review carefully. The words "anticipate," "believe," "estimate," "expect," "intend," "may," "plan," "predict," "project," "target," "potential," "will," "would," "could," "should," "continue" and similar expressions are intended to identify forward-looking statements, although not all forward-looking statements contain these identifying words.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Forward-looking statements are not guarantees of future performance and our actual results could differ materially from the results discussed in the forward-looking statements. Factors that could cause actual results to differ materially from those in the forward-looking statements include, but are not limited to, the costs associated with any pending or threatened litigation; our ability to continue to sell our consumer product; availability of funding sufficient for our foreseeable and unforeseeable operating expenses and capital expenditure requirements; ability to attract, retain and motivate qualified personnel; the inherent uncertainties associated with intellectual property; and other factors discussed in this Quarterly Report on Form 10-Q, our Current Report on Form 8-K/A filed on September 18, 2019 with Securities and Exchange Commission ("SEC") and other filings with the SEC.</w:t>
      </w:r>
    </w:p>
    <w:p>
      <w:pPr>
        <w:spacing w:after="0" w:line="204"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As a result of these and other factors, we may not actually achieve the plans, intentions or expectations disclosed in our forward-looking statements, and you should not place undue reliance on our forward-looking statements. We do not assume any obligation to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834390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638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PART I - FINANCIAL INFORMATION</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1160" w:type="dxa"/>
            <w:vAlign w:val="bottom"/>
          </w:tcPr>
          <w:p>
            <w:pPr>
              <w:spacing w:after="0"/>
              <w:rPr>
                <w:sz w:val="24"/>
                <w:szCs w:val="24"/>
                <w:color w:val="auto"/>
              </w:rPr>
            </w:pPr>
          </w:p>
        </w:tc>
        <w:tc>
          <w:tcPr>
            <w:tcW w:w="6380" w:type="dxa"/>
            <w:vAlign w:val="bottom"/>
          </w:tcPr>
          <w:p>
            <w:pPr>
              <w:jc w:val="center"/>
              <w:ind w:left="2630"/>
              <w:spacing w:after="0"/>
              <w:rPr>
                <w:sz w:val="20"/>
                <w:szCs w:val="20"/>
                <w:color w:val="auto"/>
              </w:rPr>
            </w:pPr>
            <w:r>
              <w:rPr>
                <w:rFonts w:ascii="Arial" w:cs="Arial" w:eastAsia="Arial" w:hAnsi="Arial"/>
                <w:sz w:val="18"/>
                <w:szCs w:val="18"/>
                <w:b w:val="1"/>
                <w:bCs w:val="1"/>
                <w:color w:val="auto"/>
              </w:rPr>
              <w:t>SALARIUS PHARMACEUTICALS, INC.</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1"/>
                <w:szCs w:val="21"/>
                <w:color w:val="auto"/>
              </w:rPr>
            </w:pPr>
          </w:p>
        </w:tc>
        <w:tc>
          <w:tcPr>
            <w:tcW w:w="638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11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4"/>
        </w:trPr>
        <w:tc>
          <w:tcPr>
            <w:tcW w:w="116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3,999,676</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3,228,288</w:t>
            </w:r>
          </w:p>
        </w:tc>
        <w:tc>
          <w:tcPr>
            <w:tcW w:w="0" w:type="dxa"/>
            <w:vAlign w:val="bottom"/>
          </w:tcPr>
          <w:p>
            <w:pPr>
              <w:spacing w:after="0"/>
              <w:rPr>
                <w:sz w:val="1"/>
                <w:szCs w:val="1"/>
                <w:color w:val="auto"/>
              </w:rPr>
            </w:pPr>
          </w:p>
        </w:tc>
      </w:tr>
      <w:tr>
        <w:trPr>
          <w:trHeight w:val="252"/>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2,903,493</w:t>
            </w: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1,239,708</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249,086</w:t>
            </w:r>
          </w:p>
        </w:tc>
        <w:tc>
          <w:tcPr>
            <w:tcW w:w="0" w:type="dxa"/>
            <w:vAlign w:val="bottom"/>
          </w:tcPr>
          <w:p>
            <w:pPr>
              <w:spacing w:after="0"/>
              <w:rPr>
                <w:sz w:val="1"/>
                <w:szCs w:val="1"/>
                <w:color w:val="auto"/>
              </w:rPr>
            </w:pPr>
          </w:p>
        </w:tc>
      </w:tr>
      <w:tr>
        <w:trPr>
          <w:trHeight w:val="245"/>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5,239,384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6,380,867</w:t>
            </w: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28,144</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37,525</w:t>
            </w:r>
          </w:p>
        </w:tc>
        <w:tc>
          <w:tcPr>
            <w:tcW w:w="0" w:type="dxa"/>
            <w:vAlign w:val="bottom"/>
          </w:tcPr>
          <w:p>
            <w:pPr>
              <w:spacing w:after="0"/>
              <w:rPr>
                <w:sz w:val="1"/>
                <w:szCs w:val="1"/>
                <w:color w:val="auto"/>
              </w:rPr>
            </w:pPr>
          </w:p>
        </w:tc>
      </w:tr>
      <w:tr>
        <w:trPr>
          <w:trHeight w:val="252"/>
        </w:trPr>
        <w:tc>
          <w:tcPr>
            <w:tcW w:w="1160" w:type="dxa"/>
            <w:vAlign w:val="bottom"/>
          </w:tcPr>
          <w:p>
            <w:pPr>
              <w:ind w:left="20"/>
              <w:spacing w:after="0"/>
              <w:rPr>
                <w:sz w:val="20"/>
                <w:szCs w:val="20"/>
                <w:color w:val="auto"/>
              </w:rPr>
            </w:pPr>
            <w:r>
              <w:rPr>
                <w:rFonts w:ascii="Arial" w:cs="Arial" w:eastAsia="Arial" w:hAnsi="Arial"/>
                <w:sz w:val="18"/>
                <w:szCs w:val="18"/>
                <w:color w:val="auto"/>
              </w:rPr>
              <w:t>Goodwill</w:t>
            </w:r>
          </w:p>
        </w:tc>
        <w:tc>
          <w:tcPr>
            <w:tcW w:w="6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3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324,509</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195,431</w:t>
            </w:r>
          </w:p>
        </w:tc>
        <w:tc>
          <w:tcPr>
            <w:tcW w:w="0" w:type="dxa"/>
            <w:vAlign w:val="bottom"/>
          </w:tcPr>
          <w:p>
            <w:pPr>
              <w:spacing w:after="0"/>
              <w:rPr>
                <w:sz w:val="1"/>
                <w:szCs w:val="1"/>
                <w:color w:val="auto"/>
              </w:rPr>
            </w:pPr>
          </w:p>
        </w:tc>
      </w:tr>
      <w:tr>
        <w:trPr>
          <w:trHeight w:val="255"/>
        </w:trPr>
        <w:tc>
          <w:tcPr>
            <w:tcW w:w="1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3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14,457,946</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6,613,823</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1,643,083</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373,834</w:t>
            </w:r>
          </w:p>
        </w:tc>
        <w:tc>
          <w:tcPr>
            <w:tcW w:w="0" w:type="dxa"/>
            <w:vAlign w:val="bottom"/>
          </w:tcPr>
          <w:p>
            <w:pPr>
              <w:spacing w:after="0"/>
              <w:rPr>
                <w:sz w:val="1"/>
                <w:szCs w:val="1"/>
                <w:color w:val="auto"/>
              </w:rPr>
            </w:pPr>
          </w:p>
        </w:tc>
      </w:tr>
      <w:tr>
        <w:trPr>
          <w:trHeight w:val="252"/>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245,603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628,990</w:t>
            </w: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Due to related parties</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4,429</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52"/>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Private Salarius accrued series A preferred units</w:t>
            </w:r>
          </w:p>
        </w:tc>
        <w:tc>
          <w:tcPr>
            <w:tcW w:w="200" w:type="dxa"/>
            <w:vAlign w:val="bottom"/>
          </w:tcPr>
          <w:p>
            <w:pPr>
              <w:spacing w:after="0"/>
              <w:rPr>
                <w:sz w:val="21"/>
                <w:szCs w:val="21"/>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2,869,412</w:t>
            </w: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749,157</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1,580,394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4,006,755</w:t>
            </w:r>
          </w:p>
        </w:tc>
        <w:tc>
          <w:tcPr>
            <w:tcW w:w="0" w:type="dxa"/>
            <w:vAlign w:val="bottom"/>
          </w:tcPr>
          <w:p>
            <w:pPr>
              <w:spacing w:after="0"/>
              <w:rPr>
                <w:sz w:val="1"/>
                <w:szCs w:val="1"/>
                <w:color w:val="auto"/>
              </w:rPr>
            </w:pPr>
          </w:p>
        </w:tc>
      </w:tr>
      <w:tr>
        <w:trPr>
          <w:trHeight w:val="261"/>
        </w:trPr>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498,247</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Total liabilities</w:t>
            </w:r>
          </w:p>
        </w:tc>
        <w:tc>
          <w:tcPr>
            <w:tcW w:w="6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4,720,913</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7,884,937</w:t>
            </w:r>
          </w:p>
        </w:tc>
        <w:tc>
          <w:tcPr>
            <w:tcW w:w="0" w:type="dxa"/>
            <w:vAlign w:val="bottom"/>
          </w:tcPr>
          <w:p>
            <w:pPr>
              <w:spacing w:after="0"/>
              <w:rPr>
                <w:sz w:val="1"/>
                <w:szCs w:val="1"/>
                <w:color w:val="auto"/>
              </w:rPr>
            </w:pPr>
          </w:p>
        </w:tc>
      </w:tr>
      <w:tr>
        <w:trPr>
          <w:trHeight w:val="201"/>
        </w:trPr>
        <w:tc>
          <w:tcPr>
            <w:tcW w:w="116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54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75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Preferred stock, $0.0001 par value; 10,000,000 shares authorized; none issued or</w:t>
            </w:r>
          </w:p>
        </w:tc>
        <w:tc>
          <w:tcPr>
            <w:tcW w:w="200" w:type="dxa"/>
            <w:vAlign w:val="bottom"/>
            <w:shd w:val="clear" w:color="auto" w:fill="CCEEFF"/>
          </w:tcPr>
          <w:p>
            <w:pPr>
              <w:spacing w:after="0"/>
              <w:rPr>
                <w:sz w:val="15"/>
                <w:szCs w:val="15"/>
                <w:color w:val="auto"/>
              </w:rPr>
            </w:pPr>
          </w:p>
        </w:tc>
        <w:tc>
          <w:tcPr>
            <w:tcW w:w="188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6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$0.0001 par value; 100,000,000 shares authorized; 3,768,672 and 2,338,899</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shares issued at September 30, 2019 and December 31, 2018, and 3,756,184 and 2,032,763</w:t>
            </w:r>
          </w:p>
        </w:tc>
        <w:tc>
          <w:tcPr>
            <w:tcW w:w="200" w:type="dxa"/>
            <w:vAlign w:val="bottom"/>
          </w:tcPr>
          <w:p>
            <w:pPr>
              <w:spacing w:after="0"/>
              <w:rPr>
                <w:sz w:val="15"/>
                <w:szCs w:val="15"/>
                <w:color w:val="auto"/>
              </w:rPr>
            </w:pPr>
          </w:p>
        </w:tc>
        <w:tc>
          <w:tcPr>
            <w:tcW w:w="1600" w:type="dxa"/>
            <w:vAlign w:val="bottom"/>
            <w:vMerge w:val="restart"/>
          </w:tcPr>
          <w:p>
            <w:pPr>
              <w:jc w:val="right"/>
              <w:ind w:right="70"/>
              <w:spacing w:after="0"/>
              <w:rPr>
                <w:sz w:val="20"/>
                <w:szCs w:val="20"/>
                <w:color w:val="auto"/>
              </w:rPr>
            </w:pPr>
            <w:r>
              <w:rPr>
                <w:rFonts w:ascii="Arial" w:cs="Arial" w:eastAsia="Arial" w:hAnsi="Arial"/>
                <w:sz w:val="18"/>
                <w:szCs w:val="18"/>
                <w:color w:val="auto"/>
              </w:rPr>
              <w:t>3,756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vMerge w:val="restart"/>
          </w:tcPr>
          <w:p>
            <w:pPr>
              <w:jc w:val="right"/>
              <w:ind w:right="7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shares outstanding at September 30, 2019 and December 31, 2018, respectively</w:t>
            </w:r>
          </w:p>
        </w:tc>
        <w:tc>
          <w:tcPr>
            <w:tcW w:w="2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19,927,156</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3,867,290</w:t>
            </w:r>
          </w:p>
        </w:tc>
        <w:tc>
          <w:tcPr>
            <w:tcW w:w="0" w:type="dxa"/>
            <w:vAlign w:val="bottom"/>
          </w:tcPr>
          <w:p>
            <w:pPr>
              <w:spacing w:after="0"/>
              <w:rPr>
                <w:sz w:val="1"/>
                <w:szCs w:val="1"/>
                <w:color w:val="auto"/>
              </w:rPr>
            </w:pPr>
          </w:p>
        </w:tc>
      </w:tr>
      <w:tr>
        <w:trPr>
          <w:trHeight w:val="252"/>
        </w:trPr>
        <w:tc>
          <w:tcPr>
            <w:tcW w:w="7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(10,193,879)</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(5,140,437)</w:t>
            </w:r>
          </w:p>
        </w:tc>
        <w:tc>
          <w:tcPr>
            <w:tcW w:w="0" w:type="dxa"/>
            <w:vAlign w:val="bottom"/>
          </w:tcPr>
          <w:p>
            <w:pPr>
              <w:spacing w:after="0"/>
              <w:rPr>
                <w:sz w:val="1"/>
                <w:szCs w:val="1"/>
                <w:color w:val="auto"/>
              </w:rPr>
            </w:pPr>
          </w:p>
        </w:tc>
      </w:tr>
      <w:tr>
        <w:trPr>
          <w:trHeight w:val="25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9,737,033</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(1,271,114)</w:t>
            </w:r>
          </w:p>
        </w:tc>
        <w:tc>
          <w:tcPr>
            <w:tcW w:w="0" w:type="dxa"/>
            <w:vAlign w:val="bottom"/>
          </w:tcPr>
          <w:p>
            <w:pPr>
              <w:spacing w:after="0"/>
              <w:rPr>
                <w:sz w:val="1"/>
                <w:szCs w:val="1"/>
                <w:color w:val="auto"/>
              </w:rPr>
            </w:pPr>
          </w:p>
        </w:tc>
      </w:tr>
      <w:tr>
        <w:trPr>
          <w:trHeight w:val="255"/>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14,457,946</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6,613,823</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SALARIUS PHARMACEUTICALS, INC.</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Three Months</w:t>
            </w:r>
          </w:p>
        </w:tc>
        <w:tc>
          <w:tcPr>
            <w:tcW w:w="20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Nine Months</w:t>
            </w:r>
          </w:p>
        </w:tc>
        <w:tc>
          <w:tcPr>
            <w:tcW w:w="200" w:type="dxa"/>
            <w:vAlign w:val="bottom"/>
          </w:tcPr>
          <w:p>
            <w:pPr>
              <w:spacing w:after="0"/>
              <w:rPr>
                <w:sz w:val="17"/>
                <w:szCs w:val="17"/>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Nine Months</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84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rPr>
              <w:t>Ended September</w:t>
            </w:r>
          </w:p>
        </w:tc>
        <w:tc>
          <w:tcPr>
            <w:tcW w:w="184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rPr>
              <w:t>Ended September</w:t>
            </w:r>
          </w:p>
        </w:tc>
        <w:tc>
          <w:tcPr>
            <w:tcW w:w="186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rPr>
              <w:t>Ended September</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Ended September</w:t>
            </w:r>
          </w:p>
        </w:tc>
        <w:tc>
          <w:tcPr>
            <w:tcW w:w="0" w:type="dxa"/>
            <w:vAlign w:val="bottom"/>
          </w:tcPr>
          <w:p>
            <w:pPr>
              <w:spacing w:after="0"/>
              <w:rPr>
                <w:sz w:val="1"/>
                <w:szCs w:val="1"/>
                <w:color w:val="auto"/>
              </w:rPr>
            </w:pPr>
          </w:p>
        </w:tc>
      </w:tr>
      <w:tr>
        <w:trPr>
          <w:trHeight w:val="254"/>
        </w:trPr>
        <w:tc>
          <w:tcPr>
            <w:tcW w:w="4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30, 2019</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30, 2018</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30, 2019</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30, 2018</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874,949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469,051</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2,426,362</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1,312,752</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1,140,909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353,607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2,680,982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803,846</w:t>
            </w:r>
          </w:p>
        </w:tc>
        <w:tc>
          <w:tcPr>
            <w:tcW w:w="0" w:type="dxa"/>
            <w:vAlign w:val="bottom"/>
          </w:tcPr>
          <w:p>
            <w:pPr>
              <w:spacing w:after="0"/>
              <w:rPr>
                <w:sz w:val="1"/>
                <w:szCs w:val="1"/>
                <w:color w:val="auto"/>
              </w:rPr>
            </w:pPr>
          </w:p>
        </w:tc>
      </w:tr>
      <w:tr>
        <w:trPr>
          <w:trHeight w:val="261"/>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3,494,205</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428,958</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5,950,431</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1,093,596</w:t>
            </w:r>
          </w:p>
        </w:tc>
        <w:tc>
          <w:tcPr>
            <w:tcW w:w="0" w:type="dxa"/>
            <w:vAlign w:val="bottom"/>
          </w:tcPr>
          <w:p>
            <w:pPr>
              <w:spacing w:after="0"/>
              <w:rPr>
                <w:sz w:val="1"/>
                <w:szCs w:val="1"/>
                <w:color w:val="auto"/>
              </w:rPr>
            </w:pPr>
          </w:p>
        </w:tc>
      </w:tr>
      <w:tr>
        <w:trPr>
          <w:trHeight w:val="24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4,635,114</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782,565</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8,631,413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1,897,442</w:t>
            </w:r>
          </w:p>
        </w:tc>
        <w:tc>
          <w:tcPr>
            <w:tcW w:w="0" w:type="dxa"/>
            <w:vAlign w:val="bottom"/>
          </w:tcPr>
          <w:p>
            <w:pPr>
              <w:spacing w:after="0"/>
              <w:rPr>
                <w:sz w:val="1"/>
                <w:szCs w:val="1"/>
                <w:color w:val="auto"/>
              </w:rPr>
            </w:pPr>
          </w:p>
        </w:tc>
      </w:tr>
      <w:tr>
        <w:trPr>
          <w:trHeight w:val="25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(3,760,165)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(313,514)</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(6,205,051)</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(584,690)</w:t>
            </w:r>
          </w:p>
        </w:tc>
        <w:tc>
          <w:tcPr>
            <w:tcW w:w="0" w:type="dxa"/>
            <w:vAlign w:val="bottom"/>
          </w:tcPr>
          <w:p>
            <w:pPr>
              <w:spacing w:after="0"/>
              <w:rPr>
                <w:sz w:val="1"/>
                <w:szCs w:val="1"/>
                <w:color w:val="auto"/>
              </w:rPr>
            </w:pPr>
          </w:p>
        </w:tc>
      </w:tr>
      <w:tr>
        <w:trPr>
          <w:trHeight w:val="252"/>
        </w:trPr>
        <w:tc>
          <w:tcPr>
            <w:tcW w:w="42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1,130,848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1,130,848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6,064</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18,413</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45"/>
        </w:trPr>
        <w:tc>
          <w:tcPr>
            <w:tcW w:w="420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(2,630,069)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(307,450)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(5,055,790)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(577,766)</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2,348</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(2,627,721)</w:t>
            </w:r>
          </w:p>
        </w:tc>
        <w:tc>
          <w:tcPr>
            <w:tcW w:w="1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(307,450)</w:t>
            </w: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(5,053,442)</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(577,766)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20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(2,630,069)</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(307,450)</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(5,055,790)</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(577,766)</w:t>
            </w:r>
          </w:p>
        </w:tc>
        <w:tc>
          <w:tcPr>
            <w:tcW w:w="0" w:type="dxa"/>
            <w:vAlign w:val="bottom"/>
          </w:tcPr>
          <w:p>
            <w:pPr>
              <w:spacing w:after="0"/>
              <w:rPr>
                <w:sz w:val="1"/>
                <w:szCs w:val="1"/>
                <w:color w:val="auto"/>
              </w:rPr>
            </w:pPr>
          </w:p>
        </w:tc>
      </w:tr>
      <w:tr>
        <w:trPr>
          <w:trHeight w:val="26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1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(24,580)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(88,015)</w:t>
            </w:r>
          </w:p>
        </w:tc>
        <w:tc>
          <w:tcPr>
            <w:tcW w:w="0" w:type="dxa"/>
            <w:vAlign w:val="bottom"/>
          </w:tcPr>
          <w:p>
            <w:pPr>
              <w:spacing w:after="0"/>
              <w:rPr>
                <w:sz w:val="1"/>
                <w:szCs w:val="1"/>
                <w:color w:val="auto"/>
              </w:rPr>
            </w:pPr>
          </w:p>
        </w:tc>
      </w:tr>
      <w:tr>
        <w:trPr>
          <w:trHeight w:val="187"/>
        </w:trPr>
        <w:tc>
          <w:tcPr>
            <w:tcW w:w="4200" w:type="dxa"/>
            <w:vAlign w:val="bottom"/>
          </w:tcPr>
          <w:p>
            <w:pPr>
              <w:ind w:left="20"/>
              <w:spacing w:after="0" w:line="187" w:lineRule="exact"/>
              <w:rPr>
                <w:sz w:val="20"/>
                <w:szCs w:val="20"/>
                <w:color w:val="auto"/>
              </w:rPr>
            </w:pPr>
            <w:r>
              <w:rPr>
                <w:rFonts w:ascii="Arial" w:cs="Arial" w:eastAsia="Arial" w:hAnsi="Arial"/>
                <w:sz w:val="18"/>
                <w:szCs w:val="18"/>
                <w:color w:val="auto"/>
              </w:rPr>
              <w:t>Loss from continuing operations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(2,630,069)</w:t>
            </w:r>
          </w:p>
        </w:tc>
        <w:tc>
          <w:tcPr>
            <w:tcW w:w="18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(332,030)</w:t>
            </w:r>
          </w:p>
        </w:tc>
        <w:tc>
          <w:tcPr>
            <w:tcW w:w="18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(5,055,790)</w:t>
            </w:r>
          </w:p>
        </w:tc>
        <w:tc>
          <w:tcPr>
            <w:tcW w:w="20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(665,781)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common stockholders</w:t>
            </w:r>
          </w:p>
        </w:tc>
        <w:tc>
          <w:tcPr>
            <w:tcW w:w="1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200" w:type="dxa"/>
            <w:vAlign w:val="bottom"/>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52"/>
        </w:trPr>
        <w:tc>
          <w:tcPr>
            <w:tcW w:w="42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loss per share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(0.73)</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Weighted-average number of common shares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color w:val="auto"/>
              </w:rPr>
              <w:t>3,605,913</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color w:val="auto"/>
              </w:rPr>
              <w:t>1,653,340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color w:val="auto"/>
              </w:rPr>
              <w:t>3,002,736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vMerge w:val="restart"/>
          </w:tcPr>
          <w:p>
            <w:pPr>
              <w:jc w:val="right"/>
              <w:ind w:right="70"/>
              <w:spacing w:after="0"/>
              <w:rPr>
                <w:sz w:val="20"/>
                <w:szCs w:val="20"/>
                <w:color w:val="auto"/>
              </w:rPr>
            </w:pPr>
            <w:r>
              <w:rPr>
                <w:rFonts w:ascii="Arial" w:cs="Arial" w:eastAsia="Arial" w:hAnsi="Arial"/>
                <w:sz w:val="18"/>
                <w:szCs w:val="18"/>
                <w:color w:val="auto"/>
              </w:rPr>
              <w:t>1,407,062</w:t>
            </w:r>
          </w:p>
        </w:tc>
        <w:tc>
          <w:tcPr>
            <w:tcW w:w="0" w:type="dxa"/>
            <w:vAlign w:val="bottom"/>
          </w:tcPr>
          <w:p>
            <w:pPr>
              <w:spacing w:after="0"/>
              <w:rPr>
                <w:sz w:val="1"/>
                <w:szCs w:val="1"/>
                <w:color w:val="auto"/>
              </w:rPr>
            </w:pPr>
          </w:p>
        </w:tc>
      </w:tr>
      <w:tr>
        <w:trPr>
          <w:trHeight w:val="203"/>
        </w:trPr>
        <w:tc>
          <w:tcPr>
            <w:tcW w:w="4200" w:type="dxa"/>
            <w:vAlign w:val="bottom"/>
          </w:tcPr>
          <w:p>
            <w:pPr>
              <w:ind w:left="100"/>
              <w:spacing w:after="0" w:line="202" w:lineRule="exact"/>
              <w:rPr>
                <w:sz w:val="20"/>
                <w:szCs w:val="20"/>
                <w:color w:val="auto"/>
              </w:rPr>
            </w:pPr>
            <w:r>
              <w:rPr>
                <w:rFonts w:ascii="Arial" w:cs="Arial" w:eastAsia="Arial" w:hAnsi="Arial"/>
                <w:sz w:val="18"/>
                <w:szCs w:val="18"/>
                <w:color w:val="auto"/>
              </w:rPr>
              <w:t>outstanding — basic and diluted</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SALARIUS PHARMACEUTICALS,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Nine Months</w:t>
            </w:r>
          </w:p>
        </w:tc>
        <w:tc>
          <w:tcPr>
            <w:tcW w:w="200" w:type="dxa"/>
            <w:vAlign w:val="bottom"/>
          </w:tcPr>
          <w:p>
            <w:pPr>
              <w:spacing w:after="0"/>
              <w:rPr>
                <w:sz w:val="17"/>
                <w:szCs w:val="17"/>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Nine Months</w:t>
            </w:r>
          </w:p>
        </w:tc>
      </w:tr>
      <w:tr>
        <w:trPr>
          <w:trHeight w:val="203"/>
        </w:trPr>
        <w:tc>
          <w:tcPr>
            <w:tcW w:w="7980" w:type="dxa"/>
            <w:vAlign w:val="bottom"/>
          </w:tcPr>
          <w:p>
            <w:pPr>
              <w:spacing w:after="0"/>
              <w:rPr>
                <w:sz w:val="17"/>
                <w:szCs w:val="17"/>
                <w:color w:val="auto"/>
              </w:rPr>
            </w:pPr>
          </w:p>
        </w:tc>
        <w:tc>
          <w:tcPr>
            <w:tcW w:w="17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Ended September</w:t>
            </w:r>
          </w:p>
        </w:tc>
        <w:tc>
          <w:tcPr>
            <w:tcW w:w="16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Ended September</w:t>
            </w:r>
          </w:p>
        </w:tc>
      </w:tr>
      <w:tr>
        <w:trPr>
          <w:trHeight w:val="254"/>
        </w:trPr>
        <w:tc>
          <w:tcPr>
            <w:tcW w:w="7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30, 2019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30, 2018</w:t>
            </w:r>
          </w:p>
        </w:tc>
      </w:tr>
      <w:tr>
        <w:trPr>
          <w:trHeight w:val="25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(5,053,442)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(577,766)</w:t>
            </w:r>
          </w:p>
        </w:tc>
      </w:tr>
      <w:tr>
        <w:trPr>
          <w:trHeight w:val="26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2"/>
        </w:trPr>
        <w:tc>
          <w:tcPr>
            <w:tcW w:w="7980" w:type="dxa"/>
            <w:vAlign w:val="bottom"/>
          </w:tcPr>
          <w:p>
            <w:pPr>
              <w:ind w:left="120"/>
              <w:spacing w:after="0"/>
              <w:rPr>
                <w:sz w:val="20"/>
                <w:szCs w:val="20"/>
                <w:color w:val="auto"/>
              </w:rPr>
            </w:pPr>
            <w:r>
              <w:rPr>
                <w:rFonts w:ascii="Arial" w:cs="Arial" w:eastAsia="Arial" w:hAnsi="Arial"/>
                <w:sz w:val="18"/>
                <w:szCs w:val="18"/>
                <w:color w:val="auto"/>
              </w:rPr>
              <w:t>Depreciation, amortization and impairment</w:t>
            </w: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123,174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12,713</w:t>
            </w:r>
          </w:p>
        </w:tc>
      </w:tr>
      <w:tr>
        <w:trPr>
          <w:trHeight w:val="261"/>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compensation expense</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579,721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52,781</w:t>
            </w:r>
          </w:p>
        </w:tc>
      </w:tr>
      <w:tr>
        <w:trPr>
          <w:trHeight w:val="252"/>
        </w:trPr>
        <w:tc>
          <w:tcPr>
            <w:tcW w:w="798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(1,130,848)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1"/>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2"/>
        </w:trPr>
        <w:tc>
          <w:tcPr>
            <w:tcW w:w="79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1"/>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2"/>
        </w:trPr>
        <w:tc>
          <w:tcPr>
            <w:tcW w:w="79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(206,956)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(274,432)</w:t>
            </w:r>
          </w:p>
        </w:tc>
      </w:tr>
      <w:tr>
        <w:trPr>
          <w:trHeight w:val="261"/>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(593,351)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(452,102)</w:t>
            </w:r>
          </w:p>
        </w:tc>
      </w:tr>
      <w:tr>
        <w:trPr>
          <w:trHeight w:val="252"/>
        </w:trPr>
        <w:tc>
          <w:tcPr>
            <w:tcW w:w="79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(235,817)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29,383</w:t>
            </w:r>
          </w:p>
        </w:tc>
      </w:tr>
      <w:tr>
        <w:trPr>
          <w:trHeight w:val="261"/>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to/from related party</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21,728</w:t>
            </w:r>
          </w:p>
        </w:tc>
      </w:tr>
      <w:tr>
        <w:trPr>
          <w:trHeight w:val="252"/>
        </w:trPr>
        <w:tc>
          <w:tcPr>
            <w:tcW w:w="79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(2,426,361)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3,687,248</w:t>
            </w:r>
          </w:p>
        </w:tc>
      </w:tr>
      <w:tr>
        <w:trPr>
          <w:trHeight w:val="261"/>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Private Salarius accrued Series A investment</w:t>
            </w:r>
          </w:p>
        </w:tc>
        <w:tc>
          <w:tcPr>
            <w:tcW w:w="2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1,290,098</w:t>
            </w:r>
          </w:p>
        </w:tc>
      </w:tr>
      <w:tr>
        <w:trPr>
          <w:trHeight w:val="24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(8,943,538)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3,789,651</w:t>
            </w:r>
          </w:p>
        </w:tc>
      </w:tr>
      <w:tr>
        <w:trPr>
          <w:trHeight w:val="79"/>
        </w:trPr>
        <w:tc>
          <w:tcPr>
            <w:tcW w:w="7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r>
      <w:tr>
        <w:trPr>
          <w:trHeight w:val="256"/>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received in reverse acquisition</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5,403,634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proceeds received from disposal of discontinued operations</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204,274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5,607,908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93"/>
        </w:trPr>
        <w:tc>
          <w:tcPr>
            <w:tcW w:w="7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Payments to redeem equity securities</w:t>
            </w:r>
          </w:p>
        </w:tc>
        <w:tc>
          <w:tcPr>
            <w:tcW w:w="20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6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1,508,179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2,050,269</w:t>
            </w: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(133,594)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(58,959)</w:t>
            </w:r>
          </w:p>
        </w:tc>
      </w:tr>
      <w:tr>
        <w:trPr>
          <w:trHeight w:val="26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(171,060)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1,203,525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1,741,310</w:t>
            </w:r>
          </w:p>
        </w:tc>
      </w:tr>
      <w:tr>
        <w:trPr>
          <w:trHeight w:val="113"/>
        </w:trPr>
        <w:tc>
          <w:tcPr>
            <w:tcW w:w="7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(2,132,105)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5,530,961</w:t>
            </w: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6,131,781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519,337</w:t>
            </w:r>
          </w:p>
        </w:tc>
      </w:tr>
      <w:tr>
        <w:trPr>
          <w:trHeight w:val="255"/>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3,999,676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6,050,298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2"/>
        </w:trPr>
        <w:tc>
          <w:tcPr>
            <w:tcW w:w="79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56"/>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98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7980" w:type="dxa"/>
            <w:vAlign w:val="bottom"/>
          </w:tcPr>
          <w:p>
            <w:pPr>
              <w:ind w:left="120"/>
              <w:spacing w:after="0"/>
              <w:rPr>
                <w:sz w:val="20"/>
                <w:szCs w:val="20"/>
                <w:color w:val="auto"/>
              </w:rPr>
            </w:pPr>
            <w:r>
              <w:rPr>
                <w:rFonts w:ascii="Arial" w:cs="Arial" w:eastAsia="Arial" w:hAnsi="Arial"/>
                <w:sz w:val="18"/>
                <w:szCs w:val="18"/>
                <w:color w:val="auto"/>
              </w:rPr>
              <w:t>Issuance of shares for license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110,474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6"/>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Conversion of liabilities to equity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2,869,412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980" w:type="dxa"/>
            <w:vAlign w:val="bottom"/>
          </w:tcPr>
          <w:p>
            <w:pPr>
              <w:ind w:left="120"/>
              <w:spacing w:after="0"/>
              <w:rPr>
                <w:sz w:val="20"/>
                <w:szCs w:val="20"/>
                <w:color w:val="auto"/>
              </w:rPr>
            </w:pPr>
            <w:r>
              <w:rPr>
                <w:rFonts w:ascii="Arial" w:cs="Arial" w:eastAsia="Arial" w:hAnsi="Arial"/>
                <w:sz w:val="18"/>
                <w:szCs w:val="18"/>
                <w:color w:val="auto"/>
              </w:rPr>
              <w:t>Issuance of common shares for business combination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11,093,561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76"/>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 financed by note payable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920,217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SALARIUS PHARMACEUTICALS, INC.</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tbl>
      <w:tblPr>
        <w:tblLayout w:type="fixed"/>
        <w:tblInd w:w="1460" w:type="dxa"/>
        <w:tblCellMar>
          <w:top w:w="0" w:type="dxa"/>
          <w:left w:w="0" w:type="dxa"/>
          <w:bottom w:w="0" w:type="dxa"/>
          <w:right w:w="0" w:type="dxa"/>
        </w:tblCellMar>
      </w:tblPr>
      <w:tr>
        <w:trPr>
          <w:trHeight w:val="253"/>
        </w:trPr>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5"/>
          </w:tcPr>
          <w:p>
            <w:pPr>
              <w:ind w:left="14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2580" w:type="dxa"/>
            <w:vAlign w:val="bottom"/>
          </w:tcPr>
          <w:p>
            <w:pPr>
              <w:spacing w:after="0"/>
              <w:rPr>
                <w:sz w:val="24"/>
                <w:szCs w:val="24"/>
                <w:color w:val="auto"/>
              </w:rPr>
            </w:pPr>
          </w:p>
        </w:tc>
        <w:tc>
          <w:tcPr>
            <w:tcW w:w="1920" w:type="dxa"/>
            <w:vAlign w:val="bottom"/>
            <w:gridSpan w:val="4"/>
          </w:tcPr>
          <w:p>
            <w:pPr>
              <w:ind w:left="2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240"/>
              <w:spacing w:after="0" w:line="164" w:lineRule="exact"/>
              <w:rPr>
                <w:sz w:val="20"/>
                <w:szCs w:val="20"/>
                <w:color w:val="auto"/>
              </w:rPr>
            </w:pPr>
            <w:r>
              <w:rPr>
                <w:rFonts w:ascii="Arial" w:cs="Arial" w:eastAsia="Arial" w:hAnsi="Arial"/>
                <w:sz w:val="18"/>
                <w:szCs w:val="18"/>
                <w:b w:val="1"/>
                <w:bCs w:val="1"/>
                <w:color w:val="auto"/>
                <w:w w:val="99"/>
              </w:rPr>
              <w:t>Paid-In</w:t>
            </w:r>
          </w:p>
        </w:tc>
        <w:tc>
          <w:tcPr>
            <w:tcW w:w="1380" w:type="dxa"/>
            <w:vAlign w:val="bottom"/>
            <w:gridSpan w:val="3"/>
            <w:vMerge w:val="restart"/>
          </w:tcPr>
          <w:p>
            <w:pPr>
              <w:jc w:val="center"/>
              <w:ind w:right="120"/>
              <w:spacing w:after="0" w:line="164" w:lineRule="exact"/>
              <w:rPr>
                <w:sz w:val="20"/>
                <w:szCs w:val="20"/>
                <w:color w:val="auto"/>
              </w:rPr>
            </w:pPr>
            <w:r>
              <w:rPr>
                <w:rFonts w:ascii="Arial" w:cs="Arial" w:eastAsia="Arial" w:hAnsi="Arial"/>
                <w:sz w:val="18"/>
                <w:szCs w:val="18"/>
                <w:b w:val="1"/>
                <w:bCs w:val="1"/>
                <w:color w:val="auto"/>
              </w:rPr>
              <w:t>Accumulated</w:t>
            </w:r>
          </w:p>
        </w:tc>
        <w:tc>
          <w:tcPr>
            <w:tcW w:w="1360" w:type="dxa"/>
            <w:vAlign w:val="bottom"/>
            <w:gridSpan w:val="2"/>
            <w:vMerge w:val="restart"/>
          </w:tcPr>
          <w:p>
            <w:pPr>
              <w:jc w:val="center"/>
              <w:spacing w:after="0" w:line="164"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77"/>
        </w:trPr>
        <w:tc>
          <w:tcPr>
            <w:tcW w:w="2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580" w:type="dxa"/>
            <w:vAlign w:val="bottom"/>
          </w:tcPr>
          <w:p>
            <w:pPr>
              <w:spacing w:after="0"/>
              <w:rPr>
                <w:sz w:val="22"/>
                <w:szCs w:val="22"/>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22"/>
                <w:szCs w:val="22"/>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Deficit</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Equity (Deficit)</w:t>
            </w:r>
          </w:p>
        </w:tc>
        <w:tc>
          <w:tcPr>
            <w:tcW w:w="0" w:type="dxa"/>
            <w:vAlign w:val="bottom"/>
          </w:tcPr>
          <w:p>
            <w:pPr>
              <w:spacing w:after="0"/>
              <w:rPr>
                <w:sz w:val="1"/>
                <w:szCs w:val="1"/>
                <w:color w:val="auto"/>
              </w:rPr>
            </w:pPr>
          </w:p>
        </w:tc>
      </w:tr>
      <w:tr>
        <w:trPr>
          <w:trHeight w:val="185"/>
        </w:trPr>
        <w:tc>
          <w:tcPr>
            <w:tcW w:w="2580" w:type="dxa"/>
            <w:vAlign w:val="bottom"/>
            <w:tcBorders>
              <w:top w:val="single" w:sz="8" w:color="CCEEFF"/>
            </w:tcBorders>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Balance at December 31,</w:t>
            </w: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1,178,604</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$ 1,179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569,195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(3,470,800)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(2,900,426)</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80" w:type="dxa"/>
            <w:vAlign w:val="bottom"/>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11,483</w:t>
            </w:r>
          </w:p>
        </w:tc>
        <w:tc>
          <w:tcPr>
            <w:tcW w:w="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(33,896)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(33,896)</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(381,549)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(381,549)</w:t>
            </w:r>
          </w:p>
        </w:tc>
        <w:tc>
          <w:tcPr>
            <w:tcW w:w="0" w:type="dxa"/>
            <w:vAlign w:val="bottom"/>
          </w:tcPr>
          <w:p>
            <w:pPr>
              <w:spacing w:after="0"/>
              <w:rPr>
                <w:sz w:val="1"/>
                <w:szCs w:val="1"/>
                <w:color w:val="auto"/>
              </w:rPr>
            </w:pPr>
          </w:p>
        </w:tc>
      </w:tr>
      <w:tr>
        <w:trPr>
          <w:trHeight w:val="25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2018</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1,190,087</w:t>
            </w:r>
          </w:p>
        </w:tc>
        <w:tc>
          <w:tcPr>
            <w:tcW w:w="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535,288</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(3,852,349)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(3,315,871)</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Issuance of equity securities</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451,826</w:t>
            </w:r>
          </w:p>
        </w:tc>
        <w:tc>
          <w:tcPr>
            <w:tcW w:w="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2,024,817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2,025,269</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11,403</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24,768</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Accrued dividend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(29,539)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(29,539)</w:t>
            </w:r>
          </w:p>
        </w:tc>
        <w:tc>
          <w:tcPr>
            <w:tcW w:w="0" w:type="dxa"/>
            <w:vAlign w:val="bottom"/>
          </w:tcPr>
          <w:p>
            <w:pPr>
              <w:spacing w:after="0"/>
              <w:rPr>
                <w:sz w:val="1"/>
                <w:szCs w:val="1"/>
                <w:color w:val="auto"/>
              </w:rPr>
            </w:pPr>
          </w:p>
        </w:tc>
      </w:tr>
      <w:tr>
        <w:trPr>
          <w:trHeight w:val="26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111,233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111,233</w:t>
            </w:r>
          </w:p>
        </w:tc>
        <w:tc>
          <w:tcPr>
            <w:tcW w:w="0" w:type="dxa"/>
            <w:vAlign w:val="bottom"/>
          </w:tcPr>
          <w:p>
            <w:pPr>
              <w:spacing w:after="0"/>
              <w:rPr>
                <w:sz w:val="1"/>
                <w:szCs w:val="1"/>
                <w:color w:val="auto"/>
              </w:rPr>
            </w:pPr>
          </w:p>
        </w:tc>
      </w:tr>
      <w:tr>
        <w:trPr>
          <w:trHeight w:val="249"/>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2018</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7"/>
              </w:rPr>
              <w:t>1,653,316</w:t>
            </w:r>
          </w:p>
        </w:tc>
        <w:tc>
          <w:tcPr>
            <w:tcW w:w="80" w:type="dxa"/>
            <w:vAlign w:val="bottom"/>
          </w:tcPr>
          <w:p>
            <w:pPr>
              <w:spacing w:after="0"/>
              <w:rPr>
                <w:sz w:val="21"/>
                <w:szCs w:val="21"/>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2,555,323</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(3,741,116)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(1,184,140)</w:t>
            </w:r>
          </w:p>
        </w:tc>
        <w:tc>
          <w:tcPr>
            <w:tcW w:w="0" w:type="dxa"/>
            <w:vAlign w:val="bottom"/>
          </w:tcPr>
          <w:p>
            <w:pPr>
              <w:spacing w:after="0"/>
              <w:rPr>
                <w:sz w:val="1"/>
                <w:szCs w:val="1"/>
                <w:color w:val="auto"/>
              </w:rPr>
            </w:pPr>
          </w:p>
        </w:tc>
      </w:tr>
      <w:tr>
        <w:trPr>
          <w:trHeight w:val="20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11,790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28,001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Accrued dividend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(24,580)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6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(307,450)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(307,450)</w:t>
            </w:r>
          </w:p>
        </w:tc>
        <w:tc>
          <w:tcPr>
            <w:tcW w:w="0" w:type="dxa"/>
            <w:vAlign w:val="bottom"/>
          </w:tcPr>
          <w:p>
            <w:pPr>
              <w:spacing w:after="0"/>
              <w:rPr>
                <w:sz w:val="1"/>
                <w:szCs w:val="1"/>
                <w:color w:val="auto"/>
              </w:rPr>
            </w:pPr>
          </w:p>
        </w:tc>
      </w:tr>
      <w:tr>
        <w:trPr>
          <w:trHeight w:val="185"/>
        </w:trPr>
        <w:tc>
          <w:tcPr>
            <w:tcW w:w="258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Balance at September 30,</w:t>
            </w:r>
          </w:p>
        </w:tc>
        <w:tc>
          <w:tcPr>
            <w:tcW w:w="9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7"/>
              </w:rPr>
              <w:t>1,665,106</w:t>
            </w:r>
          </w:p>
        </w:tc>
        <w:tc>
          <w:tcPr>
            <w:tcW w:w="80" w:type="dxa"/>
            <w:vAlign w:val="bottom"/>
          </w:tcPr>
          <w:p>
            <w:pPr>
              <w:spacing w:after="0"/>
              <w:rPr>
                <w:sz w:val="16"/>
                <w:szCs w:val="16"/>
                <w:color w:val="auto"/>
              </w:rPr>
            </w:pPr>
          </w:p>
        </w:tc>
        <w:tc>
          <w:tcPr>
            <w:tcW w:w="7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$ 1,665</w:t>
            </w:r>
          </w:p>
        </w:tc>
        <w:tc>
          <w:tcPr>
            <w:tcW w:w="10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2,558,744</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(4,048,566)</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(1,488,157)</w:t>
            </w:r>
          </w:p>
        </w:tc>
        <w:tc>
          <w:tcPr>
            <w:tcW w:w="0" w:type="dxa"/>
            <w:vAlign w:val="bottom"/>
          </w:tcPr>
          <w:p>
            <w:pPr>
              <w:spacing w:after="0"/>
              <w:rPr>
                <w:sz w:val="1"/>
                <w:szCs w:val="1"/>
                <w:color w:val="auto"/>
              </w:rPr>
            </w:pPr>
          </w:p>
        </w:tc>
      </w:tr>
      <w:tr>
        <w:trPr>
          <w:trHeight w:val="232"/>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5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Balance at December 31,</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2,032,763</w:t>
            </w:r>
          </w:p>
        </w:tc>
        <w:tc>
          <w:tcPr>
            <w:tcW w:w="8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$ 2,033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3,867,290</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(5,140,437)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(1,271,114)</w:t>
            </w: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equity securities</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960,489</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4,376,631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4,377,591</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8"/>
                <w:szCs w:val="18"/>
                <w:color w:val="auto"/>
              </w:rPr>
              <w:t>Issuance of equity securities for</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80" w:type="dxa"/>
            <w:vAlign w:val="bottom"/>
          </w:tcPr>
          <w:p>
            <w:pPr>
              <w:ind w:left="20"/>
              <w:spacing w:after="0"/>
              <w:rPr>
                <w:sz w:val="20"/>
                <w:szCs w:val="20"/>
                <w:color w:val="auto"/>
              </w:rPr>
            </w:pPr>
            <w:r>
              <w:rPr>
                <w:rFonts w:ascii="Arial" w:cs="Arial" w:eastAsia="Arial" w:hAnsi="Arial"/>
                <w:sz w:val="18"/>
                <w:szCs w:val="18"/>
                <w:color w:val="auto"/>
              </w:rPr>
              <w:t>license</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110,461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110,474</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9,550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35,397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35,407</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(1,522,076)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(1,522,076)</w:t>
            </w:r>
          </w:p>
        </w:tc>
        <w:tc>
          <w:tcPr>
            <w:tcW w:w="0" w:type="dxa"/>
            <w:vAlign w:val="bottom"/>
          </w:tcPr>
          <w:p>
            <w:pPr>
              <w:spacing w:after="0"/>
              <w:rPr>
                <w:sz w:val="1"/>
                <w:szCs w:val="1"/>
                <w:color w:val="auto"/>
              </w:rPr>
            </w:pPr>
          </w:p>
        </w:tc>
      </w:tr>
      <w:tr>
        <w:trPr>
          <w:trHeight w:val="25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3,015,709</w:t>
            </w:r>
          </w:p>
        </w:tc>
        <w:tc>
          <w:tcPr>
            <w:tcW w:w="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3,016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8,389,779</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(6,662,513)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1,730,282</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Distribution to stockholders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(99,758)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(99,758)</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8,910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6,025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(903,645)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(903,645)</w:t>
            </w:r>
          </w:p>
        </w:tc>
        <w:tc>
          <w:tcPr>
            <w:tcW w:w="0" w:type="dxa"/>
            <w:vAlign w:val="bottom"/>
          </w:tcPr>
          <w:p>
            <w:pPr>
              <w:spacing w:after="0"/>
              <w:rPr>
                <w:sz w:val="1"/>
                <w:szCs w:val="1"/>
                <w:color w:val="auto"/>
              </w:rPr>
            </w:pPr>
          </w:p>
        </w:tc>
      </w:tr>
      <w:tr>
        <w:trPr>
          <w:trHeight w:val="25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3,024,619</w:t>
            </w:r>
          </w:p>
        </w:tc>
        <w:tc>
          <w:tcPr>
            <w:tcW w:w="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3,025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8,296,046</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(7,566,158)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732,913</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Effect of reverse acquisition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722,568</w:t>
            </w:r>
          </w:p>
        </w:tc>
        <w:tc>
          <w:tcPr>
            <w:tcW w:w="8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w w:val="99"/>
              </w:rPr>
              <w:t>11,092,839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11,093,561</w:t>
            </w: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8,997</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538,271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538,280</w:t>
            </w:r>
          </w:p>
        </w:tc>
        <w:tc>
          <w:tcPr>
            <w:tcW w:w="0" w:type="dxa"/>
            <w:vAlign w:val="bottom"/>
          </w:tcPr>
          <w:p>
            <w:pPr>
              <w:spacing w:after="0"/>
              <w:rPr>
                <w:sz w:val="1"/>
                <w:szCs w:val="1"/>
                <w:color w:val="auto"/>
              </w:rPr>
            </w:pPr>
          </w:p>
        </w:tc>
      </w:tr>
      <w:tr>
        <w:trPr>
          <w:trHeight w:val="252"/>
        </w:trPr>
        <w:tc>
          <w:tcPr>
            <w:tcW w:w="2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(2,627,721)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(2,627,721)</w:t>
            </w:r>
          </w:p>
        </w:tc>
        <w:tc>
          <w:tcPr>
            <w:tcW w:w="0" w:type="dxa"/>
            <w:vAlign w:val="bottom"/>
          </w:tcPr>
          <w:p>
            <w:pPr>
              <w:spacing w:after="0"/>
              <w:rPr>
                <w:sz w:val="1"/>
                <w:szCs w:val="1"/>
                <w:color w:val="auto"/>
              </w:rPr>
            </w:pPr>
          </w:p>
        </w:tc>
      </w:tr>
      <w:tr>
        <w:trPr>
          <w:trHeight w:val="189"/>
        </w:trPr>
        <w:tc>
          <w:tcPr>
            <w:tcW w:w="258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Balance at September 30,</w:t>
            </w:r>
          </w:p>
        </w:tc>
        <w:tc>
          <w:tcPr>
            <w:tcW w:w="9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7"/>
              </w:rPr>
              <w:t>3,756,184</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$ 3,756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19,927,156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(10,193,879)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9,737,033</w:t>
            </w:r>
          </w:p>
        </w:tc>
        <w:tc>
          <w:tcPr>
            <w:tcW w:w="0" w:type="dxa"/>
            <w:vAlign w:val="bottom"/>
          </w:tcPr>
          <w:p>
            <w:pPr>
              <w:spacing w:after="0"/>
              <w:rPr>
                <w:sz w:val="1"/>
                <w:szCs w:val="1"/>
                <w:color w:val="auto"/>
              </w:rPr>
            </w:pPr>
          </w:p>
        </w:tc>
      </w:tr>
      <w:tr>
        <w:trPr>
          <w:trHeight w:val="24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260" w:right="2760"/>
        <w:spacing w:after="0" w:line="289"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epigenetic-based cancer treatments for indications with high unmet medical need. Salarius’ lead epigenetic enzyme technology was licensed from the University of Utah Research Foundation in 2011. The Company is located in Houston, Texas.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2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and the surviving company of the merger.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Management's Plan</w:t>
      </w:r>
    </w:p>
    <w:p>
      <w:pPr>
        <w:spacing w:after="0" w:line="2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Seclidemstat. Based on Salarius’ expected cash requirements, Salarius believes that there is substantial doubt that its existing cash and cash equivalents, including the cash resources obtained from the merger with Flex Pharma, will be sufficient to fund its operations through one year from the financial statements issuance date.</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On October 24, 2019, the Company entered into a common stock purchase agreement with Aspire Capital Fund, LLC (“Aspire Capital”), which provides that the Company may offer to Aspire Capital up to an aggregate of $10.9 million of the Company's common shares over 30 months. See Note 10. The Company intends to obtain additional capital through the sale of equity securities in one or more offerings or through issuances of debt instruments. The Company may also consider new collaborations or selectively partnering its technology. However, the Company cannot provide any assurance that it will be successful in accomplishing any of its plans.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described above, the merger with Flex Pharma closed on July 19, 2019. The merger was accounted for as a reverse acquisition with Private Salarius being deemed the acquiring company for accounting purposes.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w:t>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Inc. for the periods prior to July 19, 2019, the Company retrospectively adjusted its Statement of Changes in Stockholders’ Equity (Deficit) and the weighted average shares used in determining loss per common share to reflect the conversion of the outstanding common unit, profits interest common unit and Series A Preferred unit of Private Salarius that converted into shares of the Company’s common stock upon the merger, and to reflect the effect of the 25 to 1 reverse stock split of the Company’s common stock which occurred upon the merger.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2018 included elsewhere in the Company's current report on Form 8-K/A filed with the SEC on September 18, 2019. In the opinion of management, the unaudited interim financial statements reflect all the adjustments (consisting of normal recurring adjustments) necessary to state fairly the Company’s financial position as of September 30, 2019 and the results of operations for the three and nine months ended September 30, 2019 and 2018. The interim results of operations are not necessarily indicative of the results that may occur for the full fiscal year. The December 31, 2018 balance sheet included herein was derived from the audited financial statements, but does not include all disclosures, including notes, required by GAAP for complete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and expenses, and related disclosure of contingent assets and liabilities at the date of the financial statements and the reported amounts of expenses during the reporting period. On an on-going basis, Salarius’ management evaluates its estimates, including those related to revenue recognition, fair value of tangible and intangible assets, research and development, accrued expenses, contingencies and equity-based compensation. Salarius bases its estimates on historical experience and on various other assumptions that are believed to be reasonable. Actual results could differ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4"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Salarius considers all highly liquid securities with original final maturities of three months or less from the date of purchase to be cash equivalents.</w:t>
      </w:r>
    </w:p>
    <w:p>
      <w:pPr>
        <w:spacing w:after="0" w:line="172"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At September 30, 2019 and December 31, 2018, Salarius held restricted cash of $0 and $2,903,493 for the Series A Preferred proceeds, respectively.</w:t>
      </w:r>
    </w:p>
    <w:p>
      <w:pPr>
        <w:spacing w:after="0" w:line="17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September 30, 2019 and December 31, 2018, Salarius also held approximately $2.0 million and $4.1 million, respectively, for funds received from Cancer Prevention and Research Institution of Texas ("CPRIT"). These funds are to be used for costs for allowable expenses, primarily research and development expenses. The grant has a mandatory fund matching requirement. As of September 30, 2019, the CPRIT fund matching requirements had not been fully met.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Property and equipment are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once assets are placed in service, using the straight-line method over the estimated useful lives of the respective assets, which are as follows:</w:t>
      </w:r>
    </w:p>
    <w:p>
      <w:pPr>
        <w:spacing w:after="0" w:line="306" w:lineRule="exact"/>
        <w:rPr>
          <w:sz w:val="20"/>
          <w:szCs w:val="20"/>
          <w:color w:val="auto"/>
        </w:rPr>
      </w:pPr>
    </w:p>
    <w:tbl>
      <w:tblPr>
        <w:tblLayout w:type="fixed"/>
        <w:tblInd w:w="2480" w:type="dxa"/>
        <w:tblCellMar>
          <w:top w:w="0" w:type="dxa"/>
          <w:left w:w="0" w:type="dxa"/>
          <w:bottom w:w="0" w:type="dxa"/>
          <w:right w:w="0" w:type="dxa"/>
        </w:tblCellMar>
      </w:tblPr>
      <w:tr>
        <w:trPr>
          <w:trHeight w:val="248"/>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classification</w:t>
            </w:r>
          </w:p>
        </w:tc>
        <w:tc>
          <w:tcPr>
            <w:tcW w:w="180" w:type="dxa"/>
            <w:vAlign w:val="bottom"/>
          </w:tcPr>
          <w:p>
            <w:pPr>
              <w:spacing w:after="0"/>
              <w:rPr>
                <w:sz w:val="21"/>
                <w:szCs w:val="21"/>
                <w:color w:val="auto"/>
              </w:rPr>
            </w:pPr>
          </w:p>
        </w:tc>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Useful life</w:t>
            </w:r>
          </w:p>
        </w:tc>
      </w:tr>
      <w:tr>
        <w:trPr>
          <w:trHeight w:val="245"/>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Computer equipment</w:t>
            </w:r>
          </w:p>
        </w:tc>
        <w:tc>
          <w:tcPr>
            <w:tcW w:w="2200" w:type="dxa"/>
            <w:vAlign w:val="bottom"/>
          </w:tcPr>
          <w:p>
            <w:pPr>
              <w:ind w:left="20"/>
              <w:spacing w:after="0"/>
              <w:rPr>
                <w:sz w:val="20"/>
                <w:szCs w:val="20"/>
                <w:color w:val="auto"/>
              </w:rPr>
            </w:pPr>
            <w:r>
              <w:rPr>
                <w:rFonts w:ascii="Arial" w:cs="Arial" w:eastAsia="Arial" w:hAnsi="Arial"/>
                <w:sz w:val="18"/>
                <w:szCs w:val="18"/>
                <w:color w:val="auto"/>
              </w:rPr>
              <w:t>3 years</w:t>
            </w:r>
          </w:p>
        </w:tc>
      </w:tr>
      <w:tr>
        <w:trPr>
          <w:trHeight w:val="257"/>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2200" w:type="dxa"/>
            <w:vAlign w:val="bottom"/>
          </w:tcPr>
          <w:p>
            <w:pPr>
              <w:ind w:left="20"/>
              <w:spacing w:after="0"/>
              <w:rPr>
                <w:sz w:val="20"/>
                <w:szCs w:val="20"/>
                <w:color w:val="auto"/>
              </w:rPr>
            </w:pPr>
            <w:r>
              <w:rPr>
                <w:rFonts w:ascii="Arial" w:cs="Arial" w:eastAsia="Arial" w:hAnsi="Arial"/>
                <w:sz w:val="18"/>
                <w:szCs w:val="18"/>
                <w:color w:val="auto"/>
              </w:rPr>
              <w:t>5 years</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254"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Intangible assets that have finite useful lives are amortized over their useful lives, and are reviewed for impairment when warranted by economic conditions. Intangible assets are included in other assets in the Company's Statements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During the three and nine months ended September 30, 2019, impairment charges related to long-lived assets was $0 and $110,474, respectively. There were no impairment charges related to long-lived assets for the three and nine months ended September 30,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Goodwill is not amortized but is subject to periodic review for impairment. Goodwill is reviewed annually, as of November 30, and whenever events or changes in circumstances indicate that the carrying amount of the goodwill might not be recoverable. Management performs its review of goodwill on its one reporting unit.</w:t>
      </w:r>
    </w:p>
    <w:p>
      <w:pPr>
        <w:ind w:right="40"/>
        <w:spacing w:after="0" w:line="253" w:lineRule="auto"/>
        <w:rPr>
          <w:sz w:val="20"/>
          <w:szCs w:val="20"/>
          <w:color w:val="auto"/>
        </w:rPr>
      </w:pPr>
      <w:r>
        <w:rPr>
          <w:rFonts w:ascii="Arial" w:cs="Arial" w:eastAsia="Arial" w:hAnsi="Arial"/>
          <w:sz w:val="18"/>
          <w:szCs w:val="18"/>
          <w:color w:val="auto"/>
        </w:rPr>
        <w:t>The Company performs a one-step test in its evaluation of the carrying value of goodwill, if qualitative factors determine it is necessary to complete a goodwill impairment test. In the evaluation, the fair value of the relevant reporting unit is determined and compared to the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has not identified any events or changes in circumstances that indicate that a potential impairment of goodwill occurred during the nine months ended September 30,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52"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Level 3-Significant unobservable inputs including Salarius’ own assumptions in determining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restricted cash, accounts payable and note payable approximate their fair values due to the short-term nature of these instruments.</w:t>
      </w:r>
    </w:p>
    <w:p>
      <w:pPr>
        <w:spacing w:after="0" w:line="17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sets forth a summary of changes in the fair value of Level 3 liabilities measured at fair value on a recurring basis for the nine months ended September 30, 2019:</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Balance at December 31,</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Balance at September</w:t>
            </w:r>
          </w:p>
        </w:tc>
      </w:tr>
      <w:tr>
        <w:trPr>
          <w:trHeight w:val="254"/>
        </w:trPr>
        <w:tc>
          <w:tcPr>
            <w:tcW w:w="21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Established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 in Fair Value</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30, 2019</w:t>
            </w:r>
          </w:p>
        </w:tc>
      </w:tr>
      <w:tr>
        <w:trPr>
          <w:trHeight w:val="251"/>
        </w:trPr>
        <w:tc>
          <w:tcPr>
            <w:tcW w:w="218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2200" w:type="dxa"/>
            <w:vAlign w:val="bottom"/>
            <w:gridSpan w:val="3"/>
          </w:tcPr>
          <w:p>
            <w:pPr>
              <w:ind w:left="1400"/>
              <w:spacing w:after="0"/>
              <w:rPr>
                <w:sz w:val="20"/>
                <w:szCs w:val="20"/>
                <w:color w:val="auto"/>
              </w:rPr>
            </w:pPr>
            <w:r>
              <w:rPr>
                <w:rFonts w:ascii="Arial" w:cs="Arial" w:eastAsia="Arial" w:hAnsi="Arial"/>
                <w:sz w:val="18"/>
                <w:szCs w:val="18"/>
                <w:color w:val="auto"/>
              </w:rPr>
              <w:t>—   $</w:t>
            </w: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1,629,095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(1,130,848)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498,247</w:t>
            </w:r>
          </w:p>
        </w:tc>
      </w:tr>
      <w:tr>
        <w:trPr>
          <w:trHeight w:val="21"/>
        </w:trPr>
        <w:tc>
          <w:tcPr>
            <w:tcW w:w="2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carrying amounts of such liabilities at September 30, 2019:</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47"/>
        </w:trPr>
        <w:tc>
          <w:tcPr>
            <w:tcW w:w="3940" w:type="dxa"/>
            <w:vAlign w:val="bottom"/>
          </w:tcPr>
          <w:p>
            <w:pPr>
              <w:spacing w:after="0"/>
              <w:rPr>
                <w:sz w:val="20"/>
                <w:szCs w:val="20"/>
                <w:color w:val="auto"/>
              </w:rPr>
            </w:pPr>
            <w:r>
              <w:rPr>
                <w:rFonts w:ascii="Arial" w:cs="Arial" w:eastAsia="Arial" w:hAnsi="Arial"/>
                <w:sz w:val="18"/>
                <w:szCs w:val="18"/>
                <w:color w:val="auto"/>
              </w:rPr>
              <w:t>Warrant liability</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498,247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498,247</w:t>
            </w:r>
          </w:p>
        </w:tc>
      </w:tr>
      <w:tr>
        <w:trPr>
          <w:trHeight w:val="255"/>
        </w:trPr>
        <w:tc>
          <w:tcPr>
            <w:tcW w:w="394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498,247</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498,247</w:t>
            </w:r>
          </w:p>
        </w:tc>
      </w:tr>
      <w:tr>
        <w:trPr>
          <w:trHeight w:val="21"/>
        </w:trPr>
        <w:tc>
          <w:tcPr>
            <w:tcW w:w="39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5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uses the Black-Scholes option valuation model and the Backsolve method (which is similar to the Black-Scholes valuation model and produces similar results)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54"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Basic loss per share is computed by dividing net loss available to common stockholders by the weighted average number of shares of common stock outstanding during the period.</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periods of net income, and when the effects are not anti-dilutive, diluted earnings per share is computed by dividing net income available to common stockholders by the weighted-average number of shares outstanding plus the impact of all potential dilutive common shares, consisting primarily of common shares underlying common stock options and stock purchase warrants using the treasury stock method, and convertible notes using the if-converted method.</w:t>
      </w:r>
    </w:p>
    <w:p>
      <w:pPr>
        <w:spacing w:after="0" w:line="19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For periods of net loss, diluted loss per share is calculated similarly to basic loss per share because the impact of all potential dilutive common shares is antidilutive.</w:t>
      </w:r>
    </w:p>
    <w:p>
      <w:pPr>
        <w:spacing w:after="0" w:line="172"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color w:val="auto"/>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389,488 and 51,926 shares as of September 30,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prior-year financial statements to conform to the current-year presentation.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4"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5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February 2016, the FASB issued guidance for accounting for leases. The guidance requires lessees to recognize assets and liabilities related to long-term leases on the balance sheet and expands disclosure requirements regarding leasing arrangements. The guidance is effective for reporting periods beginning after December 15, 2018 for public entities. The guidance must be adopted on a modified retrospective basis and provides for certain practical expedients. The Company adopted this guidance effective January 1, 2019 using the following practical expedients:</w:t>
      </w:r>
    </w:p>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reassess if any expired or existing contracts are or contain leases;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reassess the classification of any expired or existing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the new guidance on January 1, 2019, there was no impact on the Company’s financial statements.</w:t>
      </w:r>
    </w:p>
    <w:p>
      <w:pPr>
        <w:spacing w:after="0" w:line="25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Additionally, the Company made ongoing accounting policy elections whereby the Company (i) does not recognize right-of-use assets or lease liabilities for short-term leases (those with original terms of 12-months or less) and (ii) combines lease and non-lease elements of its operating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5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and the surviving company of the merger.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w:t>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liabilities assumed of Flex Pharma in the merger at their fair values as of the acquisition date.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 (2) 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19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formulae described in the Merger Agreement.</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 a warrant to purchase shares of the Company’s common stock six months and one day following the closing date of the merger. See Note 6.</w:t>
      </w:r>
    </w:p>
    <w:p>
      <w:pPr>
        <w:spacing w:after="0" w:line="190"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qualifies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10,963,526</w:t>
            </w:r>
          </w:p>
        </w:tc>
      </w:tr>
      <w:tr>
        <w:trPr>
          <w:trHeight w:val="252"/>
        </w:trPr>
        <w:tc>
          <w:tcPr>
            <w:tcW w:w="712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6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1,629,095</w:t>
            </w:r>
          </w:p>
        </w:tc>
      </w:t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6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132,227</w:t>
            </w:r>
          </w:p>
        </w:tc>
      </w:tr>
      <w:tr>
        <w:trPr>
          <w:trHeight w:val="255"/>
        </w:trPr>
        <w:tc>
          <w:tcPr>
            <w:tcW w:w="712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12,724,848</w:t>
            </w:r>
          </w:p>
        </w:tc>
      </w:tr>
      <w:tr>
        <w:trPr>
          <w:trHeight w:val="21"/>
        </w:trPr>
        <w:tc>
          <w:tcPr>
            <w:tcW w:w="7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w:t>
            </w:r>
          </w:p>
        </w:tc>
        <w:tc>
          <w:tcPr>
            <w:tcW w:w="6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2"/>
        </w:trPr>
        <w:tc>
          <w:tcPr>
            <w:tcW w:w="7120" w:type="dxa"/>
            <w:vAlign w:val="bottom"/>
          </w:tcPr>
          <w:p>
            <w:pPr>
              <w:ind w:left="20"/>
              <w:spacing w:after="0"/>
              <w:rPr>
                <w:sz w:val="20"/>
                <w:szCs w:val="20"/>
                <w:color w:val="auto"/>
              </w:rPr>
            </w:pPr>
            <w:r>
              <w:rPr>
                <w:rFonts w:ascii="Arial" w:cs="Arial" w:eastAsia="Arial" w:hAnsi="Arial"/>
                <w:sz w:val="18"/>
                <w:szCs w:val="18"/>
                <w:color w:val="auto"/>
              </w:rPr>
              <w:t>Cash</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5,405,826</w:t>
            </w:r>
          </w:p>
        </w:tc>
      </w:tr>
      <w:tr>
        <w:trPr>
          <w:trHeight w:val="26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15,168</w:t>
            </w:r>
          </w:p>
        </w:tc>
      </w:tr>
      <w:tr>
        <w:trPr>
          <w:trHeight w:val="252"/>
        </w:trPr>
        <w:tc>
          <w:tcPr>
            <w:tcW w:w="71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680" w:type="dxa"/>
            <w:vAlign w:val="bottom"/>
          </w:tcPr>
          <w:p>
            <w:pPr>
              <w:spacing w:after="0"/>
              <w:rPr>
                <w:sz w:val="21"/>
                <w:szCs w:val="21"/>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122,235</w:t>
            </w:r>
          </w:p>
        </w:tc>
      </w:tr>
      <w:tr>
        <w:trPr>
          <w:trHeight w:val="26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6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106,319</w:t>
            </w:r>
          </w:p>
        </w:tc>
      </w:tr>
      <w:tr>
        <w:trPr>
          <w:trHeight w:val="25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6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8,937,899</w:t>
            </w:r>
          </w:p>
        </w:tc>
      </w:tr>
      <w:tr>
        <w:trPr>
          <w:trHeight w:val="25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6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14,587,447</w:t>
            </w:r>
          </w:p>
        </w:tc>
      </w:tr>
      <w:tr>
        <w:trPr>
          <w:trHeight w:val="255"/>
        </w:trPr>
        <w:tc>
          <w:tcPr>
            <w:tcW w:w="7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6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6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1,862,599</w:t>
            </w:r>
          </w:p>
        </w:tc>
      </w:tr>
      <w:tr>
        <w:trPr>
          <w:trHeight w:val="25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6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1,862,599</w:t>
            </w:r>
          </w:p>
        </w:tc>
      </w:tr>
      <w:tr>
        <w:trPr>
          <w:trHeight w:val="255"/>
        </w:trPr>
        <w:tc>
          <w:tcPr>
            <w:tcW w:w="7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12,724,848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HOTSHOT Business</w:t>
      </w:r>
    </w:p>
    <w:p>
      <w:pPr>
        <w:spacing w:after="0" w:line="25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July 24, 2019, the Company sold specified assets related to the HOTSHOT business to Cliff-Cartwright Corporation, an unrelated party, for cash consideration of $ 299,135. HOTSHOT was a consumer product that prevents and targets exercise-associated muscle cramps. The Company acquired the HOTSHOT business as a result of the reverse acquisition with Flex Pharma. The transaction was treated as a sale of a business. Details of the transaction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299,135</w:t>
            </w:r>
          </w:p>
        </w:tc>
      </w:tr>
      <w:tr>
        <w:trPr>
          <w:trHeight w:val="252"/>
        </w:trPr>
        <w:tc>
          <w:tcPr>
            <w:tcW w:w="7120" w:type="dxa"/>
            <w:vAlign w:val="bottom"/>
          </w:tcPr>
          <w:p>
            <w:pPr>
              <w:ind w:left="20"/>
              <w:spacing w:after="0"/>
              <w:rPr>
                <w:sz w:val="20"/>
                <w:szCs w:val="20"/>
                <w:color w:val="auto"/>
              </w:rPr>
            </w:pPr>
            <w:r>
              <w:rPr>
                <w:rFonts w:ascii="Arial" w:cs="Arial" w:eastAsia="Arial" w:hAnsi="Arial"/>
                <w:sz w:val="18"/>
                <w:szCs w:val="18"/>
                <w:color w:val="auto"/>
              </w:rPr>
              <w:t>Carrying value of tangible assets sold</w:t>
            </w: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(135,544)</w:t>
            </w:r>
          </w:p>
        </w:tc>
      </w:tr>
      <w:tr>
        <w:trPr>
          <w:trHeight w:val="26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goodwill and intangible assets sold</w:t>
            </w:r>
          </w:p>
        </w:tc>
        <w:tc>
          <w:tcPr>
            <w:tcW w:w="7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(71,990)</w:t>
            </w:r>
          </w:p>
        </w:tc>
      </w:tr>
      <w:tr>
        <w:trPr>
          <w:trHeight w:val="252"/>
        </w:trPr>
        <w:tc>
          <w:tcPr>
            <w:tcW w:w="7120" w:type="dxa"/>
            <w:vAlign w:val="bottom"/>
          </w:tcPr>
          <w:p>
            <w:pPr>
              <w:ind w:left="20"/>
              <w:spacing w:after="0"/>
              <w:rPr>
                <w:sz w:val="20"/>
                <w:szCs w:val="20"/>
                <w:color w:val="auto"/>
              </w:rPr>
            </w:pPr>
            <w:r>
              <w:rPr>
                <w:rFonts w:ascii="Arial" w:cs="Arial" w:eastAsia="Arial" w:hAnsi="Arial"/>
                <w:sz w:val="18"/>
                <w:szCs w:val="18"/>
                <w:color w:val="auto"/>
              </w:rPr>
              <w:t>Cost incurred related to the sale</w:t>
            </w:r>
          </w:p>
        </w:tc>
        <w:tc>
          <w:tcPr>
            <w:tcW w:w="7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(94,861)</w:t>
            </w:r>
          </w:p>
        </w:tc>
      </w:tr>
      <w:tr>
        <w:trPr>
          <w:trHeight w:val="25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transferred upon sale</w:t>
            </w:r>
          </w:p>
        </w:tc>
        <w:tc>
          <w:tcPr>
            <w:tcW w:w="7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3,260</w:t>
            </w:r>
          </w:p>
        </w:tc>
      </w:tr>
      <w:tr>
        <w:trPr>
          <w:trHeight w:val="255"/>
        </w:trPr>
        <w:tc>
          <w:tcPr>
            <w:tcW w:w="7120" w:type="dxa"/>
            <w:vAlign w:val="bottom"/>
          </w:tcPr>
          <w:p>
            <w:pPr>
              <w:ind w:left="20"/>
              <w:spacing w:after="0"/>
              <w:rPr>
                <w:sz w:val="20"/>
                <w:szCs w:val="20"/>
                <w:color w:val="auto"/>
              </w:rPr>
            </w:pPr>
            <w:r>
              <w:rPr>
                <w:rFonts w:ascii="Arial" w:cs="Arial" w:eastAsia="Arial" w:hAnsi="Arial"/>
                <w:sz w:val="18"/>
                <w:szCs w:val="18"/>
                <w:color w:val="auto"/>
              </w:rPr>
              <w:t>Total gain on sale of HOTSHOT</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1"/>
        </w:trPr>
        <w:tc>
          <w:tcPr>
            <w:tcW w:w="7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assets and liabilities presented as discontinued operations as of September 30, 2019 and December 31, 2018.</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nine months ended September 30, 2019 and 2018 as if the merger and disposal described above had been completed as of January 1, 2018. Pro forma information primarily reflects adjustments relating to the reversal of transaction costs. Assuming that the merger had been completed as of January 1, 2018, the transaction costs would have been expensed in the prior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27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00" w:type="dxa"/>
            <w:vAlign w:val="bottom"/>
            <w:gridSpan w:val="3"/>
          </w:tcPr>
          <w:p>
            <w:pPr>
              <w:ind w:left="100"/>
              <w:spacing w:after="0"/>
              <w:rPr>
                <w:sz w:val="20"/>
                <w:szCs w:val="20"/>
                <w:color w:val="auto"/>
              </w:rPr>
            </w:pPr>
            <w:r>
              <w:rPr>
                <w:rFonts w:ascii="Arial" w:cs="Arial" w:eastAsia="Arial" w:hAnsi="Arial"/>
                <w:sz w:val="18"/>
                <w:szCs w:val="18"/>
                <w:b w:val="1"/>
                <w:bCs w:val="1"/>
                <w:color w:val="auto"/>
              </w:rPr>
              <w:t>Nine Months Ended</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7500" w:type="dxa"/>
            <w:vAlign w:val="bottom"/>
          </w:tcPr>
          <w:p>
            <w:pPr>
              <w:spacing w:after="0"/>
              <w:rPr>
                <w:sz w:val="22"/>
                <w:szCs w:val="22"/>
                <w:color w:val="auto"/>
              </w:rPr>
            </w:pPr>
          </w:p>
        </w:tc>
        <w:tc>
          <w:tcPr>
            <w:tcW w:w="200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2019</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 2018</w:t>
            </w:r>
          </w:p>
        </w:tc>
      </w:tr>
      <w:tr>
        <w:trPr>
          <w:trHeight w:val="251"/>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2,426,362</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1,312,752</w:t>
            </w:r>
          </w:p>
        </w:tc>
      </w:tr>
      <w:tr>
        <w:trPr>
          <w:trHeight w:val="252"/>
        </w:trPr>
        <w:tc>
          <w:tcPr>
            <w:tcW w:w="7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(7,802,709)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(18,034,908)</w:t>
            </w:r>
          </w:p>
        </w:tc>
      </w:tr>
      <w:tr>
        <w:trPr>
          <w:trHeight w:val="26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4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September 30, 2019 and December 31, 2018 consisted of the following:</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500" w:type="dxa"/>
            <w:vAlign w:val="bottom"/>
          </w:tcPr>
          <w:p>
            <w:pPr>
              <w:spacing w:after="0"/>
              <w:rPr>
                <w:sz w:val="22"/>
                <w:szCs w:val="22"/>
                <w:color w:val="auto"/>
              </w:rPr>
            </w:pPr>
          </w:p>
        </w:tc>
        <w:tc>
          <w:tcPr>
            <w:tcW w:w="19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2019</w:t>
            </w:r>
          </w:p>
        </w:tc>
        <w:tc>
          <w:tcPr>
            <w:tcW w:w="12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December 31, 2018</w:t>
            </w:r>
          </w:p>
        </w:tc>
      </w:tr>
      <w:tr>
        <w:trPr>
          <w:trHeight w:val="251"/>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247,460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210,333</w:t>
            </w:r>
          </w:p>
        </w:tc>
      </w:tr>
      <w:tr>
        <w:trPr>
          <w:trHeight w:val="252"/>
        </w:trPr>
        <w:tc>
          <w:tcPr>
            <w:tcW w:w="7500" w:type="dxa"/>
            <w:vAlign w:val="bottom"/>
          </w:tcPr>
          <w:p>
            <w:pPr>
              <w:spacing w:after="0"/>
              <w:rPr>
                <w:sz w:val="20"/>
                <w:szCs w:val="20"/>
                <w:color w:val="auto"/>
              </w:rPr>
            </w:pPr>
            <w:r>
              <w:rPr>
                <w:rFonts w:ascii="Arial" w:cs="Arial" w:eastAsia="Arial" w:hAnsi="Arial"/>
                <w:sz w:val="18"/>
                <w:szCs w:val="18"/>
                <w:color w:val="auto"/>
              </w:rPr>
              <w:t>Prepaid insurance</w:t>
            </w:r>
          </w:p>
        </w:tc>
        <w:tc>
          <w:tcPr>
            <w:tcW w:w="5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873,277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16,484</w:t>
            </w:r>
          </w:p>
        </w:tc>
      </w:tr>
      <w:tr>
        <w:trPr>
          <w:trHeight w:val="257"/>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5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118,971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22,269</w:t>
            </w:r>
          </w:p>
        </w:tc>
      </w:tr>
      <w:tr>
        <w:trPr>
          <w:trHeight w:val="255"/>
        </w:trPr>
        <w:tc>
          <w:tcPr>
            <w:tcW w:w="750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1,239,708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249,086</w:t>
            </w:r>
          </w:p>
        </w:tc>
      </w:tr>
      <w:tr>
        <w:trPr>
          <w:trHeight w:val="21"/>
        </w:trPr>
        <w:tc>
          <w:tcPr>
            <w:tcW w:w="7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5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$ 18.7 million to fund development of LSD 1 inhibitor. This is a 3-year grant award originally expired on May 31, 2019. A six-month extension was approved by CPRIT in May 2019. The grant now expires on November 30, 2019 with extensions available.</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0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September 30, 2019, the Company has received an aggregate of $9.6 million from the CPRIT grant and there was $9.1 million of funds available for the Company to draw upon meeting certain requirements. There was no funding received from CPRIT during the nine months ended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September 30, 2019. At September 30, 2019 and December 31, 2018, the Company had deferred revenue of $1,580,394 and $4,006,755, respectively, related to CPRIT contract.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4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accompanying condensed consolidated statements of shareholders' equity and the footnotes to the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the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 shares paid in cash) was 722,568 shares after reverse stock-split.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During the nine months ended September 30, 2019, the Company issued 960,489 common shares (4,035 Series A preferred units and 350 profit interest units of Private Salarius) for $4,377,591 (net of offering cost of $10,617) of which, $2,869,412 was received in advance, in 2018.</w:t>
      </w:r>
    </w:p>
    <w:p>
      <w:pPr>
        <w:spacing w:after="0" w:line="17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October 2018, 1,366,448 of Private Salarius' Series 1 preferred units were converted into 355,676 common shares (1,530 Series A preferred units).</w:t>
      </w:r>
    </w:p>
    <w:p>
      <w:pPr>
        <w:spacing w:after="0" w:line="172"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In December 2018, the Company agreed to grant an unrelated party 12,907 common shares (91 common units of Private Salarius) to acquire licenses for the DNMT1 inhibitor. The grant was approved in January 2019 and the license was granted in 2018. These common shares were valued at $110,474 based on a third-party valuation report and included in accrued liabilities at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and an exercise price of $ 15.17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 using a Black-Scholes valuation model as the Company believes the value will closely approximate the value from the binomial asset pricing model that consisted of a conditional probability weighted expected return method that values the Company’s equity securities assuming various possible future outcomes to estimate the allocation of value within one or more of the scenarios. Using this method, unobservable inputs included the Company’s equity value, expected timing of possible outcomes, risk free interest rates and stock price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Variables used in the Black-Scholes model are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8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July 19, 2019</w:t>
            </w: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Borders>
              <w:bottom w:val="single" w:sz="8" w:color="auto"/>
            </w:tcBorders>
          </w:tcPr>
          <w:p>
            <w:pPr>
              <w:spacing w:after="0"/>
              <w:rPr>
                <w:sz w:val="22"/>
                <w:szCs w:val="22"/>
                <w:color w:val="auto"/>
              </w:rPr>
            </w:pPr>
          </w:p>
        </w:tc>
      </w:tr>
      <w:tr>
        <w:trPr>
          <w:trHeight w:val="25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37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460" w:type="dxa"/>
            <w:vAlign w:val="bottom"/>
            <w:gridSpan w:val="3"/>
          </w:tcPr>
          <w:p>
            <w:pPr>
              <w:ind w:left="1440"/>
              <w:spacing w:after="0"/>
              <w:rPr>
                <w:sz w:val="20"/>
                <w:szCs w:val="20"/>
                <w:color w:val="auto"/>
              </w:rPr>
            </w:pPr>
            <w:r>
              <w:rPr>
                <w:rFonts w:ascii="Arial" w:cs="Arial" w:eastAsia="Arial" w:hAnsi="Arial"/>
                <w:sz w:val="18"/>
                <w:szCs w:val="18"/>
                <w:color w:val="auto"/>
              </w:rPr>
              <w:t>5.50 years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5.31 years</w:t>
            </w:r>
          </w:p>
        </w:tc>
      </w:tr>
      <w:tr>
        <w:trPr>
          <w:trHeight w:val="261"/>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246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Wedbush Warrant</w:t>
      </w: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$500,000 of the $1,000,000 success fee payable to Wedbush at the closing of the merger. The remaining $500,000 success fee was paid in cash. These warrants have an exercise price of $18.90 and a 5-year term. As of September 30, 2019, all warrants issued to Wedbush were outstanding.</w:t>
      </w:r>
    </w:p>
    <w:p>
      <w:pPr>
        <w:spacing w:after="0" w:line="87" w:lineRule="exact"/>
        <w:rPr>
          <w:sz w:val="20"/>
          <w:szCs w:val="20"/>
          <w:color w:val="auto"/>
        </w:rPr>
      </w:pPr>
    </w:p>
    <w:p>
      <w:pPr>
        <w:ind w:right="8340" w:firstLine="8"/>
        <w:spacing w:after="0" w:line="506" w:lineRule="auto"/>
        <w:tabs>
          <w:tab w:leader="none" w:pos="2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Private Salarius' Grants</w:t>
      </w:r>
    </w:p>
    <w:p>
      <w:pPr>
        <w:spacing w:after="0" w:line="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During the nine months ended September 30, 2019, the Company granted a total of 8,799 restricted common shares (137 profit interest units of Private Salarius) to two employees and one consultant with a vesting period ranging from 9 months to 4 years. These common shares have an aggregated fair value of approximately $83,000 that was calculated using the Backsolve method.</w:t>
      </w:r>
    </w:p>
    <w:p>
      <w:pPr>
        <w:spacing w:after="0" w:line="19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During the nine months ended September 30, 2019, 27,457 shares of common stock for Private Salarius' grants vested. As of September 30, 2019, there were 12,488 unvested restricted common stock issued in the Company.</w:t>
      </w:r>
    </w:p>
    <w:p>
      <w:pPr>
        <w:spacing w:after="0" w:line="17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Compensation expense related to Private Salarius' grants was $47,477 and $52,781 for the nine months ended September 30, 2019 and 2018, respectively. As of September 30, 2019, there was $37,419 of unrecognized compensation cost related to Private Salarius’ non-vested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6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granted options to employees, directors, and consultants under the Flex Pharma Inc. 2015 Equity Incentive Plan (the "2015 Plan"). On July 19, 2019, the Company completed a merger with Flex Pharma and Flex Pharma had fully vested options to purchase 90,279 common shares outstanding as of the date of the merger that continue to be exercisable.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 2019, there were 17 shares remaining available for the grant of stock awards under the 2015 Plan.</w:t>
      </w:r>
    </w:p>
    <w:p>
      <w:pPr>
        <w:spacing w:after="0" w:line="9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Company has awarded stock options to its employees, directors and consultants,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nine months ended September 30,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7"/>
                <w:szCs w:val="17"/>
                <w:color w:val="auto"/>
              </w:rPr>
            </w:pPr>
          </w:p>
        </w:tc>
        <w:tc>
          <w:tcPr>
            <w:tcW w:w="12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54"/>
        </w:trPr>
        <w:tc>
          <w:tcPr>
            <w:tcW w:w="50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Value</w:t>
            </w:r>
          </w:p>
        </w:tc>
      </w:tr>
      <w:tr>
        <w:trPr>
          <w:trHeight w:val="25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52"/>
        </w:trPr>
        <w:tc>
          <w:tcPr>
            <w:tcW w:w="50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101,082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1"/>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from Flex Pharma</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90,279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102.22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2"/>
        </w:trPr>
        <w:tc>
          <w:tcPr>
            <w:tcW w:w="508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1"/>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2"/>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Expired</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r>
      <w:tr>
        <w:trPr>
          <w:trHeight w:val="28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2019</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191,361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52.45</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31"/>
        </w:trPr>
        <w:tc>
          <w:tcPr>
            <w:tcW w:w="5080" w:type="dxa"/>
            <w:vAlign w:val="bottom"/>
          </w:tcPr>
          <w:p>
            <w:pPr>
              <w:ind w:left="20"/>
              <w:spacing w:after="0"/>
              <w:rPr>
                <w:sz w:val="20"/>
                <w:szCs w:val="20"/>
                <w:color w:val="auto"/>
              </w:rPr>
            </w:pPr>
            <w:r>
              <w:rPr>
                <w:rFonts w:ascii="Arial" w:cs="Arial" w:eastAsia="Arial" w:hAnsi="Arial"/>
                <w:sz w:val="18"/>
                <w:szCs w:val="18"/>
                <w:color w:val="auto"/>
              </w:rPr>
              <w:t>Exercisable at September 30, 2019</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91,059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101.41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1"/>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September 30, 2019, there was approximately $610,114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3.22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10, 2019, the Company granted 101,082 stock options, in the aggregate, to certain employees, directors and a consultant.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These awards vest monthly over 3 months to 4 years as continuous services are provided, and expense is being recognized over this period.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PARTIES</w:t>
      </w:r>
    </w:p>
    <w:p>
      <w:pPr>
        <w:spacing w:after="0" w:line="254"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As of September 30, 2019 and December 31, 2018, the Company has $4,429 and $5,946 payable to Iterion Therapeutics (formerly BetaCat), respectively, for expenses Iterion paid on behalf of the Company. The Company's Chairman is a director of Iterion Therapeutics.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LOSS PER SHARE</w:t>
      </w:r>
    </w:p>
    <w:p>
      <w:pPr>
        <w:spacing w:after="0" w:line="25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following table shows the computation of basic and diluted loss per common share for continuing operations for the three and nine-month periods ended September 30, 2019 and 2018. For the periods prior to July 19, 2019, the Company retrospectively adjusted the weighted average shares used in determining loss per common share to reflect the common units, profits interest common units and Series A Preferred Units of Private Salarius that converted into shares of the Company’s common stock, and adjusted to give effect to the 25 to 1 reverse stock split of the Company’s common stock upon closing of the merger.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17"/>
                <w:szCs w:val="17"/>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Three Months</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Nine Months</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Ended September</w:t>
            </w:r>
          </w:p>
        </w:tc>
        <w:tc>
          <w:tcPr>
            <w:tcW w:w="120" w:type="dxa"/>
            <w:vAlign w:val="bottom"/>
          </w:tcPr>
          <w:p>
            <w:pPr>
              <w:spacing w:after="0"/>
              <w:rPr>
                <w:sz w:val="17"/>
                <w:szCs w:val="17"/>
                <w:color w:val="auto"/>
              </w:rPr>
            </w:pPr>
          </w:p>
        </w:tc>
        <w:tc>
          <w:tcPr>
            <w:tcW w:w="17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Ended September</w:t>
            </w:r>
          </w:p>
        </w:tc>
        <w:tc>
          <w:tcPr>
            <w:tcW w:w="1900" w:type="dxa"/>
            <w:vAlign w:val="bottom"/>
            <w:gridSpan w:val="3"/>
          </w:tcPr>
          <w:p>
            <w:pPr>
              <w:ind w:left="60"/>
              <w:spacing w:after="0" w:line="202" w:lineRule="exact"/>
              <w:rPr>
                <w:sz w:val="20"/>
                <w:szCs w:val="20"/>
                <w:color w:val="auto"/>
              </w:rPr>
            </w:pPr>
            <w:r>
              <w:rPr>
                <w:rFonts w:ascii="Arial" w:cs="Arial" w:eastAsia="Arial" w:hAnsi="Arial"/>
                <w:sz w:val="18"/>
                <w:szCs w:val="18"/>
                <w:b w:val="1"/>
                <w:bCs w:val="1"/>
                <w:color w:val="auto"/>
              </w:rPr>
              <w:t>Nine Months Ended</w:t>
            </w:r>
          </w:p>
        </w:tc>
        <w:tc>
          <w:tcPr>
            <w:tcW w:w="16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Ended September</w:t>
            </w:r>
          </w:p>
        </w:tc>
        <w:tc>
          <w:tcPr>
            <w:tcW w:w="0" w:type="dxa"/>
            <w:vAlign w:val="bottom"/>
          </w:tcPr>
          <w:p>
            <w:pPr>
              <w:spacing w:after="0"/>
              <w:rPr>
                <w:sz w:val="1"/>
                <w:szCs w:val="1"/>
                <w:color w:val="auto"/>
              </w:rPr>
            </w:pPr>
          </w:p>
        </w:tc>
      </w:tr>
      <w:tr>
        <w:trPr>
          <w:trHeight w:val="25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30, 2019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30, 2018</w:t>
            </w:r>
          </w:p>
        </w:tc>
        <w:tc>
          <w:tcPr>
            <w:tcW w:w="120" w:type="dxa"/>
            <w:vAlign w:val="bottom"/>
          </w:tcPr>
          <w:p>
            <w:pPr>
              <w:spacing w:after="0"/>
              <w:rPr>
                <w:sz w:val="22"/>
                <w:szCs w:val="22"/>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2"/>
                <w:szCs w:val="22"/>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30, 2018</w:t>
            </w:r>
          </w:p>
        </w:tc>
        <w:tc>
          <w:tcPr>
            <w:tcW w:w="0" w:type="dxa"/>
            <w:vAlign w:val="bottom"/>
          </w:tcPr>
          <w:p>
            <w:pPr>
              <w:spacing w:after="0"/>
              <w:rPr>
                <w:sz w:val="1"/>
                <w:szCs w:val="1"/>
                <w:color w:val="auto"/>
              </w:rPr>
            </w:pPr>
          </w:p>
        </w:tc>
      </w:tr>
      <w:tr>
        <w:trPr>
          <w:trHeight w:val="237"/>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4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(2,630,069)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(307,450)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(5,055,790)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(577,766)</w:t>
            </w:r>
          </w:p>
        </w:tc>
        <w:tc>
          <w:tcPr>
            <w:tcW w:w="0" w:type="dxa"/>
            <w:vAlign w:val="bottom"/>
          </w:tcPr>
          <w:p>
            <w:pPr>
              <w:spacing w:after="0"/>
              <w:rPr>
                <w:sz w:val="1"/>
                <w:szCs w:val="1"/>
                <w:color w:val="auto"/>
              </w:rPr>
            </w:pPr>
          </w:p>
        </w:tc>
      </w:tr>
      <w:tr>
        <w:trPr>
          <w:trHeight w:val="261"/>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dividends</w:t>
            </w:r>
          </w:p>
        </w:tc>
        <w:tc>
          <w:tcPr>
            <w:tcW w:w="1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(24,580)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(88,015)</w:t>
            </w:r>
          </w:p>
        </w:tc>
        <w:tc>
          <w:tcPr>
            <w:tcW w:w="0" w:type="dxa"/>
            <w:vAlign w:val="bottom"/>
          </w:tcPr>
          <w:p>
            <w:pPr>
              <w:spacing w:after="0"/>
              <w:rPr>
                <w:sz w:val="1"/>
                <w:szCs w:val="1"/>
                <w:color w:val="auto"/>
              </w:rPr>
            </w:pPr>
          </w:p>
        </w:tc>
      </w:tr>
      <w:tr>
        <w:trPr>
          <w:trHeight w:val="187"/>
        </w:trPr>
        <w:tc>
          <w:tcPr>
            <w:tcW w:w="4040" w:type="dxa"/>
            <w:vAlign w:val="bottom"/>
          </w:tcPr>
          <w:p>
            <w:pPr>
              <w:ind w:left="120"/>
              <w:spacing w:after="0" w:line="187" w:lineRule="exact"/>
              <w:rPr>
                <w:sz w:val="20"/>
                <w:szCs w:val="20"/>
                <w:color w:val="auto"/>
              </w:rPr>
            </w:pPr>
            <w:r>
              <w:rPr>
                <w:rFonts w:ascii="Arial" w:cs="Arial" w:eastAsia="Arial" w:hAnsi="Arial"/>
                <w:sz w:val="18"/>
                <w:szCs w:val="18"/>
                <w:color w:val="auto"/>
              </w:rPr>
              <w:t>Loss from continuing operations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(2,630,069)</w:t>
            </w:r>
          </w:p>
        </w:tc>
        <w:tc>
          <w:tcPr>
            <w:tcW w:w="12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(332,030)</w:t>
            </w:r>
          </w:p>
        </w:tc>
        <w:tc>
          <w:tcPr>
            <w:tcW w:w="120" w:type="dxa"/>
            <w:vAlign w:val="bottom"/>
          </w:tcPr>
          <w:p>
            <w:pPr>
              <w:spacing w:after="0"/>
              <w:rPr>
                <w:sz w:val="16"/>
                <w:szCs w:val="16"/>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(5,055,790)</w:t>
            </w:r>
          </w:p>
        </w:tc>
        <w:tc>
          <w:tcPr>
            <w:tcW w:w="12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(665,781)</w:t>
            </w:r>
          </w:p>
        </w:tc>
        <w:tc>
          <w:tcPr>
            <w:tcW w:w="0" w:type="dxa"/>
            <w:vAlign w:val="bottom"/>
          </w:tcPr>
          <w:p>
            <w:pPr>
              <w:spacing w:after="0"/>
              <w:rPr>
                <w:sz w:val="1"/>
                <w:szCs w:val="1"/>
                <w:color w:val="auto"/>
              </w:rPr>
            </w:pPr>
          </w:p>
        </w:tc>
      </w:tr>
      <w:tr>
        <w:trPr>
          <w:trHeight w:val="230"/>
        </w:trPr>
        <w:tc>
          <w:tcPr>
            <w:tcW w:w="4040" w:type="dxa"/>
            <w:vAlign w:val="bottom"/>
          </w:tcPr>
          <w:p>
            <w:pPr>
              <w:ind w:left="120"/>
              <w:spacing w:after="0"/>
              <w:rPr>
                <w:sz w:val="20"/>
                <w:szCs w:val="20"/>
                <w:color w:val="auto"/>
              </w:rPr>
            </w:pPr>
            <w:r>
              <w:rPr>
                <w:rFonts w:ascii="Arial" w:cs="Arial" w:eastAsia="Arial" w:hAnsi="Arial"/>
                <w:sz w:val="18"/>
                <w:szCs w:val="18"/>
                <w:color w:val="auto"/>
              </w:rPr>
              <w:t>common stock shareholders</w:t>
            </w:r>
          </w:p>
        </w:tc>
        <w:tc>
          <w:tcPr>
            <w:tcW w:w="1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outstanding -</w:t>
            </w:r>
          </w:p>
        </w:tc>
        <w:tc>
          <w:tcPr>
            <w:tcW w:w="12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3,605,913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1,653,340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3,002,736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1,407,062</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120"/>
              <w:spacing w:after="0" w:line="194" w:lineRule="exact"/>
              <w:rPr>
                <w:sz w:val="20"/>
                <w:szCs w:val="20"/>
                <w:color w:val="auto"/>
              </w:rPr>
            </w:pPr>
            <w:r>
              <w:rPr>
                <w:rFonts w:ascii="Arial" w:cs="Arial" w:eastAsia="Arial" w:hAnsi="Arial"/>
                <w:sz w:val="18"/>
                <w:szCs w:val="18"/>
                <w:color w:val="auto"/>
              </w:rPr>
              <w:t>Loss per common share - basic and diluted -</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vMerge w:val="restart"/>
          </w:tcPr>
          <w:p>
            <w:pPr>
              <w:jc w:val="right"/>
              <w:ind w:right="30"/>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140"/>
        <w:spacing w:after="0" w:line="294" w:lineRule="auto"/>
        <w:rPr>
          <w:sz w:val="20"/>
          <w:szCs w:val="20"/>
          <w:color w:val="auto"/>
        </w:rPr>
      </w:pPr>
      <w:r>
        <w:rPr>
          <w:rFonts w:ascii="Arial" w:cs="Arial" w:eastAsia="Arial" w:hAnsi="Arial"/>
          <w:sz w:val="17"/>
          <w:szCs w:val="17"/>
          <w:color w:val="auto"/>
        </w:rPr>
        <w:t>For the three and nine-month periods ended September 30, 2018, accrued dividend for Private Salarius' Series 1 preferred units was $24,580 and $88,015, respectively. In October 2018, these Series 1 Preferred Units were converted into Private Salarius' Series A Preferred Units. On July 19, 2019, the Series A Preferred Units were exchanged for the Company's common shares upon the merger with Flex Pharma.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Purchase with Aspire Capital</w:t>
      </w:r>
    </w:p>
    <w:p>
      <w:pPr>
        <w:spacing w:after="0" w:line="25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provides that the Company may offer to Aspire Capital up to an aggregate of $10.9 million of the Company's common shares over 30 months. Upon execution of the agreement, the Company sold to Aspire Capital 210,526 shares of common stock at $4.75 per share for proceeds of $1.0 million. In consideration for entering into the purchase agreement, the Company issued to Aspire Capital 101,810 common shares. The purchase agreement may be terminated by the Company at any time, at its discretion, without any cost to the Company.</w:t>
      </w:r>
    </w:p>
    <w:p>
      <w:pPr>
        <w:spacing w:after="0" w:line="3"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Under the purchase agreement, on any trading day when the closing sale price of the Company’s common stock is more than $0.25 per share, the Company has the right, in its sole discretion, to direct Aspire Capital to purchase up to 50,000 shares of the Company’s common stock per business day, up to $500,000 of the Company’s common stock in the aggregate at a per share price equal to the lesser of:</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arithmetic average of the three lowest closing sale prices for the Company’s common stock during the ten consecutive trading days ending on the trading day immediately preceding the purchase date.</w:t>
      </w:r>
    </w:p>
    <w:p>
      <w:pPr>
        <w:spacing w:after="0" w:line="194"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on any date on which the Company submits a notice to Aspire Capital in an amount equal to 50,000 shares, the Company also has the right, in its sole discretion, to present Aspire Capital with a volume-weighted average price purchase notice directing Aspire Capital to purchase an amount of stock equal to up to 30% of the aggregate shares of the Company’s common stock traded on its principal market on the next trading day ("VWAP Purchase Date"), subject to a maximum number of shares the Company may determine. The purchase price per share pursuant to such notice is generally 97% of the volume-weighted average price for the Company’s common stock traded on its principal market on the VWAP Purchase Date.</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purchase agreement, in no case may the Company issue more than 750,861 shares of the Company’s common stock (which equals approximately 19.99% of the Company’s common shares outstanding on October 24, 2019) to Aspire Capital unless (i) the average price paid for all shares issued under the agreement is at least $4.75 per share or (ii) the Company receives stockholder approval to issue more shares to Aspire Capital.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are no other trading volume requirements or restrictions under the purchase agreement and the Company will control the timing and amount of the Company’s common shares sell to Aspire Capital. Aspire Capital has no right to require any sales by the Company, but is obligated to make purchases from the Company as directed.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270" w:right="6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financial information and the notes thereto included herein, as well as our audited financial statements and notes thereto contained in our current report on Form 8-K/A filed with the SEC on September 18, 2019.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"Risk Factors" discussed in our current report on Form 8-K/A filed with the SEC on September 18, 2019,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unaudited condensed consolidated financial statements and notes to assist readers in understanding our results of operations, financial condition, and cash flows. The MD&amp;A is organized as follows:</w:t>
      </w:r>
    </w:p>
    <w:p>
      <w:pPr>
        <w:spacing w:after="0" w:line="96" w:lineRule="exact"/>
        <w:rPr>
          <w:sz w:val="20"/>
          <w:szCs w:val="20"/>
          <w:color w:val="auto"/>
        </w:rPr>
      </w:pPr>
    </w:p>
    <w:p>
      <w:pPr>
        <w:spacing w:after="0" w:line="292"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 A discussion of our business and overall analysis of financial and other highlights in order to provide context for the remainder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MD&amp;A.</w:t>
      </w:r>
    </w:p>
    <w:p>
      <w:pPr>
        <w:spacing w:after="0" w:line="6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 An analysis of our financial results comparing the three and nine months ended September 30, 2019 to the three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2018.</w:t>
      </w:r>
    </w:p>
    <w:p>
      <w:pPr>
        <w:spacing w:after="0" w:line="77"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 An analysis of changes in our unaudited condensed consolidated balance sheets and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our financial condition and potential sources of liquidity.</w:t>
      </w:r>
    </w:p>
    <w:p>
      <w:pPr>
        <w:spacing w:after="0" w:line="7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i w:val="1"/>
          <w:iCs w:val="1"/>
          <w:color w:val="auto"/>
        </w:rPr>
        <w:t xml:space="preserve">Critical Accounting Policies and Significant Judgments and Estimates </w:t>
      </w:r>
      <w:r>
        <w:rPr>
          <w:rFonts w:ascii="Arial" w:cs="Arial" w:eastAsia="Arial" w:hAnsi="Arial"/>
          <w:sz w:val="18"/>
          <w:szCs w:val="18"/>
          <w:color w:val="auto"/>
        </w:rPr>
        <w:t>- A discussion of critical accounting policies and those that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subjective estimates and judgments.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We are a clinical-stage biotechnology company focused on developing effective epigenetic-based cancer treatments for indications with high unmet medical need. Our lead epigenetic enzyme technology was licensed from the University of Utah Research Foundation in 2011.</w:t>
      </w:r>
    </w:p>
    <w:p>
      <w:pPr>
        <w:spacing w:after="0" w:line="17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focused on epigenetic strategies for cancer treatment. Epigenetics refers to the system that regulates gene expression through conformational changes to the chromatin rather than changes to the DNA sequence itself. 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500"/>
        <w:spacing w:after="0" w:line="271" w:lineRule="auto"/>
        <w:rPr>
          <w:sz w:val="20"/>
          <w:szCs w:val="20"/>
          <w:color w:val="auto"/>
        </w:rPr>
      </w:pPr>
      <w:r>
        <w:rPr>
          <w:rFonts w:ascii="Arial" w:cs="Arial" w:eastAsia="Arial" w:hAnsi="Arial"/>
          <w:sz w:val="18"/>
          <w:szCs w:val="18"/>
          <w:color w:val="auto"/>
        </w:rPr>
        <w:t>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9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The Advanced Solid Tumor (“AST”) trial is a single agent dose escalation, dose expansion study enrolling patients with advanced malignancies, excluding Ewing sarcoma or central nervous system tumors.</w:t>
      </w:r>
    </w:p>
    <w:p>
      <w:pPr>
        <w:spacing w:after="0" w:line="10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recent works have sparked interest in combining LSD1 inhibitors with checkpoint inhibitors. We are conducting preclinical work with SP-2577 in this area.</w:t>
      </w:r>
    </w:p>
    <w:p>
      <w:pPr>
        <w:spacing w:after="0" w:line="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$10,193,879 as of September 30, 2019. Substantially all of our operating losses resulted from expenses incurred in connection with our research and development programs and from general and administrative costs associated with our operations.</w:t>
      </w:r>
    </w:p>
    <w:p>
      <w:pPr>
        <w:spacing w:after="0" w:line="10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about our ability to continue as a going concern. 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September 30, 2019, we had cash and cash equivalents of $3,999,676, which includes $2.0 million for funds received from Cancer Prevention and Research Institution of Texas ("CPRIT"). These funds are to be used for allowable expenses, primarily research and development expenses. The grant has a mandatory fund matching requirement. As of September 30, 2019, CPRIT fund matching requirements had not been fully met. As of September 30, 2019, we have received an aggregate of $9.6 million from the CPRIT grant and there was $9.1 million of funds available for us to draw upon meeting certain requirements.</w:t>
      </w:r>
    </w:p>
    <w:p>
      <w:pPr>
        <w:spacing w:after="0" w:line="20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believe that our cash and cash equivalents currently on hand are not sufficient to fund our anticipated operating and capital requirements through at least 12 months from the date this quarterly report on Form 10-Q is filed, however we will continue to require substantial additional capital to continue our clinical development activities. Accordingly, we will need to raise substantial additional capital to continue to fund our operations.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the Three Months Ended September 30, 2018</w:t>
      </w:r>
    </w:p>
    <w:p>
      <w:pPr>
        <w:spacing w:after="0" w:line="158"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September 30, 2019 compared to the three months ended September 30,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17"/>
                <w:szCs w:val="17"/>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Three Months</w:t>
            </w:r>
          </w:p>
        </w:tc>
        <w:tc>
          <w:tcPr>
            <w:tcW w:w="300" w:type="dxa"/>
            <w:vAlign w:val="bottom"/>
          </w:tcPr>
          <w:p>
            <w:pPr>
              <w:spacing w:after="0"/>
              <w:rPr>
                <w:sz w:val="17"/>
                <w:szCs w:val="17"/>
                <w:color w:val="auto"/>
              </w:rPr>
            </w:pPr>
          </w:p>
        </w:tc>
        <w:tc>
          <w:tcPr>
            <w:tcW w:w="1780" w:type="dxa"/>
            <w:vAlign w:val="bottom"/>
            <w:gridSpan w:val="2"/>
            <w:vMerge w:val="restart"/>
          </w:tcPr>
          <w:p>
            <w:pPr>
              <w:ind w:left="90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3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vMerge w:val="restart"/>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Ended September</w:t>
            </w:r>
          </w:p>
        </w:tc>
        <w:tc>
          <w:tcPr>
            <w:tcW w:w="120" w:type="dxa"/>
            <w:vAlign w:val="bottom"/>
          </w:tcPr>
          <w:p>
            <w:pPr>
              <w:spacing w:after="0"/>
              <w:rPr>
                <w:sz w:val="10"/>
                <w:szCs w:val="10"/>
                <w:color w:val="auto"/>
              </w:rPr>
            </w:pPr>
          </w:p>
        </w:tc>
        <w:tc>
          <w:tcPr>
            <w:tcW w:w="1820" w:type="dxa"/>
            <w:vAlign w:val="bottom"/>
            <w:gridSpan w:val="2"/>
            <w:vMerge w:val="restart"/>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Ended September</w:t>
            </w:r>
          </w:p>
        </w:tc>
        <w:tc>
          <w:tcPr>
            <w:tcW w:w="30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3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30, 2019</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30, 2018</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6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874,949</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469,051</w:t>
            </w:r>
          </w:p>
        </w:tc>
        <w:tc>
          <w:tcPr>
            <w:tcW w:w="1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405,898</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(1,140,909)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(353,607)</w:t>
            </w: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(787,302)</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2"/>
        </w:trPr>
        <w:tc>
          <w:tcPr>
            <w:tcW w:w="39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(3,494,205)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(428,958)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(3,065,247)</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1,130,848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1,130,848</w:t>
            </w: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2"/>
        </w:trPr>
        <w:tc>
          <w:tcPr>
            <w:tcW w:w="39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6,064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5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2,348</w:t>
            </w: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5"/>
        </w:trPr>
        <w:tc>
          <w:tcPr>
            <w:tcW w:w="3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(2,627,721)</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(307,450)</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(2,320,271)</w:t>
            </w:r>
          </w:p>
        </w:tc>
        <w:tc>
          <w:tcPr>
            <w:tcW w:w="5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Grant revenue, which was derived solely from the CPRIT grant, was $ 874,949 during the three months ended September 30, 2019 compared to $469,051 during the three months ended September 30, 2018.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0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As of September 30, 2019, we had $1,580,394 of deferred revenue, which consisted of payments received from the CPRIT grant. This deferred revenue is expected to be recognized through the first half of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Research and development expenses were $1,140,909 during the three months ended September 30, 2019 compared to $353,607 during the three months ended September 30, 2018. This increase of $787,302 was principally due to increased chemistry, manufacturing and control expenses related to production of tablets to be used in clinical trials, as well as consulting fees related to clinic trials and a pre-clinical study for our next generation Seclidemstat program. We initiated our Phase 1 clinical trial for Ewing Sarcoma in September 2018 and has increased the number of patients enrolled and clinical sites. The Phase 1 clinical trial for advanced solid tumor was initiated in the second quarter of 2019.</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General and administrative expenses were $3,494,205 for the three months ended September 30, 2019 compared to $428,958 for the three months ended September 30, 2018. This increase of $3,065,247 was principally due to increased legal and professional service fees. Legal and professional fees increased significantly in the current period mainly due to merger and financing activities. We incurred approximately $760,000 of legal and professional fees related to the merger with Flex Pharma and financing activities during the three months ended September 30, 2019. We also incurred a success fee of $1,350,000 upon the closing of the merger transaction with Flex Pharma. Additionally, insurance expenses increased approximately $214,000 mainly due to higher premium on director and officer liability insurance.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5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change in fair value of warrant liability was primarily due to the fluctuation of the price of our common stock ($15.17 per share on the date of issuance on July 19, 2019 compared to $5.45 per share on September 30,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the Nine Months Ended September 30, 2018</w:t>
      </w:r>
    </w:p>
    <w:p>
      <w:pPr>
        <w:spacing w:after="0" w:line="158"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table sets forth the condensed consolidated results of operations for the nine months ended September 30, 2019 compared to the nine months ended September 30,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Nine Months</w:t>
            </w:r>
          </w:p>
        </w:tc>
        <w:tc>
          <w:tcPr>
            <w:tcW w:w="20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Nine Months</w:t>
            </w:r>
          </w:p>
        </w:tc>
        <w:tc>
          <w:tcPr>
            <w:tcW w:w="360" w:type="dxa"/>
            <w:vAlign w:val="bottom"/>
          </w:tcPr>
          <w:p>
            <w:pPr>
              <w:spacing w:after="0"/>
              <w:rPr>
                <w:sz w:val="17"/>
                <w:szCs w:val="17"/>
                <w:color w:val="auto"/>
              </w:rPr>
            </w:pPr>
          </w:p>
        </w:tc>
        <w:tc>
          <w:tcPr>
            <w:tcW w:w="1920" w:type="dxa"/>
            <w:vAlign w:val="bottom"/>
            <w:gridSpan w:val="2"/>
            <w:vMerge w:val="restart"/>
          </w:tcPr>
          <w:p>
            <w:pPr>
              <w:ind w:left="102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1740" w:type="dxa"/>
            <w:vAlign w:val="bottom"/>
            <w:gridSpan w:val="3"/>
            <w:vMerge w:val="restart"/>
          </w:tcPr>
          <w:p>
            <w:pPr>
              <w:ind w:left="20"/>
              <w:spacing w:after="0" w:line="202" w:lineRule="exact"/>
              <w:rPr>
                <w:sz w:val="20"/>
                <w:szCs w:val="20"/>
                <w:color w:val="auto"/>
              </w:rPr>
            </w:pPr>
            <w:r>
              <w:rPr>
                <w:rFonts w:ascii="Arial" w:cs="Arial" w:eastAsia="Arial" w:hAnsi="Arial"/>
                <w:sz w:val="18"/>
                <w:szCs w:val="18"/>
                <w:b w:val="1"/>
                <w:bCs w:val="1"/>
                <w:color w:val="auto"/>
              </w:rPr>
              <w:t>Ended September</w:t>
            </w:r>
          </w:p>
        </w:tc>
        <w:tc>
          <w:tcPr>
            <w:tcW w:w="1760" w:type="dxa"/>
            <w:vAlign w:val="bottom"/>
            <w:gridSpan w:val="3"/>
            <w:vMerge w:val="restart"/>
          </w:tcPr>
          <w:p>
            <w:pPr>
              <w:ind w:left="40"/>
              <w:spacing w:after="0" w:line="202" w:lineRule="exact"/>
              <w:rPr>
                <w:sz w:val="20"/>
                <w:szCs w:val="20"/>
                <w:color w:val="auto"/>
              </w:rPr>
            </w:pPr>
            <w:r>
              <w:rPr>
                <w:rFonts w:ascii="Arial" w:cs="Arial" w:eastAsia="Arial" w:hAnsi="Arial"/>
                <w:sz w:val="18"/>
                <w:szCs w:val="18"/>
                <w:b w:val="1"/>
                <w:bCs w:val="1"/>
                <w:color w:val="auto"/>
              </w:rPr>
              <w:t>Ended September</w:t>
            </w:r>
          </w:p>
        </w:tc>
        <w:tc>
          <w:tcPr>
            <w:tcW w:w="36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46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4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30, 2019</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30, 2018</w:t>
            </w:r>
          </w:p>
        </w:tc>
        <w:tc>
          <w:tcPr>
            <w:tcW w:w="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2,426,362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1,312,752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1,113,610</w:t>
            </w:r>
          </w:p>
        </w:tc>
        <w:tc>
          <w:tcPr>
            <w:tcW w:w="6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4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(2,680,982)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(803,846)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(1,877,136)</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(5,950,431)</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(1,093,596)</w:t>
            </w: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(4,856,835)</w:t>
            </w: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460" w:type="dxa"/>
            <w:vAlign w:val="bottom"/>
          </w:tcPr>
          <w:p>
            <w:pPr>
              <w:ind w:left="20"/>
              <w:spacing w:after="0"/>
              <w:rPr>
                <w:sz w:val="20"/>
                <w:szCs w:val="20"/>
                <w:color w:val="auto"/>
              </w:rPr>
            </w:pPr>
            <w:r>
              <w:rPr>
                <w:rFonts w:ascii="Arial" w:cs="Arial" w:eastAsia="Arial" w:hAnsi="Arial"/>
                <w:sz w:val="18"/>
                <w:szCs w:val="18"/>
                <w:color w:val="auto"/>
              </w:rPr>
              <w:t>Change in fair value of warrant</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1,130,848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1,130,848</w:t>
            </w:r>
          </w:p>
        </w:tc>
        <w:tc>
          <w:tcPr>
            <w:tcW w:w="6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18,413</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6,924</w:t>
            </w: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11,489</w:t>
            </w:r>
          </w:p>
        </w:tc>
        <w:tc>
          <w:tcPr>
            <w:tcW w:w="6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46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2,348</w:t>
            </w: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(5,053,442)</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(577,766)</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(4,475,676)</w:t>
            </w:r>
          </w:p>
        </w:tc>
        <w:tc>
          <w:tcPr>
            <w:tcW w:w="680" w:type="dxa"/>
            <w:vAlign w:val="bottom"/>
            <w:tcBorders>
              <w:top w:val="single" w:sz="8" w:color="CCEEFF"/>
              <w:bottom w:val="single" w:sz="8" w:color="CCEEFF"/>
            </w:tcBorders>
            <w:shd w:val="clear" w:color="auto" w:fill="CCEEFF"/>
          </w:tcPr>
          <w:p>
            <w:pPr>
              <w:spacing w:after="0"/>
              <w:rPr>
                <w:sz w:val="23"/>
                <w:szCs w:val="23"/>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4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Grant revenue, which was derived solely from the CPRIT grant, was $2,426,362 during the nine months ended September 30, 2019 compared to $1,312,752 during the nine months ended September 30, 2018.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Research and development expenses were $2,680,982 during the nine months ended September 30, 2019 compared to $803,846 during the nine months ended September 30, 2018. This increase of $1,877,136 was principally due to increased chemistry, manufacturing and control expenses related to production of tablets to be used in clinical trials, as well as consulting fees related to clinic trials and a pre-clinical study for our next generation Seclidemstat program. We initiated our Phase 1 clinical trial for Ewing Sarcoma in September 2018 and have increased the number of patients enrolled and clinical sites. The Phase 1 clinical trial for advanced solid tumor was initiated in the second quarter of 2019.</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General and administrative expenses were $5,950,431 for the nine months ended September 30, 2019 compared to $1,093,596 for the nine months ended September 30, 2018. This increase of $4,856,835 was principally due to increased legal and professional service fees. Legal fees increased significantly in the current period due to merger and financing activities. We incurred approximately $1.4 million of legal and professional fees related to the merger with Flex Pharma and financing activities during the nine months ended September 30, 2019. We also incurred a success fee of $1,350,000 upon the closing of the merger transaction with Flex Pharma. Additionally, insurance expenses increased approximately $212,000 mainly due to higher premium on director and officer liability insurance.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44"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change in fair value of warrant liability was primarily due to the fluctuation of the price of our common stock ($15.17 per share on the date of issuance on July 19, 2019 compared to $5.45 per share on September 30,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solely from CPRIT grant, and have not generated any revenue from product sales.</w:t>
      </w:r>
    </w:p>
    <w:p>
      <w:pPr>
        <w:spacing w:after="0" w:line="23"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September 30, 2019, we had $ 518,471 of working capital and our cash and cash equivalents totaled $3,999,676, which were held in bank deposit accounts and money market funds. Our cash and cash equivalents balance decreased during the nine months ended September 30, 2019, primarily due to our net loss incurred.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355"/>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2"/>
          </w:tcPr>
          <w:p>
            <w:pPr>
              <w:ind w:left="80"/>
              <w:spacing w:after="0"/>
              <w:rPr>
                <w:sz w:val="20"/>
                <w:szCs w:val="20"/>
                <w:color w:val="auto"/>
              </w:rPr>
            </w:pPr>
            <w:r>
              <w:rPr>
                <w:rFonts w:ascii="Arial" w:cs="Arial" w:eastAsia="Arial" w:hAnsi="Arial"/>
                <w:sz w:val="18"/>
                <w:szCs w:val="18"/>
                <w:b w:val="1"/>
                <w:bCs w:val="1"/>
                <w:color w:val="auto"/>
              </w:rPr>
              <w:t>Nine Months Ended</w:t>
            </w:r>
          </w:p>
        </w:tc>
        <w:tc>
          <w:tcPr>
            <w:tcW w:w="240" w:type="dxa"/>
            <w:vAlign w:val="bottom"/>
          </w:tcPr>
          <w:p>
            <w:pPr>
              <w:spacing w:after="0"/>
              <w:rPr>
                <w:sz w:val="24"/>
                <w:szCs w:val="24"/>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6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40" w:type="dxa"/>
            <w:vAlign w:val="bottom"/>
          </w:tcPr>
          <w:p>
            <w:pPr>
              <w:spacing w:after="0"/>
              <w:rPr>
                <w:sz w:val="22"/>
                <w:szCs w:val="22"/>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 2018</w:t>
            </w:r>
          </w:p>
        </w:tc>
      </w:tr>
      <w:tr>
        <w:trPr>
          <w:trHeight w:val="251"/>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spacing w:after="0"/>
              <w:rPr>
                <w:sz w:val="21"/>
                <w:szCs w:val="21"/>
                <w:color w:val="auto"/>
              </w:rPr>
            </w:pPr>
          </w:p>
        </w:tc>
      </w:tr>
      <w:tr>
        <w:trPr>
          <w:trHeight w:val="252"/>
        </w:trPr>
        <w:tc>
          <w:tcPr>
            <w:tcW w:w="65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center"/>
              <w:ind w:left="850"/>
              <w:spacing w:after="0"/>
              <w:rPr>
                <w:sz w:val="20"/>
                <w:szCs w:val="20"/>
                <w:color w:val="auto"/>
              </w:rPr>
            </w:pPr>
            <w:r>
              <w:rPr>
                <w:rFonts w:ascii="Arial" w:cs="Arial" w:eastAsia="Arial" w:hAnsi="Arial"/>
                <w:sz w:val="18"/>
                <w:szCs w:val="18"/>
                <w:color w:val="auto"/>
                <w:w w:val="99"/>
              </w:rPr>
              <w:t>(8,943,538)</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3,789,651</w:t>
            </w:r>
          </w:p>
        </w:tc>
      </w:tr>
      <w:tr>
        <w:trPr>
          <w:trHeight w:val="261"/>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9"/>
              </w:rPr>
              <w:t>5,607,908</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2"/>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1,203,525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1,741,310</w:t>
            </w:r>
          </w:p>
        </w:tc>
      </w:tr>
      <w:tr>
        <w:trPr>
          <w:trHeight w:val="28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9"/>
              </w:rPr>
              <w:t>(2,132,105)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5,530,961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Cash used in operating activities was $8,943,538 for the nine months ended September 30, 2019, as compared to $3,789,651 of cash provided by operating activities for the nine months ended September 30, 2018. This increase in cash used in operating activities was primarily due to payments made for legal and professional services related to the merger transaction as well as research activities. Total payments for legal fees, including spending related to the merger, was approximately $1.3 million for the nine months ended September 30, 2019. Additionally, there was a one-time nonrecurring payment made for liabilities assumed from Flex Pharma of approximately $1.7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Net cash provided by investing activities during the nine months ended September 30, 2019 was related to $5,403,634 net cash received from Flex Pharma upon the merger and $204,274 net cash received from the sale of the HOTSHOT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flows from investing activities for the nine months ended September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financing activities was $1,203,525 and $1,741,310 for the nine months ended September 30, 2019 and 2018, respectively. Proceeds received from issuances of equity securities decreased from $2,050,269 for the nine months ended September 30, 2018 to $1,508,179 for the nine months ended September 30, 2019. Additionally, payments to redeem equity securities was $250,000 for the nine months ended September 30, 2018. There was no such redemption during the nine months ended September 30, 2019. During the nine months ended September 30, 2019 and 2018, the Company made dividend payments of $133,594 and $58,959, respectively, to preferred unit holders. During the nine months ended September 30, 2019, the Company made $171,060 of principal payments on insurance financing note. There were no such payments during the nine months ended September 30, 2018.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had $3,999,676 in cash and cash equivalents.</w:t>
      </w:r>
    </w:p>
    <w:p>
      <w:pPr>
        <w:spacing w:after="0" w:line="14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expect to continue to incur additional costs associated with operating as a public company. In addition, subject to obtaining regulatory approval of any of our product candidates, we anticipate we will need substantial additional funding in connection with our continuing operations.</w:t>
      </w:r>
    </w:p>
    <w:p>
      <w:pPr>
        <w:spacing w:after="0" w:line="163"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We expect our research and development expenses to substantially increase in connection with our ongoing activities, particularly as we advance our product candidates in or towards clinical development.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timing of any strategic alliance, licensing and other arrangements that we may establish;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and progress of our ongoing pre-clinical studies and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programs we pursue;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patent filing, prosecution, and enforcement;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having clinical supplies of our product candidates manufactured.</w:t>
      </w:r>
    </w:p>
    <w:p>
      <w:pPr>
        <w:spacing w:after="0" w:line="22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We believe that our cash and cash equivalents currently on hand are not sufficient to fund our anticipated operating and capital requirements through at least 12 months from the date this quarterly report on Form 10-Q is filed.</w:t>
      </w:r>
    </w:p>
    <w:p>
      <w:pPr>
        <w:spacing w:after="0" w:line="1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Until we can generate a sufficient amount of product revenue to finance our cash requirements beyond 2020, we expect to finance our future cash needs primarily through the issuance of additional equity and potentially through borrowing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itself.</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Successful development of product candidates is highly uncertain and may not result in approved products. Completion dates and completion costs can vary significantly for each product candidate and are difficult to predict. We anticipate that we will make determinations as to which programs to pursue and how much funding to direct to each program on an ongoing basis in response to the scientific and clinical success of each product candidate and ongoing assessments as to each product candidate’s commercial potential. We will need to raise additional capital and may seek to do so through public or private equity or debt financings, government or other third-party funding, marketing and distribution arrangements and other collaborations, strategic alliances and licensing arrangements or a combination of these approaches. However, we may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114"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Current Report on Form 8-K/A filed with SEC on September 18, 2019.</w:t>
      </w:r>
    </w:p>
    <w:p>
      <w:pPr>
        <w:spacing w:after="0" w:line="7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Readers should refer to our current report on Form 8-K/A under “Management’s Discussion and Analysis of Financial Condition and Results of Operation—Critical Accounting Policies and Use of Estimates” filed with SEC 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September 18, 2019 and Note 2, Basis of Presentation and Significant Accounting Policies to the accompanying financial statements for descriptions of these policies and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February 2016, the Financial Accounting Standards Board (the “FASB”) issued guidance for accounting for leases. The guidance requires lessees to recognize assets and liabilities related to long-term leases on the balance sheet and expands disclosure requirements regarding leasing arrangements. The guidance is effective for reporting periods beginning after December 15, 2018 for public entities. The guidance must be adopted on a modified retrospective basis and provides for certain practical expedients. We adopted this guidance effective January 1, 2019 using the following practical expedients:</w:t>
      </w:r>
    </w:p>
    <w:p>
      <w:pPr>
        <w:spacing w:after="0" w:line="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did not reassess if any expired or existing contracts are or contain leases;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did not reassess the classification of any expired or existing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the new guidance on January 1, 2019, there was no impact on our financial statements.</w:t>
      </w:r>
    </w:p>
    <w:p>
      <w:pPr>
        <w:spacing w:after="0" w:line="131"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Additionally, we made ongoing accounting policy elections whereby we (i) do not recognize right-of-use assets or lease liabilities for short-term leases (those with original terms of 12-months or less) and (ii) combine lease and non-lease elements of our operating leases.</w:t>
      </w:r>
    </w:p>
    <w:p>
      <w:pPr>
        <w:spacing w:after="0" w:line="22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interim Chief Financial Officer (our principal financial officer and principal accounting officer), as appropriate, to allow timely decisions regarding required disclosure.</w:t>
      </w:r>
    </w:p>
    <w:p>
      <w:pPr>
        <w:spacing w:after="0" w:line="20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September 30, 2019, we have evaluated, under the supervision and with the participation of our management, including the Chief Executive Officer and the interim Chief Financial Officer, the effectiveness of the design and operation of our disclosure controls and procedures pursuant to Exchange Act Rule 13a-15. Based upon our evaluation, the Chief Executive Officer and the interim Chief Financial Officer concluded that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During the three months ended September 30, 2019, there was no significant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On March 1, 2019, Nahuel Malzone, a purported stockholder of the Company, sent us a written demand letter and draft complaint alleging that</w:t>
      </w:r>
    </w:p>
    <w:p>
      <w:pPr>
        <w:spacing w:after="0" w:line="31" w:lineRule="exact"/>
        <w:rPr>
          <w:sz w:val="20"/>
          <w:szCs w:val="20"/>
          <w:color w:val="auto"/>
        </w:rPr>
      </w:pPr>
    </w:p>
    <w:p>
      <w:pPr>
        <w:ind w:right="20" w:firstLine="8"/>
        <w:spacing w:after="0" w:line="255"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the members of our board of directors violated Section 14(a) of the Securities Exchange Act of 1934, as amended, the Exchange Act, and Rule 14a-9 promulgated thereunder, by filing a proxy statement, which allegedly failed to disclose and/or misrepresented material information about the proposed merger with Private Salarius and (ii) the members of the board of directors, as control persons of the Company, violated Section 20(a) of the Exchange Act in connection with the filing of the allegedly materially deficient proxy statement.</w:t>
      </w:r>
    </w:p>
    <w:p>
      <w:pPr>
        <w:sectPr>
          <w:pgSz w:w="11900" w:h="16838" w:orient="portrait"/>
          <w:cols w:equalWidth="0" w:num="1">
            <w:col w:w="11400"/>
          </w:cols>
          <w:pgMar w:left="240" w:top="270" w:right="2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Mr. Malzone demanded that we provide certain corrective disclosures to the proxy statement/prospectus/information statement. The case was settled on August 1, 2019.</w:t>
      </w:r>
    </w:p>
    <w:p>
      <w:pPr>
        <w:spacing w:after="0" w:line="22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7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8.01 Section Risk Factors in our Current Report on Form 8-K/A filed with the SEC on September 18, 2019.</w:t>
      </w:r>
    </w:p>
    <w:p>
      <w:pPr>
        <w:spacing w:after="0" w:line="172"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There have been no material changes to the risk factors included in our Current Report on Form 8-K/A filed with the SEC on September 18, 2019.</w:t>
      </w:r>
    </w:p>
    <w:p>
      <w:pPr>
        <w:spacing w:after="0" w:line="22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3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 applicable.</w:t>
      </w:r>
    </w:p>
    <w:p>
      <w:pPr>
        <w:spacing w:after="0" w:line="304"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8" w:name="page29"/>
    <w:bookmarkEnd w:id="2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300"/>
          </w:cols>
          <w:pgMar w:left="24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28" w:lineRule="exact"/>
        <w:rPr>
          <w:sz w:val="20"/>
          <w:szCs w:val="20"/>
          <w:color w:val="auto"/>
        </w:rPr>
      </w:pPr>
    </w:p>
    <w:p>
      <w:pPr>
        <w:ind w:left="200" w:right="40" w:firstLine="30"/>
        <w:spacing w:after="0" w:line="316"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660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29845</wp:posOffset>
            </wp:positionV>
            <wp:extent cx="6337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221" w:lineRule="exact"/>
        <w:rPr>
          <w:sz w:val="20"/>
          <w:szCs w:val="20"/>
          <w:color w:val="auto"/>
        </w:rPr>
      </w:pPr>
    </w:p>
    <w:p>
      <w:pPr>
        <w:ind w:left="160" w:right="320"/>
        <w:spacing w:after="0" w:line="229" w:lineRule="auto"/>
        <w:rPr>
          <w:rFonts w:ascii="Arial" w:cs="Arial" w:eastAsia="Arial" w:hAnsi="Arial"/>
          <w:sz w:val="18"/>
          <w:szCs w:val="18"/>
          <w:color w:val="0000FF"/>
        </w:rPr>
      </w:pPr>
      <w:hyperlink r:id="rId41">
        <w:r>
          <w:rPr>
            <w:rFonts w:ascii="Arial" w:cs="Arial" w:eastAsia="Arial" w:hAnsi="Arial"/>
            <w:sz w:val="18"/>
            <w:szCs w:val="18"/>
            <w:u w:val="single" w:color="auto"/>
            <w:color w:val="0000FF"/>
          </w:rPr>
          <w:t>Agreement and Plan of Merger dated January 3, 2019 by and among the Registrant, Falcon Acquisition Sub, LLC and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Salarius Pharmaceuticals, LLC. ( incorporated by reference to Exhibit 2.1 to the Registrant's Current Report on Form 8-K</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filed on January 4, 2019)</w:t>
        </w:r>
      </w:hyperlink>
      <w:r>
        <w:rPr>
          <w:rFonts w:ascii="Arial" w:cs="Arial" w:eastAsia="Arial" w:hAnsi="Arial"/>
          <w:sz w:val="18"/>
          <w:szCs w:val="18"/>
          <w:color w:val="000000"/>
        </w:rPr>
        <w:t>.</w:t>
      </w:r>
    </w:p>
    <w:p>
      <w:pPr>
        <w:spacing w:after="0" w:line="2" w:lineRule="exact"/>
        <w:rPr>
          <w:rFonts w:ascii="Arial" w:cs="Arial" w:eastAsia="Arial" w:hAnsi="Arial"/>
          <w:sz w:val="18"/>
          <w:szCs w:val="18"/>
          <w:u w:val="single" w:color="auto"/>
          <w:color w:val="0000FF"/>
        </w:rPr>
      </w:pPr>
    </w:p>
    <w:p>
      <w:pPr>
        <w:sectPr>
          <w:pgSz w:w="11900" w:h="16838" w:orient="portrait"/>
          <w:cols w:equalWidth="0" w:num="2">
            <w:col w:w="900" w:space="340"/>
            <w:col w:w="10060"/>
          </w:cols>
          <w:pgMar w:left="240" w:top="270" w:right="359" w:bottom="1440" w:gutter="0" w:footer="0" w:header="0"/>
          <w:type w:val="continuous"/>
        </w:sectPr>
      </w:pPr>
    </w:p>
    <w:p>
      <w:pPr>
        <w:ind w:left="1400" w:right="460" w:hanging="749"/>
        <w:spacing w:after="0" w:line="25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42">
        <w:r>
          <w:rPr>
            <w:rFonts w:ascii="Arial" w:cs="Arial" w:eastAsia="Arial" w:hAnsi="Arial"/>
            <w:sz w:val="18"/>
            <w:szCs w:val="18"/>
            <w:u w:val="single" w:color="auto"/>
            <w:color w:val="0000FF"/>
          </w:rPr>
          <w:t>Amendment No. 1 to the Agreement and Plan of Merger dated June 27, 2019 by and among Flex Pharma, Inc., Falcon</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Acquisition Sub, LLC, and Salarius Pharmaceuticals, LLC (incorporated by reference to Exhibit 2.1 to the Registrant’s</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Current Report on Form 8-K filed on July 1, 2019).</w:t>
        </w:r>
      </w:hyperlink>
    </w:p>
    <w:p>
      <w:pPr>
        <w:spacing w:after="0" w:line="2" w:lineRule="exact"/>
        <w:rPr>
          <w:rFonts w:ascii="Arial" w:cs="Arial" w:eastAsia="Arial" w:hAnsi="Arial"/>
          <w:sz w:val="18"/>
          <w:szCs w:val="18"/>
          <w:u w:val="single" w:color="auto"/>
          <w:color w:val="0000FF"/>
        </w:rPr>
      </w:pPr>
    </w:p>
    <w:p>
      <w:pPr>
        <w:jc w:val="both"/>
        <w:ind w:left="1400" w:hanging="749"/>
        <w:spacing w:after="0" w:line="25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r:id="rId43">
        <w:r>
          <w:rPr>
            <w:rFonts w:ascii="Arial" w:cs="Arial" w:eastAsia="Arial" w:hAnsi="Arial"/>
            <w:sz w:val="18"/>
            <w:szCs w:val="18"/>
            <w:u w:val="single" w:color="auto"/>
            <w:color w:val="0000FF"/>
          </w:rPr>
          <w:t>Waiver No. 1 to the Agreement and Plan of Merger dated July 18, 2019 by and among Flex Pharma, Inc., Falcon Acquisition</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Sub, LLC, and Salarius Pharmaceuticals, LLC (incorporated by reference to Exhibit 2.3 to the Registrant’s Current Report on</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Form 8-K filed with the SEC on July 22, 2019).</w:t>
        </w:r>
      </w:hyperlink>
    </w:p>
    <w:p>
      <w:pPr>
        <w:spacing w:after="0" w:line="2" w:lineRule="exact"/>
        <w:rPr>
          <w:rFonts w:ascii="Arial" w:cs="Arial" w:eastAsia="Arial" w:hAnsi="Arial"/>
          <w:sz w:val="18"/>
          <w:szCs w:val="18"/>
          <w:u w:val="single" w:color="auto"/>
          <w:color w:val="0000FF"/>
        </w:rPr>
      </w:pPr>
    </w:p>
    <w:p>
      <w:pPr>
        <w:ind w:left="1400" w:right="100" w:hanging="749"/>
        <w:spacing w:after="0" w:line="255"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4">
        <w:r>
          <w:rPr>
            <w:rFonts w:ascii="Arial" w:cs="Arial" w:eastAsia="Arial" w:hAnsi="Arial"/>
            <w:sz w:val="18"/>
            <w:szCs w:val="18"/>
            <w:u w:val="single" w:color="auto"/>
            <w:color w:val="0000FF"/>
          </w:rPr>
          <w:t>Certificate of Amendment of Certificate of Incorporation of the Registrant filed with the Secretary of State of the State of</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Delaware on July 18, 2019 (incorporated by reference to Exhibit 3.1 to the Registrant’s Current Report on Form 8-K filed on</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July 22, 2019).</w:t>
        </w:r>
      </w:hyperlink>
    </w:p>
    <w:p>
      <w:pPr>
        <w:spacing w:after="0" w:line="2" w:lineRule="exact"/>
        <w:rPr>
          <w:rFonts w:ascii="Arial" w:cs="Arial" w:eastAsia="Arial" w:hAnsi="Arial"/>
          <w:sz w:val="18"/>
          <w:szCs w:val="18"/>
          <w:u w:val="single" w:color="auto"/>
          <w:color w:val="0000FF"/>
        </w:rPr>
      </w:pPr>
    </w:p>
    <w:p>
      <w:pPr>
        <w:ind w:left="1400" w:right="380" w:hanging="749"/>
        <w:spacing w:after="0" w:line="258"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5">
        <w:r>
          <w:rPr>
            <w:rFonts w:ascii="Arial" w:cs="Arial" w:eastAsia="Arial" w:hAnsi="Arial"/>
            <w:sz w:val="18"/>
            <w:szCs w:val="18"/>
            <w:u w:val="single" w:color="auto"/>
            <w:color w:val="0000FF"/>
          </w:rPr>
          <w:t>Amended and Restated Bylaws of the Registrant, effective July 19, 2019 (incorporated by reference to Exhibit 3.2 to the</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Registrant’s Current Report on Form 8-K filed on July 22, 2019).</w:t>
        </w:r>
      </w:hyperlink>
    </w:p>
    <w:p>
      <w:pPr>
        <w:sectPr>
          <w:pgSz w:w="11900" w:h="16838" w:orient="portrait"/>
          <w:cols w:equalWidth="0" w:num="1">
            <w:col w:w="11300"/>
          </w:cols>
          <w:pgMar w:left="240" w:top="270" w:right="359" w:bottom="1440" w:gutter="0" w:footer="0" w:header="0"/>
          <w:type w:val="continuous"/>
        </w:sectPr>
      </w:pP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ind w:left="334" w:right="360"/>
        <w:spacing w:after="0" w:line="242"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the Principal Executive Officer pursuant to Rule 13a-14(a) or 15d-14(a) of the Securities Exchange Act of</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1934.</w:t>
        </w:r>
      </w:hyperlink>
    </w:p>
    <w:p>
      <w:pPr>
        <w:spacing w:after="0" w:line="1" w:lineRule="exact"/>
        <w:rPr>
          <w:sz w:val="20"/>
          <w:szCs w:val="20"/>
          <w:color w:val="auto"/>
        </w:rPr>
      </w:pPr>
    </w:p>
    <w:p>
      <w:pPr>
        <w:ind w:left="334" w:right="420"/>
        <w:spacing w:after="0" w:line="234"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the Principal Financial Officer pursuant to Rule 13a-14(a) or 15d-14(a) of the Securities Exchange Act of</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1934.</w:t>
        </w:r>
      </w:hyperlink>
    </w:p>
    <w:p>
      <w:pPr>
        <w:spacing w:after="0" w:line="2" w:lineRule="exact"/>
        <w:rPr>
          <w:sz w:val="20"/>
          <w:szCs w:val="20"/>
          <w:color w:val="auto"/>
        </w:rPr>
      </w:pPr>
    </w:p>
    <w:p>
      <w:pPr>
        <w:ind w:left="334" w:right="440" w:hanging="334"/>
        <w:spacing w:after="0" w:line="234" w:lineRule="auto"/>
        <w:tabs>
          <w:tab w:leader="none" w:pos="334" w:val="left"/>
        </w:tabs>
        <w:numPr>
          <w:ilvl w:val="0"/>
          <w:numId w:val="9"/>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Principal Executive Officer and Principal Financial Officer pursuant to Rule 13a-14(b) or 15d-14(b) of the</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Exchange Act and 18 U.S.C. Section 1350.</w:t>
        </w:r>
      </w:hyperlink>
    </w:p>
    <w:p>
      <w:pPr>
        <w:spacing w:after="0" w:line="2" w:lineRule="exact"/>
        <w:rPr>
          <w:rFonts w:ascii="Arial" w:cs="Arial" w:eastAsia="Arial" w:hAnsi="Arial"/>
          <w:sz w:val="18"/>
          <w:szCs w:val="18"/>
          <w:color w:val="auto"/>
        </w:rPr>
      </w:pPr>
    </w:p>
    <w:p>
      <w:pPr>
        <w:sectPr>
          <w:pgSz w:w="11900" w:h="16838" w:orient="portrait"/>
          <w:cols w:equalWidth="0" w:num="2">
            <w:col w:w="900" w:space="166"/>
            <w:col w:w="10234"/>
          </w:cols>
          <w:pgMar w:left="240" w:top="270" w:right="359" w:bottom="1440" w:gutter="0" w:footer="0" w:header="0"/>
          <w:type w:val="continuous"/>
        </w:sectPr>
      </w:pPr>
    </w:p>
    <w:p>
      <w:pPr>
        <w:ind w:left="1400" w:right="80" w:hanging="949"/>
        <w:spacing w:after="0" w:line="245" w:lineRule="auto"/>
        <w:tabs>
          <w:tab w:leader="none" w:pos="13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Salarius Pharmaceuticals, Inc.'s Quarterly Report on Form 10-Q for the quarter ended September 30, 2019,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Unaudited Condensed Consolidated Financial Statements.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7787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jc w:val="both"/>
        <w:ind w:right="60" w:firstLine="8"/>
        <w:spacing w:after="0" w:line="266" w:lineRule="auto"/>
        <w:tabs>
          <w:tab w:leader="none" w:pos="2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270" w:right="35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0"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SALARIUS PHARMACEUTICALS, INC.</w:t>
      </w:r>
    </w:p>
    <w:p>
      <w:pPr>
        <w:spacing w:after="0" w:line="92" w:lineRule="exact"/>
        <w:rPr>
          <w:sz w:val="20"/>
          <w:szCs w:val="20"/>
          <w:color w:val="auto"/>
        </w:rPr>
      </w:pPr>
    </w:p>
    <w:p>
      <w:pPr>
        <w:ind w:left="5480"/>
        <w:spacing w:after="0"/>
        <w:tabs>
          <w:tab w:leader="none" w:pos="5900" w:val="left"/>
        </w:tabs>
        <w:rPr>
          <w:sz w:val="20"/>
          <w:szCs w:val="20"/>
          <w:color w:val="auto"/>
        </w:rPr>
      </w:pPr>
      <w:r>
        <w:rPr>
          <w:rFonts w:ascii="Arial" w:cs="Arial" w:eastAsia="Arial" w:hAnsi="Arial"/>
          <w:sz w:val="18"/>
          <w:szCs w:val="18"/>
          <w:color w:val="auto"/>
        </w:rPr>
        <w:t>By:</w:t>
        <w:tab/>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28575</wp:posOffset>
            </wp:positionV>
            <wp:extent cx="34220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David J. Arthur</w:t>
      </w:r>
    </w:p>
    <w:p>
      <w:pPr>
        <w:ind w:left="5920"/>
        <w:spacing w:after="0"/>
        <w:rPr>
          <w:sz w:val="20"/>
          <w:szCs w:val="20"/>
          <w:color w:val="auto"/>
        </w:rPr>
      </w:pPr>
      <w:r>
        <w:rPr>
          <w:rFonts w:ascii="Arial" w:cs="Arial" w:eastAsia="Arial" w:hAnsi="Arial"/>
          <w:sz w:val="18"/>
          <w:szCs w:val="18"/>
          <w:i w:val="1"/>
          <w:iCs w:val="1"/>
          <w:color w:val="auto"/>
        </w:rPr>
        <w:t>President and Chief Executive Officer (Principal Executive Officer)</w:t>
      </w:r>
    </w:p>
    <w:p>
      <w:pPr>
        <w:spacing w:after="0" w:line="122" w:lineRule="exact"/>
        <w:rPr>
          <w:sz w:val="20"/>
          <w:szCs w:val="20"/>
          <w:color w:val="auto"/>
        </w:rPr>
      </w:pPr>
    </w:p>
    <w:p>
      <w:pPr>
        <w:ind w:left="5480"/>
        <w:spacing w:after="0"/>
        <w:tabs>
          <w:tab w:leader="none" w:pos="5900" w:val="left"/>
        </w:tabs>
        <w:rPr>
          <w:sz w:val="20"/>
          <w:szCs w:val="20"/>
          <w:color w:val="auto"/>
        </w:rPr>
      </w:pPr>
      <w:r>
        <w:rPr>
          <w:rFonts w:ascii="Arial" w:cs="Arial" w:eastAsia="Arial" w:hAnsi="Arial"/>
          <w:sz w:val="18"/>
          <w:szCs w:val="18"/>
          <w:color w:val="auto"/>
        </w:rPr>
        <w:t>By:</w:t>
        <w:tab/>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28575</wp:posOffset>
            </wp:positionV>
            <wp:extent cx="34220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J. Rosenblum</w:t>
      </w:r>
    </w:p>
    <w:p>
      <w:pPr>
        <w:ind w:left="5920"/>
        <w:spacing w:after="0" w:line="203" w:lineRule="auto"/>
        <w:rPr>
          <w:sz w:val="20"/>
          <w:szCs w:val="20"/>
          <w:color w:val="auto"/>
        </w:rPr>
      </w:pPr>
      <w:r>
        <w:rPr>
          <w:rFonts w:ascii="Arial" w:cs="Arial" w:eastAsia="Arial" w:hAnsi="Arial"/>
          <w:sz w:val="18"/>
          <w:szCs w:val="18"/>
          <w:i w:val="1"/>
          <w:iCs w:val="1"/>
          <w:color w:val="auto"/>
        </w:rPr>
        <w:t>Executive Vice President and Interim Chief Financial Officer</w:t>
      </w:r>
    </w:p>
    <w:p>
      <w:pPr>
        <w:ind w:left="59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22"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70" w:right="319" w:bottom="1440" w:gutter="0" w:footer="0" w:header="0"/>
        </w:sectPr>
      </w:pPr>
    </w:p>
    <w:bookmarkStart w:id="30" w:name="page31"/>
    <w:bookmarkEnd w:id="30"/>
    <w:p>
      <w:pPr>
        <w:ind w:left="10420"/>
        <w:spacing w:after="0"/>
        <w:rPr>
          <w:sz w:val="20"/>
          <w:szCs w:val="20"/>
          <w:color w:val="auto"/>
        </w:rPr>
      </w:pPr>
      <w:r>
        <w:rPr>
          <w:rFonts w:ascii="Arial" w:cs="Arial" w:eastAsia="Arial" w:hAnsi="Arial"/>
          <w:sz w:val="17"/>
          <w:szCs w:val="17"/>
          <w:b w:val="1"/>
          <w:bCs w:val="1"/>
          <w:color w:val="auto"/>
        </w:rPr>
        <w:t>Exhibit 31.1</w:t>
      </w:r>
    </w:p>
    <w:p>
      <w:pPr>
        <w:spacing w:after="0" w:line="156" w:lineRule="exact"/>
        <w:rPr>
          <w:sz w:val="20"/>
          <w:szCs w:val="20"/>
          <w:color w:val="auto"/>
        </w:rPr>
      </w:pPr>
    </w:p>
    <w:p>
      <w:pPr>
        <w:ind w:right="460"/>
        <w:spacing w:after="0" w:line="303" w:lineRule="auto"/>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8"/>
          <w:szCs w:val="18"/>
          <w:color w:val="auto"/>
        </w:rPr>
      </w:pPr>
    </w:p>
    <w:p>
      <w:pPr>
        <w:jc w:val="both"/>
        <w:ind w:right="120" w:firstLine="8"/>
        <w:spacing w:after="0" w:line="263"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30" w:lineRule="exact"/>
        <w:rPr>
          <w:rFonts w:ascii="Arial" w:cs="Arial" w:eastAsia="Arial" w:hAnsi="Arial"/>
          <w:sz w:val="18"/>
          <w:szCs w:val="18"/>
          <w:color w:val="auto"/>
        </w:rPr>
      </w:pPr>
    </w:p>
    <w:p>
      <w:pPr>
        <w:ind w:left="860" w:right="40" w:hanging="1"/>
        <w:spacing w:after="0" w:line="271" w:lineRule="auto"/>
        <w:tabs>
          <w:tab w:leader="none" w:pos="10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860" w:right="60" w:hanging="1"/>
        <w:spacing w:after="0" w:line="271" w:lineRule="auto"/>
        <w:tabs>
          <w:tab w:leader="none" w:pos="10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860" w:right="220" w:hanging="1"/>
        <w:spacing w:after="0" w:line="271"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8"/>
          <w:szCs w:val="18"/>
          <w:color w:val="auto"/>
        </w:rPr>
      </w:pPr>
    </w:p>
    <w:p>
      <w:pPr>
        <w:ind w:left="860" w:right="160" w:hanging="1"/>
        <w:spacing w:after="0" w:line="271" w:lineRule="auto"/>
        <w:tabs>
          <w:tab w:leader="none" w:pos="10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160" w:firstLine="8"/>
        <w:spacing w:after="0" w:line="323"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7"/>
          <w:szCs w:val="17"/>
          <w:color w:val="auto"/>
        </w:rPr>
      </w:pPr>
    </w:p>
    <w:p>
      <w:pPr>
        <w:ind w:left="860" w:right="20" w:hanging="1"/>
        <w:spacing w:after="0" w:line="292" w:lineRule="auto"/>
        <w:tabs>
          <w:tab w:leader="none" w:pos="10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left="820" w:right="300" w:hanging="2"/>
        <w:spacing w:after="0" w:line="281" w:lineRule="auto"/>
        <w:tabs>
          <w:tab w:leader="none" w:pos="10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28575</wp:posOffset>
            </wp:positionV>
            <wp:extent cx="3687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David J. Arthur</w:t>
      </w:r>
    </w:p>
    <w:p>
      <w:pPr>
        <w:spacing w:after="0" w:line="50" w:lineRule="exact"/>
        <w:rPr>
          <w:sz w:val="20"/>
          <w:szCs w:val="20"/>
          <w:color w:val="auto"/>
        </w:rPr>
      </w:pPr>
    </w:p>
    <w:p>
      <w:pPr>
        <w:ind w:left="780"/>
        <w:spacing w:after="0"/>
        <w:tabs>
          <w:tab w:leader="none" w:pos="5580" w:val="left"/>
        </w:tabs>
        <w:rPr>
          <w:sz w:val="20"/>
          <w:szCs w:val="20"/>
          <w:color w:val="auto"/>
        </w:rPr>
      </w:pPr>
      <w:r>
        <w:rPr>
          <w:rFonts w:ascii="Arial" w:cs="Arial" w:eastAsia="Arial" w:hAnsi="Arial"/>
          <w:sz w:val="18"/>
          <w:szCs w:val="18"/>
          <w:color w:val="auto"/>
        </w:rPr>
        <w:t>November 12, 2019</w:t>
      </w:r>
      <w:r>
        <w:rPr>
          <w:sz w:val="20"/>
          <w:szCs w:val="20"/>
          <w:color w:val="auto"/>
        </w:rPr>
        <w:tab/>
      </w:r>
      <w:r>
        <w:rPr>
          <w:rFonts w:ascii="Arial" w:cs="Arial" w:eastAsia="Arial" w:hAnsi="Arial"/>
          <w:sz w:val="17"/>
          <w:szCs w:val="17"/>
          <w:color w:val="auto"/>
        </w:rPr>
        <w:t>President and Chief Executive Officer (Principal Executive Officer)</w:t>
      </w:r>
    </w:p>
    <w:p>
      <w:pPr>
        <w:sectPr>
          <w:pgSz w:w="11900" w:h="16838" w:orient="portrait"/>
          <w:cols w:equalWidth="0" w:num="1">
            <w:col w:w="11420"/>
          </w:cols>
          <w:pgMar w:left="240" w:top="1033"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8"/>
          <w:szCs w:val="18"/>
          <w:color w:val="auto"/>
        </w:rPr>
      </w:pPr>
    </w:p>
    <w:p>
      <w:pPr>
        <w:jc w:val="both"/>
        <w:ind w:right="120" w:firstLine="8"/>
        <w:spacing w:after="0" w:line="263"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30" w:lineRule="exact"/>
        <w:rPr>
          <w:rFonts w:ascii="Arial" w:cs="Arial" w:eastAsia="Arial" w:hAnsi="Arial"/>
          <w:sz w:val="18"/>
          <w:szCs w:val="18"/>
          <w:color w:val="auto"/>
        </w:rPr>
      </w:pPr>
    </w:p>
    <w:p>
      <w:pPr>
        <w:ind w:left="860" w:right="40" w:hanging="1"/>
        <w:spacing w:after="0" w:line="271" w:lineRule="auto"/>
        <w:tabs>
          <w:tab w:leader="none" w:pos="10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860" w:right="60" w:hanging="1"/>
        <w:spacing w:after="0" w:line="271" w:lineRule="auto"/>
        <w:tabs>
          <w:tab w:leader="none" w:pos="10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860" w:right="220" w:hanging="1"/>
        <w:spacing w:after="0" w:line="271"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8"/>
          <w:szCs w:val="18"/>
          <w:color w:val="auto"/>
        </w:rPr>
      </w:pPr>
    </w:p>
    <w:p>
      <w:pPr>
        <w:ind w:left="860" w:right="160" w:hanging="1"/>
        <w:spacing w:after="0" w:line="271" w:lineRule="auto"/>
        <w:tabs>
          <w:tab w:leader="none" w:pos="10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160" w:firstLine="8"/>
        <w:spacing w:after="0" w:line="323" w:lineRule="auto"/>
        <w:tabs>
          <w:tab w:leader="none" w:pos="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7"/>
          <w:szCs w:val="17"/>
          <w:color w:val="auto"/>
        </w:rPr>
      </w:pPr>
    </w:p>
    <w:p>
      <w:pPr>
        <w:ind w:left="860" w:right="20" w:hanging="1"/>
        <w:spacing w:after="0" w:line="292" w:lineRule="auto"/>
        <w:tabs>
          <w:tab w:leader="none" w:pos="10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sz w:val="20"/>
          <w:szCs w:val="20"/>
          <w:color w:val="auto"/>
        </w:rPr>
      </w:pPr>
    </w:p>
    <w:p>
      <w:pPr>
        <w:ind w:left="900" w:right="220" w:hanging="1"/>
        <w:spacing w:after="0" w:line="281" w:lineRule="auto"/>
        <w:tabs>
          <w:tab w:leader="none" w:pos="11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248"/>
        </w:trPr>
        <w:tc>
          <w:tcPr>
            <w:tcW w:w="4800" w:type="dxa"/>
            <w:vAlign w:val="bottom"/>
          </w:tcPr>
          <w:p>
            <w:pPr>
              <w:spacing w:after="0"/>
              <w:rPr>
                <w:sz w:val="21"/>
                <w:szCs w:val="21"/>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5"/>
        </w:trPr>
        <w:tc>
          <w:tcPr>
            <w:tcW w:w="48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16"/>
        </w:trPr>
        <w:tc>
          <w:tcPr>
            <w:tcW w:w="4800" w:type="dxa"/>
            <w:vAlign w:val="bottom"/>
          </w:tcPr>
          <w:p>
            <w:pPr>
              <w:spacing w:after="0"/>
              <w:rPr>
                <w:sz w:val="18"/>
                <w:szCs w:val="18"/>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November 12, 2019</w:t>
            </w:r>
          </w:p>
        </w:tc>
        <w:tc>
          <w:tcPr>
            <w:tcW w:w="58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03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September 30, 2019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97"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right="220" w:hanging="4"/>
        <w:spacing w:after="0" w:line="292"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4920" w:type="dxa"/>
            <w:vAlign w:val="bottom"/>
          </w:tcPr>
          <w:p>
            <w:pPr>
              <w:spacing w:after="0"/>
              <w:rPr>
                <w:sz w:val="21"/>
                <w:szCs w:val="21"/>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45"/>
        </w:trPr>
        <w:tc>
          <w:tcPr>
            <w:tcW w:w="49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November 12, 2019</w:t>
            </w:r>
          </w:p>
        </w:tc>
        <w:tc>
          <w:tcPr>
            <w:tcW w:w="580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640"/>
        </w:trPr>
        <w:tc>
          <w:tcPr>
            <w:tcW w:w="4920" w:type="dxa"/>
            <w:vAlign w:val="bottom"/>
          </w:tcPr>
          <w:p>
            <w:pPr>
              <w:spacing w:after="0"/>
              <w:rPr>
                <w:sz w:val="24"/>
                <w:szCs w:val="24"/>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5"/>
        </w:trPr>
        <w:tc>
          <w:tcPr>
            <w:tcW w:w="49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16"/>
        </w:trPr>
        <w:tc>
          <w:tcPr>
            <w:tcW w:w="4920" w:type="dxa"/>
            <w:vAlign w:val="bottom"/>
          </w:tcPr>
          <w:p>
            <w:pPr>
              <w:spacing w:after="0"/>
              <w:rPr>
                <w:sz w:val="18"/>
                <w:szCs w:val="18"/>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November 12, 2019</w:t>
            </w:r>
          </w:p>
        </w:tc>
        <w:tc>
          <w:tcPr>
            <w:tcW w:w="580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0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41" Type="http://schemas.openxmlformats.org/officeDocument/2006/relationships/hyperlink" Target="http://www.sec.gov/Archives/edgar/data/1615219/000119312519002000/d674389dex21.htm" TargetMode="External"/><Relationship Id="rId42" Type="http://schemas.openxmlformats.org/officeDocument/2006/relationships/hyperlink" Target="http://www.sec.gov/Archives/edgar/data/1615219/000119312519187274/d774447dex21.htm" TargetMode="External"/><Relationship Id="rId43" Type="http://schemas.openxmlformats.org/officeDocument/2006/relationships/hyperlink" Target="http://www.sec.gov/Archives/edgar/data/1615219/000119312519199074/d754556dex23.htm" TargetMode="External"/><Relationship Id="rId44" Type="http://schemas.openxmlformats.org/officeDocument/2006/relationships/hyperlink" Target="http://www.sec.gov/Archives/edgar/data/1615219/000119312519199074/d754556dex31.htm" TargetMode="External"/><Relationship Id="rId45" Type="http://schemas.openxmlformats.org/officeDocument/2006/relationships/hyperlink" Target="http://www.sec.gov/Archives/edgar/data/1615219/000119312519199074/d7545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2019-12-28T01:38:14Z</dcterms:created>
  <dcterms:modified xsi:type="dcterms:W3CDTF">2019-12-28T01:38:14Z</dcterms:modified>
</cp:coreProperties>
</file>